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PLAN A/B TESTING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Protocole Expérimental — Optimisation des Campagnes Marketing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Projet Data-Driven Decision Making | Analyse E-commerce &amp; Marketing</w:t>
      </w:r>
    </w:p>
    <w:p>
      <w:pPr>
        <w:pBdr>
          <w:bottom w:val="single" w:color="1F4E79" w:sz="12" w:space="4"/>
        </w:pBdr>
        <w:spacing w:after="320"/>
        <w:jc w:val="center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 &amp; Objectif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À l'issue de l'analyse exploratoire des données e-commerce et de la modélisation prédictive (Logistic Regression, Random Forest), trois recommandations actionnables ont été formulées. Ce document décrit le protocole expérimental A/B Test visant à valider l'efficacité d'une campagne marketing personnalisée par rapport à une campagne standard.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Objectif du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Déterminer si une campagne marketing personnalisée (basée sur la segmentation client et le modèle prédictif) augmente significativement le taux de réponse des clients.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Décision visée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Adopter ou rejeter la campagne personnalisée comme stratégie marketing principale.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Période du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semaines consécutives (durée suffisante pour collecter des données significatives).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Taille d'échantillon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Clients répartis équitablement : 50% Groupe A / 50% Groupe B.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Hypothèses Expérimentales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Hypothèse nulle (H₀)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campagne marketing personnalisée n'a aucun effet significatif sur le taux de réponse des clients par rapport à la campagne standard.</w:t>
      </w:r>
    </w:p>
    <w:p>
      <w:pPr>
        <w:shd w:fill="DEEAF1" w:val="clear"/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H₀ : Taux de réponse (Groupe B) = Taux de réponse (Groupe 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Hypothèse alternative (H₁)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campagne marketing personnalisée augmente significativement le taux de réponse des clients par rapport à la campagne standard.</w:t>
      </w:r>
    </w:p>
    <w:p>
      <w:pPr>
        <w:shd w:fill="FCE4D6" w:val="clear"/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H₁ : Taux de réponse (Groupe B) &gt; Taux de réponse (Groupe A)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Conception du Test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Définition des groupes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(Contrôle)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Campagne Standard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Clients recevant le message marketing générique habituel, sans personnalisation basée sur les données.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 (Test)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Campagne Personnalisée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Clients ciblés selon leur segment K-Means (revenu, dépenses, âge) et leur score de propension prédit par le modèle Random Forest.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Critères de sélection des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Clients actifs dans la base de données (Recency &lt; 90 jours).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Clients ayant un CustomerID valide (exclusion des transactions anonymes).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Répartition aléatoire et stratifiée par cluster pour garantir la représentativité.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Exclusion des clients ayant déjà participé à un test marketing récent (&lt; 30 jours).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Métriques de Suivi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Métrique principale (KPI primaire)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Définition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Seuil de succès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Taux de réponse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de clients ayant répondu positivement (Response = 1)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Amélioration ≥ 10% vs Groupe 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Métriques secondaires (KPIs de suivi)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Indicateur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Objectif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Chiffre d'affaires généré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Comparer le CA total produit par chaque groupe sur la période du test.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Panier moyen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Évaluer si la personnalisation influence le montant moyen des achats.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Taux de conversion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Mesurer le ratio clients contactés / clients ayant effectué un achat.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Retour sur investissement marketing (ROI)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Calculer le rapport entre les revenus générés et le coût de la campagne.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 clients actifs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Suivre l'évolution de l'engagement client sur la période.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Méthode Statistique &amp; Critères de Décision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Test statistique utilisé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z de proportion bilatéral pour comparer les taux de réponse des deux groupes.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Seuil de significativité : α = 0,05 (niveau de confiance de 95%).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Puissance statistique cible : 80% (pour limiter le risque d'erreur de type II).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Règles de décision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Résultat du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H₁ validée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p-value &lt; 0,05 ET amélioration ≥ 10%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Déployer la campagne personnalisée à tous les clients.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H₀ non rejetée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p-value ≥ 0,05 OU amélioration &lt; 10%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Maintenir la campagne standard. Réviser les variables de personnalisation.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Risques &amp; Limites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Risques identifiés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Biais de sélection : la randomisation doit être strictement respectée pour éviter de biaiser les résultats.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Effet de contamination : un client du groupe A ne doit pas être exposé aux contenus du groupe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Durée insuffisante : deux semaines peuvent ne pas couvrir tous les cycles d'achat des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Saisonnalité : des événements externes (soldes, fêtes) peuvent influencer les résultats indépendamment du test.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Limites des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Absence de jointure directe entre les deux datasets (Orders et Customers).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Données démographiques limitées dans le dataset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résultats s'appliquent aux clients ayant un CustomerID valide uniquement.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Mesure d'Impact Post-Test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Après la fin du test, les métriques suivantes seront comparées entre les deux groupes pour évaluer l'impact réel de la campagne personnalisée 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Évolution du chiffre d'affaires total sur la période.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Variation du taux de réponse aux campagnes.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Variation du taux de conversion global.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Évolution du panier moyen par groupe.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Évolution du nombre de clients actifs.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Satisfaction et fidélisation client (mesurée via indicateurs indirects : taux de retour, récence).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L'impact attendu en cas de validation de H₁ est une augmentation du chiffre d'affaires de 10 à 15%, une amélioration du ciblage marketing et une réduction des coûts liés aux campagnes non efficaces.</w:t>
      </w:r>
    </w:p>
    <w:p>
      <w:pPr>
        <w:spacing w:after="120"/>
      </w:pPr>
      <w:r>
        <w:t xml:space="preserve"/>
      </w:r>
    </w:p>
    <w:p>
      <w:pPr>
        <w:pBdr>
          <w:top w:val="single" w:color="1F4E79" w:sz="8" w:space="4"/>
          <w:bottom w:val="single" w:color="1F4E79" w:sz="8" w:space="4"/>
        </w:pBdr>
        <w:shd w:fill="DEEAF1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Ce protocole est conçu dans le cadre du Projet DDDM — Analyse E-commerce &amp; Marketing.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Projet DDDM — Analyse E-commerce &amp; Marketing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20"/>
        <w:szCs w:val="20"/>
      </w:rPr>
      <w:t xml:space="preserve">Plan A/B Testing — Campagne Marketing Personnalisée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2026-06-01T19:19:21.103Z</dcterms:created>
  <dcterms:modified xsi:type="dcterms:W3CDTF">2026-06-01T19:19:21.104Z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