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C948" w14:textId="77777777" w:rsidR="00536DDA" w:rsidRDefault="00000000">
      <w:pPr>
        <w:spacing w:after="160"/>
        <w:jc w:val="center"/>
      </w:pPr>
      <w:r>
        <w:rPr>
          <w:rFonts w:ascii="Times New Roman" w:hAnsi="Times New Roman"/>
          <w:b/>
          <w:sz w:val="30"/>
        </w:rPr>
        <w:t>AI-Driven Housing Affordability Forecasting in New York City:</w:t>
      </w:r>
      <w:r>
        <w:rPr>
          <w:rFonts w:ascii="Times New Roman" w:hAnsi="Times New Roman"/>
          <w:b/>
          <w:sz w:val="30"/>
        </w:rPr>
        <w:br/>
        <w:t>An NTA-Level Panel Analysis Using Ensemble Machine Learning</w:t>
      </w:r>
    </w:p>
    <w:p w14:paraId="4568A938" w14:textId="77777777" w:rsidR="00536DDA" w:rsidRDefault="00000000">
      <w:pPr>
        <w:spacing w:after="40"/>
        <w:jc w:val="center"/>
      </w:pPr>
      <w:r>
        <w:rPr>
          <w:rFonts w:ascii="Times New Roman" w:hAnsi="Times New Roman"/>
          <w:b/>
        </w:rPr>
        <w:t>Rahman Azizur</w:t>
      </w:r>
    </w:p>
    <w:p w14:paraId="5B30AFEB" w14:textId="21B724FF" w:rsidR="00536DDA" w:rsidRDefault="00920675">
      <w:pPr>
        <w:spacing w:after="20"/>
        <w:jc w:val="center"/>
      </w:pPr>
      <w:r>
        <w:rPr>
          <w:rFonts w:ascii="Times New Roman" w:hAnsi="Times New Roman"/>
          <w:i/>
          <w:sz w:val="20"/>
        </w:rPr>
        <w:t>Indiana Weslyn University</w:t>
      </w:r>
      <w:r w:rsidR="00000000">
        <w:rPr>
          <w:rFonts w:ascii="Times New Roman" w:hAnsi="Times New Roman"/>
          <w:i/>
          <w:sz w:val="20"/>
        </w:rPr>
        <w:t xml:space="preserve">, </w:t>
      </w:r>
    </w:p>
    <w:p w14:paraId="75D9BDC2" w14:textId="645165B1" w:rsidR="00536DDA" w:rsidRDefault="00000000">
      <w:pPr>
        <w:jc w:val="center"/>
      </w:pPr>
      <w:r>
        <w:rPr>
          <w:rFonts w:ascii="Times New Roman" w:hAnsi="Times New Roman"/>
          <w:sz w:val="20"/>
        </w:rPr>
        <w:t xml:space="preserve">New York, NY 10012, </w:t>
      </w:r>
    </w:p>
    <w:p w14:paraId="3D51B130" w14:textId="77777777" w:rsidR="00536DDA" w:rsidRDefault="00536DDA">
      <w:pPr>
        <w:spacing w:before="80" w:after="80"/>
      </w:pPr>
    </w:p>
    <w:tbl>
      <w:tblPr>
        <w:tblStyle w:val="TableGrid"/>
        <w:tblW w:w="10399" w:type="dxa"/>
        <w:jc w:val="center"/>
        <w:tblLook w:val="04A0" w:firstRow="1" w:lastRow="0" w:firstColumn="1" w:lastColumn="0" w:noHBand="0" w:noVBand="1"/>
      </w:tblPr>
      <w:tblGrid>
        <w:gridCol w:w="10399"/>
      </w:tblGrid>
      <w:tr w:rsidR="00536DDA" w14:paraId="70E355AB" w14:textId="77777777" w:rsidTr="00920675">
        <w:trPr>
          <w:trHeight w:val="3172"/>
          <w:jc w:val="center"/>
        </w:trPr>
        <w:tc>
          <w:tcPr>
            <w:tcW w:w="10399" w:type="dxa"/>
          </w:tcPr>
          <w:p w14:paraId="02076611" w14:textId="77777777" w:rsidR="00536DDA" w:rsidRDefault="00000000">
            <w:pPr>
              <w:spacing w:before="80" w:after="80"/>
              <w:jc w:val="both"/>
            </w:pPr>
            <w:r>
              <w:rPr>
                <w:rFonts w:ascii="Times New Roman" w:hAnsi="Times New Roman"/>
                <w:b/>
                <w:i/>
                <w:sz w:val="18"/>
              </w:rPr>
              <w:t>Abstract</w:t>
            </w:r>
            <w:r>
              <w:rPr>
                <w:rFonts w:ascii="Times New Roman" w:hAnsi="Times New Roman"/>
                <w:sz w:val="18"/>
              </w:rPr>
              <w:t>—Housing affordability is a defining crisis for low- and moderate-income renters in New York City (NYC), where over 30% of renter households are severely cost-burdened—spending more than 50% of gross income on housing. Existing research predominantly operates at coarse geographic scales, concealing the neighborhood-level heterogeneity that should guide targeted policy. This paper presents a rigorous IEEE-standard machine learning pipeline applied to a novel Neighborhood Tabulation Area (NTA)-level panel dataset comprising 2,512 observations across 239 NTAs in four NYC boroughs (2012–2022), with 49 features drawn from the U.S. Census Bureau American Community Survey (ACS 5-year estimates), NYC eviction court records, and the Zillow Observed Rent Index (ZORI). We benchmark three state-of-the-art gradient-boosted ensemble models—Random Forest, XGBoost, and LightGBM—using a strict temporal train/validation/test split (2012–2019 / 2020 / 2021–2022) and 5-fold TimeSeriesSplit cross-validation. XGBoost achieves the highest test R²=0.891 (RMSE=0.031) on held-out 2021–2022 data. SHAP TreeExplainer identifies the 30%-threshold rent burden rate, renter income ratio, and median gross rent as the three most predictive features. A systematic ablation study across six feature groups confirms that rental market variables contribute the largest incremental R² (ΔR²=0.152). Borough-level Moran's I spatial autocorrelation testing (I=0.241, p&lt;0.05) reveals statistically significant clustering of prediction residuals, motivating spatially-explicit model extensions. Iterative three-year forecasts (2023–2025) project continued affordability deterioration in the Bronx (+6.2%) and Brooklyn (+5.7%) under baseline economic assumptions.</w:t>
            </w:r>
          </w:p>
        </w:tc>
      </w:tr>
    </w:tbl>
    <w:p w14:paraId="5C5A6381" w14:textId="77777777" w:rsidR="00536DDA" w:rsidRDefault="00536DDA">
      <w:pPr>
        <w:spacing w:after="40"/>
      </w:pPr>
    </w:p>
    <w:p w14:paraId="12A8294D" w14:textId="77777777" w:rsidR="00536DDA" w:rsidRDefault="00000000">
      <w:r>
        <w:rPr>
          <w:rFonts w:ascii="Times New Roman" w:hAnsi="Times New Roman"/>
          <w:b/>
          <w:i/>
          <w:sz w:val="18"/>
        </w:rPr>
        <w:t>Index Terms</w:t>
      </w:r>
      <w:r>
        <w:rPr>
          <w:rFonts w:ascii="Times New Roman" w:hAnsi="Times New Roman"/>
          <w:sz w:val="18"/>
        </w:rPr>
        <w:t>—Housing affordability; machine learning; XGBoost; SHAP explainability; New York City; ensemble learning; spatial autocorrelation; rent burden; TimeSeriesSplit cross-validation; NTA; ACS; urban informatics.</w:t>
      </w:r>
    </w:p>
    <w:p w14:paraId="584535DB" w14:textId="77777777" w:rsidR="00536DDA" w:rsidRDefault="00000000">
      <w:pPr>
        <w:spacing w:before="200" w:after="100"/>
        <w:jc w:val="center"/>
      </w:pPr>
      <w:r>
        <w:rPr>
          <w:rFonts w:ascii="Times New Roman" w:hAnsi="Times New Roman"/>
          <w:b/>
          <w:sz w:val="20"/>
        </w:rPr>
        <w:t>I. INTRODUCTION</w:t>
      </w:r>
    </w:p>
    <w:p w14:paraId="722FE5F3" w14:textId="77777777" w:rsidR="00536DDA" w:rsidRDefault="00000000">
      <w:pPr>
        <w:spacing w:after="100"/>
        <w:ind w:firstLine="280"/>
        <w:jc w:val="both"/>
      </w:pPr>
      <w:r>
        <w:rPr>
          <w:rFonts w:ascii="Times New Roman" w:hAnsi="Times New Roman"/>
          <w:sz w:val="20"/>
        </w:rPr>
        <w:t>Housing affordability represents one of the most acute and politically contentious challenges confronting major American metropolitan areas in the twenty-first century. In New York City (NYC)—the largest and most densely populated urban center in the United States—the housing crisis has reached systemic proportions. According to the 2022 U.S. Census Bureau American Community Survey (ACS), more than 52% of all renter-occupied households in NYC qualify as cost-burdened (spending more than 30% of gross income on housing), and approximately 30% are severely cost-burdened (spending more than 50%), a threshold defined by the U.S. Department of Housing and Urban Development (HUD) as the point at which households must make material trade-offs between housing and other essential expenditures [1].</w:t>
      </w:r>
    </w:p>
    <w:p w14:paraId="3295A1DA" w14:textId="77777777" w:rsidR="00536DDA" w:rsidRDefault="00000000">
      <w:pPr>
        <w:spacing w:after="100"/>
        <w:ind w:firstLine="280"/>
        <w:jc w:val="both"/>
      </w:pPr>
      <w:r>
        <w:rPr>
          <w:rFonts w:ascii="Times New Roman" w:hAnsi="Times New Roman"/>
          <w:sz w:val="20"/>
        </w:rPr>
        <w:t>The distributional consequences of this crisis are profoundly unequal. Severe rent burden is concentrated in historically disinvested neighborhoods across the Bronx, central Brooklyn, and western Queens, mediated by structural inequalities in income, immigration status, occupational composition, and legacy patterns of racial residential segregation. Yet the overwhelming majority of quantitative studies on NYC housing affordability operate at the borough or metropolitan area level, producing aggregate statistics that obscure the fine-grained neighborhood variation that should guide targeted housing assistance, rent stabilization enforcement, and infrastructure investment decisions.</w:t>
      </w:r>
    </w:p>
    <w:p w14:paraId="316EE45D" w14:textId="77777777" w:rsidR="00536DDA" w:rsidRDefault="00000000">
      <w:pPr>
        <w:spacing w:after="100"/>
        <w:ind w:firstLine="280"/>
        <w:jc w:val="both"/>
      </w:pPr>
      <w:r>
        <w:rPr>
          <w:rFonts w:ascii="Times New Roman" w:hAnsi="Times New Roman"/>
          <w:sz w:val="20"/>
        </w:rPr>
        <w:t>The Neighborhood Tabulation Area (NTA) is the official sub-borough geographic unit designated by the NYC Department of City Planning (DCP), comprising population units of approximately 15,000–40,000 residents. With 263 NTAs across the five boroughs, this unit of analysis is granular enough to capture meaningful neighborhood variation while remaining large enough for statistically reliable ACS estimates. Applying machine learning at the NTA level thus represents both a methodological advance and a practical contribution to housing policy research.</w:t>
      </w:r>
    </w:p>
    <w:p w14:paraId="063B9829" w14:textId="77777777" w:rsidR="00536DDA" w:rsidRDefault="00000000">
      <w:pPr>
        <w:spacing w:after="100"/>
        <w:ind w:firstLine="280"/>
        <w:jc w:val="both"/>
      </w:pPr>
      <w:r>
        <w:rPr>
          <w:rFonts w:ascii="Times New Roman" w:hAnsi="Times New Roman"/>
          <w:sz w:val="20"/>
        </w:rPr>
        <w:t>This paper makes four primary contributions to the literature on urban housing affordability and applied machine learning:</w:t>
      </w:r>
    </w:p>
    <w:p w14:paraId="3748FE3D" w14:textId="77777777" w:rsidR="00536DDA" w:rsidRDefault="00000000">
      <w:pPr>
        <w:pStyle w:val="ListNumber"/>
        <w:spacing w:after="60"/>
      </w:pPr>
      <w:r>
        <w:rPr>
          <w:rFonts w:ascii="Times New Roman" w:hAnsi="Times New Roman"/>
          <w:b/>
          <w:sz w:val="20"/>
        </w:rPr>
        <w:lastRenderedPageBreak/>
        <w:t xml:space="preserve">Dataset Construction: </w:t>
      </w:r>
      <w:r>
        <w:rPr>
          <w:rFonts w:ascii="Times New Roman" w:hAnsi="Times New Roman"/>
          <w:sz w:val="20"/>
        </w:rPr>
        <w:t>We construct a novel NTA-level panel dataset of 2,512 observations from 239 NTAs across four NYC boroughs (2012–2022) by aggregating ACS 5-year census tract estimates through the official DCP geographic crosswalk, augmented with NYC eviction court records and Zillow rent index data.</w:t>
      </w:r>
    </w:p>
    <w:p w14:paraId="064E3D7C" w14:textId="77777777" w:rsidR="00536DDA" w:rsidRDefault="00000000">
      <w:pPr>
        <w:pStyle w:val="ListNumber"/>
        <w:spacing w:after="60"/>
      </w:pPr>
      <w:r>
        <w:rPr>
          <w:rFonts w:ascii="Times New Roman" w:hAnsi="Times New Roman"/>
          <w:b/>
          <w:sz w:val="20"/>
        </w:rPr>
        <w:t xml:space="preserve">Model Benchmarking: </w:t>
      </w:r>
      <w:r>
        <w:rPr>
          <w:rFonts w:ascii="Times New Roman" w:hAnsi="Times New Roman"/>
          <w:sz w:val="20"/>
        </w:rPr>
        <w:t>We rigorously benchmark three state-of-the-art ensemble models—Random Forest, XGBoost, and LightGBM—under a strict temporal holdout protocol, comparing performance across R², RMSE, and MAE on held-out 2021–2022 test data.</w:t>
      </w:r>
    </w:p>
    <w:p w14:paraId="029970ED" w14:textId="77777777" w:rsidR="00536DDA" w:rsidRDefault="00000000">
      <w:pPr>
        <w:pStyle w:val="ListNumber"/>
        <w:spacing w:after="60"/>
      </w:pPr>
      <w:r>
        <w:rPr>
          <w:rFonts w:ascii="Times New Roman" w:hAnsi="Times New Roman"/>
          <w:b/>
          <w:sz w:val="20"/>
        </w:rPr>
        <w:t xml:space="preserve">SHAP Interpretability: </w:t>
      </w:r>
      <w:r>
        <w:rPr>
          <w:rFonts w:ascii="Times New Roman" w:hAnsi="Times New Roman"/>
          <w:sz w:val="20"/>
        </w:rPr>
        <w:t>We apply SHAP (SHapley Additive exPlanations) TreeExplainer to produce feature-level attribution scores for the best-performing model, yielding policy-actionable interpretations of which neighborhood characteristics most strongly predict severe rent burden.</w:t>
      </w:r>
    </w:p>
    <w:p w14:paraId="538DF463" w14:textId="77777777" w:rsidR="00536DDA" w:rsidRDefault="00000000">
      <w:pPr>
        <w:pStyle w:val="ListNumber"/>
        <w:spacing w:after="60"/>
      </w:pPr>
      <w:r>
        <w:rPr>
          <w:rFonts w:ascii="Times New Roman" w:hAnsi="Times New Roman"/>
          <w:b/>
          <w:sz w:val="20"/>
        </w:rPr>
        <w:t xml:space="preserve">Spatial Diagnostics and Forecasting: </w:t>
      </w:r>
      <w:r>
        <w:rPr>
          <w:rFonts w:ascii="Times New Roman" w:hAnsi="Times New Roman"/>
          <w:sz w:val="20"/>
        </w:rPr>
        <w:t>We perform borough-level Moran's I spatial autocorrelation testing on model residuals and generate iterative three-year forecasts (2023–2025) under calibrated economic growth assumptions, identifying priority intervention areas.</w:t>
      </w:r>
    </w:p>
    <w:p w14:paraId="07E54DF7" w14:textId="77777777" w:rsidR="00536DDA" w:rsidRDefault="00536DDA">
      <w:pPr>
        <w:spacing w:after="40"/>
      </w:pPr>
    </w:p>
    <w:p w14:paraId="02ECB89A" w14:textId="77777777" w:rsidR="00536DDA" w:rsidRDefault="00000000">
      <w:pPr>
        <w:spacing w:after="100"/>
        <w:ind w:firstLine="280"/>
        <w:jc w:val="both"/>
      </w:pPr>
      <w:r>
        <w:rPr>
          <w:rFonts w:ascii="Times New Roman" w:hAnsi="Times New Roman"/>
          <w:sz w:val="20"/>
        </w:rPr>
        <w:t>The remainder of this paper is structured as follows. Section II reviews related work across four streams: traditional housing affordability metrics, machine learning in urban housing research, SHAP explainability methods, and spatial econometrics. Section III describes the dataset construction methodology and data sources. Section IV details the feature engineering pipeline. Section V presents the experimental methodology, including model architectures, evaluation metrics, and cross-validation design. Section VI reports model performance results. Sections VII and VIII cover SHAP analysis and the ablation study. Section IX reports the spatial autocorrelation analysis. Section X presents borough-level forecasts. Section XI discusses limitations. Section XII concludes with policy recommendations.</w:t>
      </w:r>
    </w:p>
    <w:p w14:paraId="4E72A471" w14:textId="77777777" w:rsidR="00536DDA" w:rsidRDefault="00000000">
      <w:pPr>
        <w:spacing w:before="200" w:after="100"/>
        <w:jc w:val="center"/>
      </w:pPr>
      <w:r>
        <w:rPr>
          <w:rFonts w:ascii="Times New Roman" w:hAnsi="Times New Roman"/>
          <w:b/>
          <w:sz w:val="20"/>
        </w:rPr>
        <w:t>II. RELATED WORK</w:t>
      </w:r>
    </w:p>
    <w:p w14:paraId="1F1B5B3F" w14:textId="77777777" w:rsidR="00536DDA" w:rsidRDefault="00000000">
      <w:pPr>
        <w:spacing w:before="140" w:after="60"/>
      </w:pPr>
      <w:r>
        <w:rPr>
          <w:rFonts w:ascii="Times New Roman" w:hAnsi="Times New Roman"/>
          <w:b/>
          <w:i/>
          <w:sz w:val="20"/>
        </w:rPr>
        <w:t>A. Traditional Housing Affordability Frameworks</w:t>
      </w:r>
    </w:p>
    <w:p w14:paraId="77884258" w14:textId="77777777" w:rsidR="00536DDA" w:rsidRDefault="00000000">
      <w:pPr>
        <w:spacing w:after="100"/>
        <w:ind w:firstLine="280"/>
        <w:jc w:val="both"/>
      </w:pPr>
      <w:r>
        <w:rPr>
          <w:rFonts w:ascii="Times New Roman" w:hAnsi="Times New Roman"/>
          <w:sz w:val="20"/>
        </w:rPr>
        <w:t>The dominant metric in housing policy—spending more than 30% of gross income on housing—was codified in the National Housing Act of 1937 and reinforced through successive HUD administrative rules. Despite its widespread use, ratio-based thresholds have been subject to persistent methodological criticism. Stone [2] proposed the alternative 'shelter poverty' framework, arguing that fixed-ratio thresholds ignore residual income available for non-housing necessities, which varies systematically across household sizes and income levels. Quigley and Raphael [3] demonstrated through cross-metropolitan analysis that housing supply constraints—particularly restrictive zoning and slow permitting—are the primary driver of long-run affordability deterioration in coastal cities, not demand shocks. Glaeser and Gyourko [4] estimated that zoning regulations in cities like NYC impose implicit welfare costs equivalent to 50% of market rents. Our work builds on this structural framework by treating supply-side indicators (vacancy rate, market tightness) as first-class predictive features.</w:t>
      </w:r>
    </w:p>
    <w:p w14:paraId="41662E98" w14:textId="77777777" w:rsidR="00536DDA" w:rsidRDefault="00000000">
      <w:pPr>
        <w:spacing w:before="140" w:after="60"/>
      </w:pPr>
      <w:r>
        <w:rPr>
          <w:rFonts w:ascii="Times New Roman" w:hAnsi="Times New Roman"/>
          <w:b/>
          <w:i/>
          <w:sz w:val="20"/>
        </w:rPr>
        <w:t>B. Machine Learning in Urban Housing Research</w:t>
      </w:r>
    </w:p>
    <w:p w14:paraId="08164408" w14:textId="77777777" w:rsidR="00536DDA" w:rsidRDefault="00000000">
      <w:pPr>
        <w:spacing w:after="100"/>
        <w:ind w:firstLine="280"/>
        <w:jc w:val="both"/>
      </w:pPr>
      <w:r>
        <w:rPr>
          <w:rFonts w:ascii="Times New Roman" w:hAnsi="Times New Roman"/>
          <w:sz w:val="20"/>
        </w:rPr>
        <w:t>Gradient-boosted decision trees have emerged as the dominant machine learning approach for property valuation and housing market prediction tasks. Antipov and Pokryshevskaya [5] demonstrated that gradient boosting outperforms hedonic regression models in mass property appraisal, achieving R²=0.89 on a Russian residential market dataset. Park and Bae [6] applied Random Forests to forecast residential price indices, finding that ensemble methods substantially reduce out-of-sample prediction error relative to linear baselines. In the NYC-specific context, Been, Ellen, and Madar [7] applied logistic regression to model building-level eviction risk, though without employing ensemble methods or the NTA panel structure necessary to capture neighborhood temporal dynamics. More recently, Caplin et al. [13] combined machine learning with survey data to predict housing search outcomes in NYC. Our study extends this literature by applying a multi-model ensemble benchmark with 5-fold temporal cross-validation to an NTA-level panel dataset spanning 11 years.</w:t>
      </w:r>
    </w:p>
    <w:p w14:paraId="593C8CF8" w14:textId="77777777" w:rsidR="00536DDA" w:rsidRDefault="00000000">
      <w:pPr>
        <w:spacing w:before="140" w:after="60"/>
      </w:pPr>
      <w:r>
        <w:rPr>
          <w:rFonts w:ascii="Times New Roman" w:hAnsi="Times New Roman"/>
          <w:b/>
          <w:i/>
          <w:sz w:val="20"/>
        </w:rPr>
        <w:t>C. SHAP Explainability in Housing and Urban Models</w:t>
      </w:r>
    </w:p>
    <w:p w14:paraId="02F8EA6D" w14:textId="77777777" w:rsidR="00536DDA" w:rsidRDefault="00000000">
      <w:pPr>
        <w:spacing w:after="100"/>
        <w:ind w:firstLine="280"/>
        <w:jc w:val="both"/>
      </w:pPr>
      <w:r>
        <w:rPr>
          <w:rFonts w:ascii="Times New Roman" w:hAnsi="Times New Roman"/>
          <w:sz w:val="20"/>
        </w:rPr>
        <w:t xml:space="preserve">Lundberg and Lee [8] introduced SHAP (SHapley Additive exPlanations) as a theoretically grounded, game-theoretic framework for attributing individual model predictions to input features, satisfying local accuracy, missingness, and consistency axioms simultaneously. TreeExplainer [8] extends SHAP to tree ensembles with polynomial-time exact </w:t>
      </w:r>
      <w:r>
        <w:rPr>
          <w:rFonts w:ascii="Times New Roman" w:hAnsi="Times New Roman"/>
          <w:sz w:val="20"/>
        </w:rPr>
        <w:lastRenderedPageBreak/>
        <w:t>computation, making it tractable for the gradient-boosted models employed in this study. Abidoye and Chan [9] applied SHAP to residential valuation in Hong Kong, finding that transit accessibility and school district quality dominate predictive importance. To our knowledge, this paper represents the first application of SHAP TreeExplainer to NTA-level rent burden forecasting in NYC, providing neighborhood-scale feature attribution for housing policy targeting.</w:t>
      </w:r>
    </w:p>
    <w:p w14:paraId="22461364" w14:textId="77777777" w:rsidR="00536DDA" w:rsidRDefault="00000000">
      <w:pPr>
        <w:spacing w:before="140" w:after="60"/>
      </w:pPr>
      <w:r>
        <w:rPr>
          <w:rFonts w:ascii="Times New Roman" w:hAnsi="Times New Roman"/>
          <w:b/>
          <w:i/>
          <w:sz w:val="20"/>
        </w:rPr>
        <w:t>D. Spatial Econometrics and Urban Housing Markets</w:t>
      </w:r>
    </w:p>
    <w:p w14:paraId="7562BB38" w14:textId="77777777" w:rsidR="00536DDA" w:rsidRDefault="00000000">
      <w:pPr>
        <w:spacing w:after="100"/>
        <w:ind w:firstLine="280"/>
        <w:jc w:val="both"/>
      </w:pPr>
      <w:r>
        <w:rPr>
          <w:rFonts w:ascii="Times New Roman" w:hAnsi="Times New Roman"/>
          <w:sz w:val="20"/>
        </w:rPr>
        <w:t>The presence of spatial dependence in housing markets was formally established by Anselin [10] through the Moran's I statistic and the spatial lag/error model framework. LeSage and Pace [11] demonstrated that ignoring spatial autocorrelation in panel regression residuals produces inconsistent coefficient estimates and inflated statistical significance. Gibbons and Machin [14] showed that housing price gradients in London exhibit strong positive spatial autocorrelation at sub-ward levels, decaying with distance in a pattern consistent with amenity spillovers. While our current study employs a non-spatial tree-based model, we incorporate a Moran's I diagnostic on borough-level residuals, following Best and Shea [12], as a first-order check for spatially correlated omitted variables.</w:t>
      </w:r>
    </w:p>
    <w:p w14:paraId="67B546A8" w14:textId="77777777" w:rsidR="00536DDA" w:rsidRDefault="00000000">
      <w:pPr>
        <w:spacing w:before="140" w:after="60"/>
      </w:pPr>
      <w:r>
        <w:rPr>
          <w:rFonts w:ascii="Times New Roman" w:hAnsi="Times New Roman"/>
          <w:b/>
          <w:i/>
          <w:sz w:val="20"/>
        </w:rPr>
        <w:t>E. Temporal Panel Methods for Housing Prediction</w:t>
      </w:r>
    </w:p>
    <w:p w14:paraId="306489DA" w14:textId="77777777" w:rsidR="00536DDA" w:rsidRDefault="00000000">
      <w:pPr>
        <w:spacing w:after="100"/>
        <w:ind w:firstLine="280"/>
        <w:jc w:val="both"/>
      </w:pPr>
      <w:r>
        <w:rPr>
          <w:rFonts w:ascii="Times New Roman" w:hAnsi="Times New Roman"/>
          <w:sz w:val="20"/>
        </w:rPr>
        <w:t>Panel data methods that exploit both cross-sectional and temporal variation have been applied to housing markets with notable success. Case and Shiller [15] pioneered repeat-sales indices to control for unobserved property quality in price dynamics. In machine learning contexts, temporal cross-validation is critical for preventing data leakage when training models on time-ordered panels: standard k-fold cross-validation, which randomly assigns observations to folds, inappropriately uses future data to predict the past [16]. We address this by employing scikit-learn's TimeSeriesSplit, which ensures that all training observations strictly precede test observations in time.</w:t>
      </w:r>
    </w:p>
    <w:p w14:paraId="1C093C7A" w14:textId="77777777" w:rsidR="00536DDA" w:rsidRDefault="00000000">
      <w:pPr>
        <w:spacing w:before="200" w:after="100"/>
        <w:jc w:val="center"/>
      </w:pPr>
      <w:r>
        <w:rPr>
          <w:rFonts w:ascii="Times New Roman" w:hAnsi="Times New Roman"/>
          <w:b/>
          <w:sz w:val="20"/>
        </w:rPr>
        <w:t>III. DATASET CONSTRUCTION</w:t>
      </w:r>
    </w:p>
    <w:p w14:paraId="2961C45A" w14:textId="77777777" w:rsidR="00536DDA" w:rsidRDefault="00000000">
      <w:pPr>
        <w:spacing w:before="140" w:after="60"/>
      </w:pPr>
      <w:r>
        <w:rPr>
          <w:rFonts w:ascii="Times New Roman" w:hAnsi="Times New Roman"/>
          <w:b/>
          <w:i/>
          <w:sz w:val="20"/>
        </w:rPr>
        <w:t>A. Primary Data Sources</w:t>
      </w:r>
    </w:p>
    <w:p w14:paraId="26B674BB" w14:textId="77777777" w:rsidR="00536DDA" w:rsidRDefault="00000000">
      <w:pPr>
        <w:spacing w:after="100"/>
        <w:ind w:firstLine="280"/>
        <w:jc w:val="both"/>
      </w:pPr>
      <w:r>
        <w:rPr>
          <w:rFonts w:ascii="Times New Roman" w:hAnsi="Times New Roman"/>
          <w:sz w:val="20"/>
        </w:rPr>
        <w:t>The dataset integrates three primary sources, each providing a distinct dimension of neighborhood housing market conditions:</w:t>
      </w:r>
    </w:p>
    <w:p w14:paraId="40A90113" w14:textId="77777777" w:rsidR="00536DDA" w:rsidRDefault="00000000">
      <w:pPr>
        <w:pStyle w:val="ListBullet"/>
        <w:spacing w:after="60"/>
      </w:pPr>
      <w:r>
        <w:rPr>
          <w:rFonts w:ascii="Times New Roman" w:hAnsi="Times New Roman"/>
          <w:b/>
          <w:sz w:val="20"/>
        </w:rPr>
        <w:t xml:space="preserve">U.S. Census Bureau ACS 5-Year Estimates (2012–2022): </w:t>
      </w:r>
      <w:r>
        <w:rPr>
          <w:rFonts w:ascii="Times New Roman" w:hAnsi="Times New Roman"/>
          <w:sz w:val="20"/>
        </w:rPr>
        <w:t>The primary source for 23 socioeconomic and housing variables at the census tract level, retrieved via the Census Bureau Data API (api.census.gov). ACS 5-year estimates pool five years of survey responses to produce statistically reliable small-area estimates. Relevant tables include B19013 (median household income), B25119 (renter median income), B25064 (median gross rent), B25070 (rent burden at 30% and 50% thresholds), B25002 (vacancy status), B25014 (occupancy crowding), B19083 (Gini coefficient of income inequality), and B08301 (commuting mode).</w:t>
      </w:r>
    </w:p>
    <w:p w14:paraId="2E9B1942" w14:textId="77777777" w:rsidR="00536DDA" w:rsidRDefault="00000000">
      <w:pPr>
        <w:pStyle w:val="ListBullet"/>
        <w:spacing w:after="60"/>
      </w:pPr>
      <w:r>
        <w:rPr>
          <w:rFonts w:ascii="Times New Roman" w:hAnsi="Times New Roman"/>
          <w:b/>
          <w:sz w:val="20"/>
        </w:rPr>
        <w:t xml:space="preserve">NYC Office of Court Administration — Eviction Records (2012–2022): </w:t>
      </w:r>
      <w:r>
        <w:rPr>
          <w:rFonts w:ascii="Times New Roman" w:hAnsi="Times New Roman"/>
          <w:sz w:val="20"/>
        </w:rPr>
        <w:t>91,198 residential eviction filing records obtained from NYC Open Data, containing the date, address, and legal grounds for each court-filed eviction. Records are geocoded to census tracts and aggregated to NTA-year counts, normalized by the number of renter-occupied units to produce an eviction rate (filings per 1,000 renter households).</w:t>
      </w:r>
    </w:p>
    <w:p w14:paraId="0F24CD46" w14:textId="77777777" w:rsidR="00536DDA" w:rsidRDefault="00000000">
      <w:pPr>
        <w:pStyle w:val="ListBullet"/>
        <w:spacing w:after="60"/>
      </w:pPr>
      <w:r>
        <w:rPr>
          <w:rFonts w:ascii="Times New Roman" w:hAnsi="Times New Roman"/>
          <w:b/>
          <w:sz w:val="20"/>
        </w:rPr>
        <w:t xml:space="preserve">Zillow Observed Rent Index — ZORI (2014–2022): </w:t>
      </w:r>
      <w:r>
        <w:rPr>
          <w:rFonts w:ascii="Times New Roman" w:hAnsi="Times New Roman"/>
          <w:sz w:val="20"/>
        </w:rPr>
        <w:t>ZIP code-level monthly median asking rent indices, smoothed and seasonally adjusted, obtained from Zillow Research (zillow.com/research/data). ZORI values are merged to NTAs via a ZIP-to-NTA spatial crosswalk, providing a market-rate rent complement to the survey-based ACS gross rent estimate.</w:t>
      </w:r>
    </w:p>
    <w:p w14:paraId="11E3B72C" w14:textId="77777777" w:rsidR="00536DDA" w:rsidRDefault="00536DDA">
      <w:pPr>
        <w:spacing w:after="40"/>
      </w:pPr>
    </w:p>
    <w:p w14:paraId="67F6C40F" w14:textId="77777777" w:rsidR="00536DDA" w:rsidRDefault="00000000">
      <w:pPr>
        <w:spacing w:before="140" w:after="60"/>
      </w:pPr>
      <w:r>
        <w:rPr>
          <w:rFonts w:ascii="Times New Roman" w:hAnsi="Times New Roman"/>
          <w:b/>
          <w:i/>
          <w:sz w:val="20"/>
        </w:rPr>
        <w:t>B. Census Tract-to-NTA Aggregation</w:t>
      </w:r>
    </w:p>
    <w:p w14:paraId="00CC72AE" w14:textId="77777777" w:rsidR="00536DDA" w:rsidRDefault="00000000">
      <w:pPr>
        <w:spacing w:after="100"/>
        <w:ind w:firstLine="280"/>
        <w:jc w:val="both"/>
      </w:pPr>
      <w:r>
        <w:rPr>
          <w:rFonts w:ascii="Times New Roman" w:hAnsi="Times New Roman"/>
          <w:sz w:val="20"/>
        </w:rPr>
        <w:t xml:space="preserve">The official DCP geographic crosswalk (NYC Open Data dataset ID: hm78-6dwm) maps 2,327 census tracts to 263 NTAs across five NYC boroughs. Staten Island (24 NTAs) is excluded from this analysis due to insufficient ACS tract coverage in certain years, yielding a working universe of 239 NTAs across four boroughs. Continuous monetary variables (median household income, median gross rent) are aggregated from tract to NTA using population-weighted averaging, preserving the distributional properties of the underlying survey data. Proportion variables (vacancy rate, crowding rate, </w:t>
      </w:r>
      <w:r>
        <w:rPr>
          <w:rFonts w:ascii="Times New Roman" w:hAnsi="Times New Roman"/>
          <w:sz w:val="20"/>
        </w:rPr>
        <w:lastRenderedPageBreak/>
        <w:t>burden rates) are computed as weighted means, with population as the weighting variable. NTA-year cells with fewer than three contributing census tracts are excluded to ensure statistical representativeness, resulting in less than 3% of cells being excluded.</w:t>
      </w:r>
    </w:p>
    <w:p w14:paraId="3E584105" w14:textId="77777777" w:rsidR="00536DDA" w:rsidRDefault="00000000">
      <w:pPr>
        <w:spacing w:before="140" w:after="60"/>
      </w:pPr>
      <w:r>
        <w:rPr>
          <w:rFonts w:ascii="Times New Roman" w:hAnsi="Times New Roman"/>
          <w:b/>
          <w:i/>
          <w:sz w:val="20"/>
        </w:rPr>
        <w:t>C. Panel Structure and Target Variable</w:t>
      </w:r>
    </w:p>
    <w:p w14:paraId="5AC3456B" w14:textId="77777777" w:rsidR="00536DDA" w:rsidRDefault="00000000">
      <w:pPr>
        <w:spacing w:after="100"/>
        <w:ind w:firstLine="280"/>
        <w:jc w:val="both"/>
      </w:pPr>
      <w:r>
        <w:rPr>
          <w:rFonts w:ascii="Times New Roman" w:hAnsi="Times New Roman"/>
          <w:sz w:val="20"/>
        </w:rPr>
        <w:t>The final panel dataset contains 2,512 NTA-year observations (239 NTAs × 11 years, 2012–2022), with 49 columns comprising 23 raw ACS variables, 6 engineered features, 6 one-year temporal lag features, and 14 auxiliary identifiers and categorical indicators. The primary prediction target is rent_burden_50plus_pct: the share of renter-occupied households in each NTA paying 50% or more of gross household income on housing costs, derived from ACS Table B25070. This corresponds to the HUD 'severely cost-burdened' classification—the threshold at which housing instability risk, food insecurity, and health impacts are most acute [1]. The target variable has a panel mean of 0.218 (SD=0.089), a right-skewed distribution (skewness=0.63), and a range of [0.041, 0.612] across all NTA-year observations. Table I summarizes the dataset structure.</w:t>
      </w:r>
    </w:p>
    <w:p w14:paraId="104AEEB1" w14:textId="77777777" w:rsidR="00536DDA" w:rsidRDefault="00536DDA">
      <w:pPr>
        <w:spacing w:after="40"/>
      </w:pPr>
    </w:p>
    <w:p w14:paraId="25B3C775" w14:textId="77777777" w:rsidR="00536DDA" w:rsidRDefault="00000000">
      <w:pPr>
        <w:spacing w:before="140" w:after="40"/>
        <w:jc w:val="center"/>
      </w:pPr>
      <w:r>
        <w:rPr>
          <w:rFonts w:ascii="Times New Roman" w:hAnsi="Times New Roman"/>
          <w:b/>
          <w:sz w:val="18"/>
        </w:rPr>
        <w:t>TABLE I: SUMMARY OF NTA-LEVEL PANEL DATASET</w:t>
      </w:r>
    </w:p>
    <w:tbl>
      <w:tblPr>
        <w:tblStyle w:val="TableGrid"/>
        <w:tblW w:w="0" w:type="auto"/>
        <w:jc w:val="center"/>
        <w:tblLook w:val="04A0" w:firstRow="1" w:lastRow="0" w:firstColumn="1" w:lastColumn="0" w:noHBand="0" w:noVBand="1"/>
      </w:tblPr>
      <w:tblGrid>
        <w:gridCol w:w="3691"/>
        <w:gridCol w:w="6379"/>
      </w:tblGrid>
      <w:tr w:rsidR="00536DDA" w14:paraId="3B3B22A3" w14:textId="77777777">
        <w:trPr>
          <w:jc w:val="center"/>
        </w:trPr>
        <w:tc>
          <w:tcPr>
            <w:tcW w:w="3744" w:type="dxa"/>
            <w:shd w:val="clear" w:color="auto" w:fill="1A376C"/>
          </w:tcPr>
          <w:p w14:paraId="7CF78E18" w14:textId="77777777" w:rsidR="00536DDA" w:rsidRDefault="00000000">
            <w:pPr>
              <w:jc w:val="center"/>
            </w:pPr>
            <w:r>
              <w:rPr>
                <w:rFonts w:ascii="Times New Roman" w:hAnsi="Times New Roman"/>
                <w:b/>
                <w:color w:val="FFFFFF"/>
                <w:sz w:val="16"/>
              </w:rPr>
              <w:t>Attribute</w:t>
            </w:r>
          </w:p>
        </w:tc>
        <w:tc>
          <w:tcPr>
            <w:tcW w:w="6480" w:type="dxa"/>
            <w:shd w:val="clear" w:color="auto" w:fill="1A376C"/>
          </w:tcPr>
          <w:p w14:paraId="40133092" w14:textId="77777777" w:rsidR="00536DDA" w:rsidRDefault="00000000">
            <w:pPr>
              <w:jc w:val="center"/>
            </w:pPr>
            <w:r>
              <w:rPr>
                <w:rFonts w:ascii="Times New Roman" w:hAnsi="Times New Roman"/>
                <w:b/>
                <w:color w:val="FFFFFF"/>
                <w:sz w:val="16"/>
              </w:rPr>
              <w:t>Value / Description</w:t>
            </w:r>
          </w:p>
        </w:tc>
      </w:tr>
      <w:tr w:rsidR="00536DDA" w14:paraId="307D63B1" w14:textId="77777777">
        <w:trPr>
          <w:jc w:val="center"/>
        </w:trPr>
        <w:tc>
          <w:tcPr>
            <w:tcW w:w="3744" w:type="dxa"/>
            <w:shd w:val="clear" w:color="auto" w:fill="EBF0FA"/>
          </w:tcPr>
          <w:p w14:paraId="66AC99A2" w14:textId="77777777" w:rsidR="00536DDA" w:rsidRDefault="00000000">
            <w:pPr>
              <w:jc w:val="center"/>
            </w:pPr>
            <w:r>
              <w:rPr>
                <w:rFonts w:ascii="Times New Roman" w:hAnsi="Times New Roman"/>
                <w:sz w:val="16"/>
              </w:rPr>
              <w:t>Total NTA-year observations</w:t>
            </w:r>
          </w:p>
        </w:tc>
        <w:tc>
          <w:tcPr>
            <w:tcW w:w="6480" w:type="dxa"/>
            <w:shd w:val="clear" w:color="auto" w:fill="EBF0FA"/>
          </w:tcPr>
          <w:p w14:paraId="068ED491" w14:textId="77777777" w:rsidR="00536DDA" w:rsidRDefault="00000000">
            <w:pPr>
              <w:jc w:val="center"/>
            </w:pPr>
            <w:r>
              <w:rPr>
                <w:rFonts w:ascii="Times New Roman" w:hAnsi="Times New Roman"/>
                <w:sz w:val="16"/>
              </w:rPr>
              <w:t>2,512</w:t>
            </w:r>
          </w:p>
        </w:tc>
      </w:tr>
      <w:tr w:rsidR="00536DDA" w14:paraId="376B773B" w14:textId="77777777">
        <w:trPr>
          <w:jc w:val="center"/>
        </w:trPr>
        <w:tc>
          <w:tcPr>
            <w:tcW w:w="3744" w:type="dxa"/>
          </w:tcPr>
          <w:p w14:paraId="55664CCC" w14:textId="77777777" w:rsidR="00536DDA" w:rsidRDefault="00000000">
            <w:pPr>
              <w:jc w:val="center"/>
            </w:pPr>
            <w:r>
              <w:rPr>
                <w:rFonts w:ascii="Times New Roman" w:hAnsi="Times New Roman"/>
                <w:sz w:val="16"/>
              </w:rPr>
              <w:t>NTAs (neighborhoods)</w:t>
            </w:r>
          </w:p>
        </w:tc>
        <w:tc>
          <w:tcPr>
            <w:tcW w:w="6480" w:type="dxa"/>
          </w:tcPr>
          <w:p w14:paraId="509D2399" w14:textId="77777777" w:rsidR="00536DDA" w:rsidRDefault="00000000">
            <w:pPr>
              <w:jc w:val="center"/>
            </w:pPr>
            <w:r>
              <w:rPr>
                <w:rFonts w:ascii="Times New Roman" w:hAnsi="Times New Roman"/>
                <w:sz w:val="16"/>
              </w:rPr>
              <w:t>239  (Bronx: 59, Brooklyn: 76, Manhattan: 55, Queens: 49)</w:t>
            </w:r>
          </w:p>
        </w:tc>
      </w:tr>
      <w:tr w:rsidR="00536DDA" w14:paraId="6C71003E" w14:textId="77777777">
        <w:trPr>
          <w:jc w:val="center"/>
        </w:trPr>
        <w:tc>
          <w:tcPr>
            <w:tcW w:w="3744" w:type="dxa"/>
            <w:shd w:val="clear" w:color="auto" w:fill="EBF0FA"/>
          </w:tcPr>
          <w:p w14:paraId="30C9D353" w14:textId="77777777" w:rsidR="00536DDA" w:rsidRDefault="00000000">
            <w:pPr>
              <w:jc w:val="center"/>
            </w:pPr>
            <w:r>
              <w:rPr>
                <w:rFonts w:ascii="Times New Roman" w:hAnsi="Times New Roman"/>
                <w:sz w:val="16"/>
              </w:rPr>
              <w:t>Boroughs</w:t>
            </w:r>
          </w:p>
        </w:tc>
        <w:tc>
          <w:tcPr>
            <w:tcW w:w="6480" w:type="dxa"/>
            <w:shd w:val="clear" w:color="auto" w:fill="EBF0FA"/>
          </w:tcPr>
          <w:p w14:paraId="49BCD62B" w14:textId="77777777" w:rsidR="00536DDA" w:rsidRDefault="00000000">
            <w:pPr>
              <w:jc w:val="center"/>
            </w:pPr>
            <w:r>
              <w:rPr>
                <w:rFonts w:ascii="Times New Roman" w:hAnsi="Times New Roman"/>
                <w:sz w:val="16"/>
              </w:rPr>
              <w:t>4  (Staten Island excluded)</w:t>
            </w:r>
          </w:p>
        </w:tc>
      </w:tr>
      <w:tr w:rsidR="00536DDA" w14:paraId="0260F1D7" w14:textId="77777777">
        <w:trPr>
          <w:jc w:val="center"/>
        </w:trPr>
        <w:tc>
          <w:tcPr>
            <w:tcW w:w="3744" w:type="dxa"/>
          </w:tcPr>
          <w:p w14:paraId="46233572" w14:textId="77777777" w:rsidR="00536DDA" w:rsidRDefault="00000000">
            <w:pPr>
              <w:jc w:val="center"/>
            </w:pPr>
            <w:r>
              <w:rPr>
                <w:rFonts w:ascii="Times New Roman" w:hAnsi="Times New Roman"/>
                <w:sz w:val="16"/>
              </w:rPr>
              <w:t>Time period</w:t>
            </w:r>
          </w:p>
        </w:tc>
        <w:tc>
          <w:tcPr>
            <w:tcW w:w="6480" w:type="dxa"/>
          </w:tcPr>
          <w:p w14:paraId="4FC6380C" w14:textId="77777777" w:rsidR="00536DDA" w:rsidRDefault="00000000">
            <w:pPr>
              <w:jc w:val="center"/>
            </w:pPr>
            <w:r>
              <w:rPr>
                <w:rFonts w:ascii="Times New Roman" w:hAnsi="Times New Roman"/>
                <w:sz w:val="16"/>
              </w:rPr>
              <w:t>2012–2022  (11 annual waves)</w:t>
            </w:r>
          </w:p>
        </w:tc>
      </w:tr>
      <w:tr w:rsidR="00536DDA" w14:paraId="70837024" w14:textId="77777777">
        <w:trPr>
          <w:jc w:val="center"/>
        </w:trPr>
        <w:tc>
          <w:tcPr>
            <w:tcW w:w="3744" w:type="dxa"/>
            <w:shd w:val="clear" w:color="auto" w:fill="EBF0FA"/>
          </w:tcPr>
          <w:p w14:paraId="5C2A7189" w14:textId="77777777" w:rsidR="00536DDA" w:rsidRDefault="00000000">
            <w:pPr>
              <w:jc w:val="center"/>
            </w:pPr>
            <w:r>
              <w:rPr>
                <w:rFonts w:ascii="Times New Roman" w:hAnsi="Times New Roman"/>
                <w:sz w:val="16"/>
              </w:rPr>
              <w:t>Total features (incl. engineered)</w:t>
            </w:r>
          </w:p>
        </w:tc>
        <w:tc>
          <w:tcPr>
            <w:tcW w:w="6480" w:type="dxa"/>
            <w:shd w:val="clear" w:color="auto" w:fill="EBF0FA"/>
          </w:tcPr>
          <w:p w14:paraId="635289F5" w14:textId="77777777" w:rsidR="00536DDA" w:rsidRDefault="00000000">
            <w:pPr>
              <w:jc w:val="center"/>
            </w:pPr>
            <w:r>
              <w:rPr>
                <w:rFonts w:ascii="Times New Roman" w:hAnsi="Times New Roman"/>
                <w:sz w:val="16"/>
              </w:rPr>
              <w:t>49</w:t>
            </w:r>
          </w:p>
        </w:tc>
      </w:tr>
      <w:tr w:rsidR="00536DDA" w14:paraId="0A7B7FF0" w14:textId="77777777">
        <w:trPr>
          <w:jc w:val="center"/>
        </w:trPr>
        <w:tc>
          <w:tcPr>
            <w:tcW w:w="3744" w:type="dxa"/>
          </w:tcPr>
          <w:p w14:paraId="7D7203BE" w14:textId="77777777" w:rsidR="00536DDA" w:rsidRDefault="00000000">
            <w:pPr>
              <w:jc w:val="center"/>
            </w:pPr>
            <w:r>
              <w:rPr>
                <w:rFonts w:ascii="Times New Roman" w:hAnsi="Times New Roman"/>
                <w:sz w:val="16"/>
              </w:rPr>
              <w:t>Primary target variable</w:t>
            </w:r>
          </w:p>
        </w:tc>
        <w:tc>
          <w:tcPr>
            <w:tcW w:w="6480" w:type="dxa"/>
          </w:tcPr>
          <w:p w14:paraId="1A069B2B" w14:textId="77777777" w:rsidR="00536DDA" w:rsidRDefault="00000000">
            <w:pPr>
              <w:jc w:val="center"/>
            </w:pPr>
            <w:r>
              <w:rPr>
                <w:rFonts w:ascii="Times New Roman" w:hAnsi="Times New Roman"/>
                <w:sz w:val="16"/>
              </w:rPr>
              <w:t>rent_burden_50plus_pct  (ACS Table B25070)</w:t>
            </w:r>
          </w:p>
        </w:tc>
      </w:tr>
      <w:tr w:rsidR="00536DDA" w14:paraId="62FE8820" w14:textId="77777777">
        <w:trPr>
          <w:jc w:val="center"/>
        </w:trPr>
        <w:tc>
          <w:tcPr>
            <w:tcW w:w="3744" w:type="dxa"/>
            <w:shd w:val="clear" w:color="auto" w:fill="EBF0FA"/>
          </w:tcPr>
          <w:p w14:paraId="3EE7E052" w14:textId="77777777" w:rsidR="00536DDA" w:rsidRDefault="00000000">
            <w:pPr>
              <w:jc w:val="center"/>
            </w:pPr>
            <w:r>
              <w:rPr>
                <w:rFonts w:ascii="Times New Roman" w:hAnsi="Times New Roman"/>
                <w:sz w:val="16"/>
              </w:rPr>
              <w:t>Target mean ± SD</w:t>
            </w:r>
          </w:p>
        </w:tc>
        <w:tc>
          <w:tcPr>
            <w:tcW w:w="6480" w:type="dxa"/>
            <w:shd w:val="clear" w:color="auto" w:fill="EBF0FA"/>
          </w:tcPr>
          <w:p w14:paraId="6095843A" w14:textId="77777777" w:rsidR="00536DDA" w:rsidRDefault="00000000">
            <w:pPr>
              <w:jc w:val="center"/>
            </w:pPr>
            <w:r>
              <w:rPr>
                <w:rFonts w:ascii="Times New Roman" w:hAnsi="Times New Roman"/>
                <w:sz w:val="16"/>
              </w:rPr>
              <w:t>0.218 ± 0.089  (range: 0.041–0.612)</w:t>
            </w:r>
          </w:p>
        </w:tc>
      </w:tr>
      <w:tr w:rsidR="00536DDA" w14:paraId="34014718" w14:textId="77777777">
        <w:trPr>
          <w:jc w:val="center"/>
        </w:trPr>
        <w:tc>
          <w:tcPr>
            <w:tcW w:w="3744" w:type="dxa"/>
          </w:tcPr>
          <w:p w14:paraId="59B91268" w14:textId="77777777" w:rsidR="00536DDA" w:rsidRDefault="00000000">
            <w:pPr>
              <w:jc w:val="center"/>
            </w:pPr>
            <w:r>
              <w:rPr>
                <w:rFonts w:ascii="Times New Roman" w:hAnsi="Times New Roman"/>
                <w:sz w:val="16"/>
              </w:rPr>
              <w:t>ACS tract-year records processed</w:t>
            </w:r>
          </w:p>
        </w:tc>
        <w:tc>
          <w:tcPr>
            <w:tcW w:w="6480" w:type="dxa"/>
          </w:tcPr>
          <w:p w14:paraId="2C04175E" w14:textId="77777777" w:rsidR="00536DDA" w:rsidRDefault="00000000">
            <w:pPr>
              <w:jc w:val="center"/>
            </w:pPr>
            <w:r>
              <w:rPr>
                <w:rFonts w:ascii="Times New Roman" w:hAnsi="Times New Roman"/>
                <w:sz w:val="16"/>
              </w:rPr>
              <w:t>23,059</w:t>
            </w:r>
          </w:p>
        </w:tc>
      </w:tr>
      <w:tr w:rsidR="00536DDA" w14:paraId="5BD00FFF" w14:textId="77777777">
        <w:trPr>
          <w:jc w:val="center"/>
        </w:trPr>
        <w:tc>
          <w:tcPr>
            <w:tcW w:w="3744" w:type="dxa"/>
            <w:shd w:val="clear" w:color="auto" w:fill="EBF0FA"/>
          </w:tcPr>
          <w:p w14:paraId="3011244F" w14:textId="77777777" w:rsidR="00536DDA" w:rsidRDefault="00000000">
            <w:pPr>
              <w:jc w:val="center"/>
            </w:pPr>
            <w:r>
              <w:rPr>
                <w:rFonts w:ascii="Times New Roman" w:hAnsi="Times New Roman"/>
                <w:sz w:val="16"/>
              </w:rPr>
              <w:t>Eviction records merged</w:t>
            </w:r>
          </w:p>
        </w:tc>
        <w:tc>
          <w:tcPr>
            <w:tcW w:w="6480" w:type="dxa"/>
            <w:shd w:val="clear" w:color="auto" w:fill="EBF0FA"/>
          </w:tcPr>
          <w:p w14:paraId="1CAAB435" w14:textId="77777777" w:rsidR="00536DDA" w:rsidRDefault="00000000">
            <w:pPr>
              <w:jc w:val="center"/>
            </w:pPr>
            <w:r>
              <w:rPr>
                <w:rFonts w:ascii="Times New Roman" w:hAnsi="Times New Roman"/>
                <w:sz w:val="16"/>
              </w:rPr>
              <w:t>91,198  (aggregated to NTA-year)</w:t>
            </w:r>
          </w:p>
        </w:tc>
      </w:tr>
      <w:tr w:rsidR="00536DDA" w14:paraId="5E1AE2EB" w14:textId="77777777">
        <w:trPr>
          <w:jc w:val="center"/>
        </w:trPr>
        <w:tc>
          <w:tcPr>
            <w:tcW w:w="3744" w:type="dxa"/>
          </w:tcPr>
          <w:p w14:paraId="5802930F" w14:textId="77777777" w:rsidR="00536DDA" w:rsidRDefault="00000000">
            <w:pPr>
              <w:jc w:val="center"/>
            </w:pPr>
            <w:r>
              <w:rPr>
                <w:rFonts w:ascii="Times New Roman" w:hAnsi="Times New Roman"/>
                <w:sz w:val="16"/>
              </w:rPr>
              <w:t>Missing target values</w:t>
            </w:r>
          </w:p>
        </w:tc>
        <w:tc>
          <w:tcPr>
            <w:tcW w:w="6480" w:type="dxa"/>
          </w:tcPr>
          <w:p w14:paraId="75D09617" w14:textId="77777777" w:rsidR="00536DDA" w:rsidRDefault="00000000">
            <w:pPr>
              <w:jc w:val="center"/>
            </w:pPr>
            <w:r>
              <w:rPr>
                <w:rFonts w:ascii="Times New Roman" w:hAnsi="Times New Roman"/>
                <w:sz w:val="16"/>
              </w:rPr>
              <w:t>&lt; 3%  (imputed via training-set median)</w:t>
            </w:r>
          </w:p>
        </w:tc>
      </w:tr>
      <w:tr w:rsidR="00536DDA" w14:paraId="48860B61" w14:textId="77777777">
        <w:trPr>
          <w:jc w:val="center"/>
        </w:trPr>
        <w:tc>
          <w:tcPr>
            <w:tcW w:w="3744" w:type="dxa"/>
            <w:shd w:val="clear" w:color="auto" w:fill="EBF0FA"/>
          </w:tcPr>
          <w:p w14:paraId="4880473C" w14:textId="77777777" w:rsidR="00536DDA" w:rsidRDefault="00000000">
            <w:pPr>
              <w:jc w:val="center"/>
            </w:pPr>
            <w:r>
              <w:rPr>
                <w:rFonts w:ascii="Times New Roman" w:hAnsi="Times New Roman"/>
                <w:sz w:val="16"/>
              </w:rPr>
              <w:t>Train set (2012–2019)</w:t>
            </w:r>
          </w:p>
        </w:tc>
        <w:tc>
          <w:tcPr>
            <w:tcW w:w="6480" w:type="dxa"/>
            <w:shd w:val="clear" w:color="auto" w:fill="EBF0FA"/>
          </w:tcPr>
          <w:p w14:paraId="7C3997EB" w14:textId="77777777" w:rsidR="00536DDA" w:rsidRDefault="00000000">
            <w:pPr>
              <w:jc w:val="center"/>
            </w:pPr>
            <w:r>
              <w:rPr>
                <w:rFonts w:ascii="Times New Roman" w:hAnsi="Times New Roman"/>
                <w:sz w:val="16"/>
              </w:rPr>
              <w:t>1,912 observations  (76.1%)</w:t>
            </w:r>
          </w:p>
        </w:tc>
      </w:tr>
      <w:tr w:rsidR="00536DDA" w14:paraId="641FC6E5" w14:textId="77777777">
        <w:trPr>
          <w:jc w:val="center"/>
        </w:trPr>
        <w:tc>
          <w:tcPr>
            <w:tcW w:w="3744" w:type="dxa"/>
          </w:tcPr>
          <w:p w14:paraId="596F6F90" w14:textId="77777777" w:rsidR="00536DDA" w:rsidRDefault="00000000">
            <w:pPr>
              <w:jc w:val="center"/>
            </w:pPr>
            <w:r>
              <w:rPr>
                <w:rFonts w:ascii="Times New Roman" w:hAnsi="Times New Roman"/>
                <w:sz w:val="16"/>
              </w:rPr>
              <w:t>Validation set (2020)</w:t>
            </w:r>
          </w:p>
        </w:tc>
        <w:tc>
          <w:tcPr>
            <w:tcW w:w="6480" w:type="dxa"/>
          </w:tcPr>
          <w:p w14:paraId="2317D3A9" w14:textId="77777777" w:rsidR="00536DDA" w:rsidRDefault="00000000">
            <w:pPr>
              <w:jc w:val="center"/>
            </w:pPr>
            <w:r>
              <w:rPr>
                <w:rFonts w:ascii="Times New Roman" w:hAnsi="Times New Roman"/>
                <w:sz w:val="16"/>
              </w:rPr>
              <w:t>239 observations   (9.5%)</w:t>
            </w:r>
          </w:p>
        </w:tc>
      </w:tr>
      <w:tr w:rsidR="00536DDA" w14:paraId="1AFF7CAF" w14:textId="77777777">
        <w:trPr>
          <w:jc w:val="center"/>
        </w:trPr>
        <w:tc>
          <w:tcPr>
            <w:tcW w:w="3744" w:type="dxa"/>
            <w:shd w:val="clear" w:color="auto" w:fill="EBF0FA"/>
          </w:tcPr>
          <w:p w14:paraId="321E2A7D" w14:textId="77777777" w:rsidR="00536DDA" w:rsidRDefault="00000000">
            <w:pPr>
              <w:jc w:val="center"/>
            </w:pPr>
            <w:r>
              <w:rPr>
                <w:rFonts w:ascii="Times New Roman" w:hAnsi="Times New Roman"/>
                <w:sz w:val="16"/>
              </w:rPr>
              <w:t>Test set (2021–2022)</w:t>
            </w:r>
          </w:p>
        </w:tc>
        <w:tc>
          <w:tcPr>
            <w:tcW w:w="6480" w:type="dxa"/>
            <w:shd w:val="clear" w:color="auto" w:fill="EBF0FA"/>
          </w:tcPr>
          <w:p w14:paraId="4A50DB72" w14:textId="77777777" w:rsidR="00536DDA" w:rsidRDefault="00000000">
            <w:pPr>
              <w:jc w:val="center"/>
            </w:pPr>
            <w:r>
              <w:rPr>
                <w:rFonts w:ascii="Times New Roman" w:hAnsi="Times New Roman"/>
                <w:sz w:val="16"/>
              </w:rPr>
              <w:t>478 observations   (19.0%)</w:t>
            </w:r>
          </w:p>
        </w:tc>
      </w:tr>
    </w:tbl>
    <w:p w14:paraId="565EF800" w14:textId="77777777" w:rsidR="00536DDA" w:rsidRDefault="00536DDA">
      <w:pPr>
        <w:spacing w:after="40"/>
      </w:pPr>
    </w:p>
    <w:p w14:paraId="145CFB35" w14:textId="77777777" w:rsidR="00536DDA" w:rsidRDefault="00000000">
      <w:pPr>
        <w:spacing w:before="200" w:after="100"/>
        <w:jc w:val="center"/>
      </w:pPr>
      <w:r>
        <w:rPr>
          <w:rFonts w:ascii="Times New Roman" w:hAnsi="Times New Roman"/>
          <w:b/>
          <w:sz w:val="20"/>
        </w:rPr>
        <w:t>IV. FEATURE ENGINEERING</w:t>
      </w:r>
    </w:p>
    <w:p w14:paraId="4E1DE69C" w14:textId="77777777" w:rsidR="00536DDA" w:rsidRDefault="00000000">
      <w:pPr>
        <w:spacing w:before="140" w:after="60"/>
      </w:pPr>
      <w:r>
        <w:rPr>
          <w:rFonts w:ascii="Times New Roman" w:hAnsi="Times New Roman"/>
          <w:b/>
          <w:i/>
          <w:sz w:val="20"/>
        </w:rPr>
        <w:t>A. Raw ACS Feature Set</w:t>
      </w:r>
    </w:p>
    <w:p w14:paraId="6C24DE03" w14:textId="77777777" w:rsidR="00536DDA" w:rsidRDefault="00000000">
      <w:pPr>
        <w:spacing w:after="100"/>
        <w:ind w:firstLine="280"/>
        <w:jc w:val="both"/>
      </w:pPr>
      <w:r>
        <w:rPr>
          <w:rFonts w:ascii="Times New Roman" w:hAnsi="Times New Roman"/>
          <w:sz w:val="20"/>
        </w:rPr>
        <w:t>The 23 raw ACS-derived features can be organized into five conceptual groups: (1) Income variables: median household income, renter-specific median income, renter-to-household income ratio, income gap (difference between household and renter median incomes); (2) Rental market variables: median gross rent, median contract rent, rent-burdened shares at the 30% and 50% thresholds; (3) Housing stock variables: renter occupancy share, homeownership rate, housing vacancy rate, severe occupancy crowding rate (&gt;1.5 persons/room); (4) Labor market variables: civilian unemployment rate; (5) Neighborhood composition variables: public transit commute share, Gini coefficient of income inequality, eviction filing rate.</w:t>
      </w:r>
    </w:p>
    <w:p w14:paraId="5D661625" w14:textId="77777777" w:rsidR="00536DDA" w:rsidRDefault="00000000">
      <w:pPr>
        <w:spacing w:before="140" w:after="60"/>
      </w:pPr>
      <w:r>
        <w:rPr>
          <w:rFonts w:ascii="Times New Roman" w:hAnsi="Times New Roman"/>
          <w:b/>
          <w:i/>
          <w:sz w:val="20"/>
        </w:rPr>
        <w:t>B. Derived Composite Features</w:t>
      </w:r>
    </w:p>
    <w:p w14:paraId="306C696D" w14:textId="77777777" w:rsidR="00536DDA" w:rsidRDefault="00000000">
      <w:pPr>
        <w:spacing w:after="100"/>
        <w:ind w:firstLine="280"/>
        <w:jc w:val="both"/>
      </w:pPr>
      <w:r>
        <w:rPr>
          <w:rFonts w:ascii="Times New Roman" w:hAnsi="Times New Roman"/>
          <w:sz w:val="20"/>
        </w:rPr>
        <w:t>Four composite features are constructed from raw variables to capture higher-order housing market dynamics not directly observable in the ACS:</w:t>
      </w:r>
    </w:p>
    <w:p w14:paraId="4A154839" w14:textId="77777777" w:rsidR="00536DDA" w:rsidRDefault="00000000">
      <w:pPr>
        <w:pStyle w:val="ListBullet"/>
        <w:spacing w:after="60"/>
      </w:pPr>
      <w:r>
        <w:rPr>
          <w:rFonts w:ascii="Times New Roman" w:hAnsi="Times New Roman"/>
          <w:b/>
          <w:sz w:val="20"/>
        </w:rPr>
        <w:t xml:space="preserve">Market Tightness [(vacancy_rate + ε)⁻¹]: </w:t>
      </w:r>
      <w:r>
        <w:rPr>
          <w:rFonts w:ascii="Times New Roman" w:hAnsi="Times New Roman"/>
          <w:sz w:val="20"/>
        </w:rPr>
        <w:t>The inverse of the vacancy rate (ε=0.005 to avoid division by zero) proxies rental supply scarcity; higher values indicate tighter, less affordable markets.</w:t>
      </w:r>
    </w:p>
    <w:p w14:paraId="2D809371" w14:textId="77777777" w:rsidR="00536DDA" w:rsidRDefault="00000000">
      <w:pPr>
        <w:pStyle w:val="ListBullet"/>
        <w:spacing w:after="60"/>
      </w:pPr>
      <w:r>
        <w:rPr>
          <w:rFonts w:ascii="Times New Roman" w:hAnsi="Times New Roman"/>
          <w:b/>
          <w:sz w:val="20"/>
        </w:rPr>
        <w:t xml:space="preserve">Rent-to-Income Ratio [(gross_rent × 12) / renter_median_income]: </w:t>
      </w:r>
      <w:r>
        <w:rPr>
          <w:rFonts w:ascii="Times New Roman" w:hAnsi="Times New Roman"/>
          <w:sz w:val="20"/>
        </w:rPr>
        <w:t>The annualized ratio of gross rent to renter-specific median income provides a continuous measure of housing cost pressure that is more sensitive than the binary 50% threshold target.</w:t>
      </w:r>
    </w:p>
    <w:p w14:paraId="38A51CA2" w14:textId="77777777" w:rsidR="00536DDA" w:rsidRDefault="00000000">
      <w:pPr>
        <w:pStyle w:val="ListBullet"/>
        <w:spacing w:after="60"/>
      </w:pPr>
      <w:r>
        <w:rPr>
          <w:rFonts w:ascii="Times New Roman" w:hAnsi="Times New Roman"/>
          <w:b/>
          <w:sz w:val="20"/>
        </w:rPr>
        <w:lastRenderedPageBreak/>
        <w:t xml:space="preserve">Housing Burden Composite [unemployment_rate + severe_crowding_rate]: </w:t>
      </w:r>
      <w:r>
        <w:rPr>
          <w:rFonts w:ascii="Times New Roman" w:hAnsi="Times New Roman"/>
          <w:sz w:val="20"/>
        </w:rPr>
        <w:t>A simple additive index combining labor market stress and physical overcrowding, capturing compound household vulnerability to housing instability.</w:t>
      </w:r>
    </w:p>
    <w:p w14:paraId="314850BD" w14:textId="77777777" w:rsidR="00536DDA" w:rsidRDefault="00000000">
      <w:pPr>
        <w:pStyle w:val="ListBullet"/>
        <w:spacing w:after="60"/>
      </w:pPr>
      <w:r>
        <w:rPr>
          <w:rFonts w:ascii="Times New Roman" w:hAnsi="Times New Roman"/>
          <w:b/>
          <w:sz w:val="20"/>
        </w:rPr>
        <w:t xml:space="preserve">Renter Vulnerability Index [0.5 × (1 − renter_income_ratio) + 0.3 × unemployment_rate + 0.2 × crowding_rate]: </w:t>
      </w:r>
      <w:r>
        <w:rPr>
          <w:rFonts w:ascii="Times New Roman" w:hAnsi="Times New Roman"/>
          <w:sz w:val="20"/>
        </w:rPr>
        <w:t>A weighted composite of three economic exposure dimensions, designed to capture the multidimensional nature of renter vulnerability beyond any single indicator.</w:t>
      </w:r>
    </w:p>
    <w:p w14:paraId="3E4E2CFD" w14:textId="77777777" w:rsidR="00536DDA" w:rsidRDefault="00536DDA">
      <w:pPr>
        <w:spacing w:after="40"/>
      </w:pPr>
    </w:p>
    <w:p w14:paraId="5820C6F1" w14:textId="77777777" w:rsidR="00536DDA" w:rsidRDefault="00000000">
      <w:pPr>
        <w:spacing w:before="140" w:after="60"/>
      </w:pPr>
      <w:r>
        <w:rPr>
          <w:rFonts w:ascii="Times New Roman" w:hAnsi="Times New Roman"/>
          <w:b/>
          <w:i/>
          <w:sz w:val="20"/>
        </w:rPr>
        <w:t>C. Temporal Lag Features</w:t>
      </w:r>
    </w:p>
    <w:p w14:paraId="7C7CEE01" w14:textId="77777777" w:rsidR="00536DDA" w:rsidRDefault="00000000">
      <w:pPr>
        <w:spacing w:after="100"/>
        <w:ind w:firstLine="280"/>
        <w:jc w:val="both"/>
      </w:pPr>
      <w:r>
        <w:rPr>
          <w:rFonts w:ascii="Times New Roman" w:hAnsi="Times New Roman"/>
          <w:sz w:val="20"/>
        </w:rPr>
        <w:t>One-year lagged versions of six key predictors are included to capture temporal persistence and enable autoregressive-style prediction: (1) median household income, (2) renter median income, (3) unemployment rate, (4) rent burden at 30% threshold, (5) vacancy rate, and (6) median gross rent. Lagged features are computed within each NTA time series and are unavailable for 2012 (the first observation year), which is consequently excluded from the modeling sample for NTAs where lag values cannot be computed. Year-on-year growth rates for income and rent are also included to capture momentum effects.</w:t>
      </w:r>
    </w:p>
    <w:p w14:paraId="5FC39020" w14:textId="77777777" w:rsidR="00536DDA" w:rsidRDefault="00000000">
      <w:pPr>
        <w:spacing w:before="140" w:after="60"/>
      </w:pPr>
      <w:r>
        <w:rPr>
          <w:rFonts w:ascii="Times New Roman" w:hAnsi="Times New Roman"/>
          <w:b/>
          <w:i/>
          <w:sz w:val="20"/>
        </w:rPr>
        <w:t>D. Temporal and Spatial Identifiers</w:t>
      </w:r>
    </w:p>
    <w:p w14:paraId="6C7D0DE3" w14:textId="77777777" w:rsidR="00536DDA" w:rsidRDefault="00000000">
      <w:pPr>
        <w:spacing w:after="100"/>
        <w:ind w:firstLine="280"/>
        <w:jc w:val="both"/>
      </w:pPr>
      <w:r>
        <w:rPr>
          <w:rFonts w:ascii="Times New Roman" w:hAnsi="Times New Roman"/>
          <w:sz w:val="20"/>
        </w:rPr>
        <w:t>Three categorical/binary features capture temporal and spatial fixed effects: (1) borough_code (1–4, integer-encoded borough identifier), (2) year (2012–2022, used as a continuous temporal trend feature), and (3) covid_year (binary indicator: 1 for 2020–2021, 0 otherwise), capturing the structural break introduced by the COVID-19 pandemic and associated eviction moratoriums, rent payment forbearance, and emergency rental assistance programs. The final feature set used for modeling contains 30 features after filtering for availability across all NTA-year pairs.</w:t>
      </w:r>
    </w:p>
    <w:p w14:paraId="148ABDBF" w14:textId="77777777" w:rsidR="00536DDA" w:rsidRDefault="00536DDA">
      <w:pPr>
        <w:spacing w:after="40"/>
      </w:pPr>
    </w:p>
    <w:p w14:paraId="299DFAAA" w14:textId="77777777" w:rsidR="00536DDA" w:rsidRDefault="00000000">
      <w:pPr>
        <w:spacing w:before="140" w:after="40"/>
        <w:jc w:val="center"/>
      </w:pPr>
      <w:r>
        <w:rPr>
          <w:rFonts w:ascii="Times New Roman" w:hAnsi="Times New Roman"/>
          <w:b/>
          <w:sz w:val="18"/>
        </w:rPr>
        <w:t>TABLE II: FEATURE ENGINEERING SUMMARY (30 MODELING FEATURES)</w:t>
      </w:r>
    </w:p>
    <w:tbl>
      <w:tblPr>
        <w:tblStyle w:val="TableGrid"/>
        <w:tblW w:w="0" w:type="auto"/>
        <w:jc w:val="center"/>
        <w:tblLook w:val="04A0" w:firstRow="1" w:lastRow="0" w:firstColumn="1" w:lastColumn="0" w:noHBand="0" w:noVBand="1"/>
      </w:tblPr>
      <w:tblGrid>
        <w:gridCol w:w="2129"/>
        <w:gridCol w:w="1708"/>
        <w:gridCol w:w="999"/>
        <w:gridCol w:w="5234"/>
      </w:tblGrid>
      <w:tr w:rsidR="00536DDA" w14:paraId="30663E1A" w14:textId="77777777">
        <w:trPr>
          <w:jc w:val="center"/>
        </w:trPr>
        <w:tc>
          <w:tcPr>
            <w:tcW w:w="2160" w:type="dxa"/>
            <w:shd w:val="clear" w:color="auto" w:fill="1A376C"/>
          </w:tcPr>
          <w:p w14:paraId="2CA62107" w14:textId="77777777" w:rsidR="00536DDA" w:rsidRDefault="00000000">
            <w:pPr>
              <w:jc w:val="center"/>
            </w:pPr>
            <w:r>
              <w:rPr>
                <w:rFonts w:ascii="Times New Roman" w:hAnsi="Times New Roman"/>
                <w:b/>
                <w:color w:val="FFFFFF"/>
                <w:sz w:val="16"/>
              </w:rPr>
              <w:t>Group</w:t>
            </w:r>
          </w:p>
        </w:tc>
        <w:tc>
          <w:tcPr>
            <w:tcW w:w="1728" w:type="dxa"/>
            <w:shd w:val="clear" w:color="auto" w:fill="1A376C"/>
          </w:tcPr>
          <w:p w14:paraId="7C4DD824" w14:textId="77777777" w:rsidR="00536DDA" w:rsidRDefault="00000000">
            <w:pPr>
              <w:jc w:val="center"/>
            </w:pPr>
            <w:r>
              <w:rPr>
                <w:rFonts w:ascii="Times New Roman" w:hAnsi="Times New Roman"/>
                <w:b/>
                <w:color w:val="FFFFFF"/>
                <w:sz w:val="16"/>
              </w:rPr>
              <w:t>Features</w:t>
            </w:r>
          </w:p>
        </w:tc>
        <w:tc>
          <w:tcPr>
            <w:tcW w:w="1008" w:type="dxa"/>
            <w:shd w:val="clear" w:color="auto" w:fill="1A376C"/>
          </w:tcPr>
          <w:p w14:paraId="5169CBAC" w14:textId="77777777" w:rsidR="00536DDA" w:rsidRDefault="00000000">
            <w:pPr>
              <w:jc w:val="center"/>
            </w:pPr>
            <w:r>
              <w:rPr>
                <w:rFonts w:ascii="Times New Roman" w:hAnsi="Times New Roman"/>
                <w:b/>
                <w:color w:val="FFFFFF"/>
                <w:sz w:val="16"/>
              </w:rPr>
              <w:t>Count</w:t>
            </w:r>
          </w:p>
        </w:tc>
        <w:tc>
          <w:tcPr>
            <w:tcW w:w="5328" w:type="dxa"/>
            <w:shd w:val="clear" w:color="auto" w:fill="1A376C"/>
          </w:tcPr>
          <w:p w14:paraId="62B76338" w14:textId="77777777" w:rsidR="00536DDA" w:rsidRDefault="00000000">
            <w:pPr>
              <w:jc w:val="center"/>
            </w:pPr>
            <w:r>
              <w:rPr>
                <w:rFonts w:ascii="Times New Roman" w:hAnsi="Times New Roman"/>
                <w:b/>
                <w:color w:val="FFFFFF"/>
                <w:sz w:val="16"/>
              </w:rPr>
              <w:t>Key Variables</w:t>
            </w:r>
          </w:p>
        </w:tc>
      </w:tr>
      <w:tr w:rsidR="00536DDA" w14:paraId="7784CF61" w14:textId="77777777">
        <w:trPr>
          <w:jc w:val="center"/>
        </w:trPr>
        <w:tc>
          <w:tcPr>
            <w:tcW w:w="2160" w:type="dxa"/>
            <w:shd w:val="clear" w:color="auto" w:fill="EBF0FA"/>
          </w:tcPr>
          <w:p w14:paraId="5D692E5B" w14:textId="77777777" w:rsidR="00536DDA" w:rsidRDefault="00000000">
            <w:pPr>
              <w:jc w:val="center"/>
            </w:pPr>
            <w:r>
              <w:rPr>
                <w:rFonts w:ascii="Times New Roman" w:hAnsi="Times New Roman"/>
                <w:sz w:val="16"/>
              </w:rPr>
              <w:t>Income</w:t>
            </w:r>
          </w:p>
        </w:tc>
        <w:tc>
          <w:tcPr>
            <w:tcW w:w="1728" w:type="dxa"/>
            <w:shd w:val="clear" w:color="auto" w:fill="EBF0FA"/>
          </w:tcPr>
          <w:p w14:paraId="27243AC4" w14:textId="77777777" w:rsidR="00536DDA" w:rsidRDefault="00000000">
            <w:pPr>
              <w:jc w:val="center"/>
            </w:pPr>
            <w:r>
              <w:rPr>
                <w:rFonts w:ascii="Times New Roman" w:hAnsi="Times New Roman"/>
                <w:sz w:val="16"/>
              </w:rPr>
              <w:t>Raw ACS</w:t>
            </w:r>
          </w:p>
        </w:tc>
        <w:tc>
          <w:tcPr>
            <w:tcW w:w="1008" w:type="dxa"/>
            <w:shd w:val="clear" w:color="auto" w:fill="EBF0FA"/>
          </w:tcPr>
          <w:p w14:paraId="33EF45A6" w14:textId="77777777" w:rsidR="00536DDA" w:rsidRDefault="00000000">
            <w:pPr>
              <w:jc w:val="center"/>
            </w:pPr>
            <w:r>
              <w:rPr>
                <w:rFonts w:ascii="Times New Roman" w:hAnsi="Times New Roman"/>
                <w:sz w:val="16"/>
              </w:rPr>
              <w:t>4</w:t>
            </w:r>
          </w:p>
        </w:tc>
        <w:tc>
          <w:tcPr>
            <w:tcW w:w="5328" w:type="dxa"/>
            <w:shd w:val="clear" w:color="auto" w:fill="EBF0FA"/>
          </w:tcPr>
          <w:p w14:paraId="7D4FBFFA" w14:textId="77777777" w:rsidR="00536DDA" w:rsidRDefault="00000000">
            <w:pPr>
              <w:jc w:val="center"/>
            </w:pPr>
            <w:r>
              <w:rPr>
                <w:rFonts w:ascii="Times New Roman" w:hAnsi="Times New Roman"/>
                <w:sz w:val="16"/>
              </w:rPr>
              <w:t>median_hh_income, renter_income_ratio, income_gap</w:t>
            </w:r>
          </w:p>
        </w:tc>
      </w:tr>
      <w:tr w:rsidR="00536DDA" w14:paraId="2ABE3F6B" w14:textId="77777777">
        <w:trPr>
          <w:jc w:val="center"/>
        </w:trPr>
        <w:tc>
          <w:tcPr>
            <w:tcW w:w="2160" w:type="dxa"/>
          </w:tcPr>
          <w:p w14:paraId="3D14BC4B" w14:textId="77777777" w:rsidR="00536DDA" w:rsidRDefault="00000000">
            <w:pPr>
              <w:jc w:val="center"/>
            </w:pPr>
            <w:r>
              <w:rPr>
                <w:rFonts w:ascii="Times New Roman" w:hAnsi="Times New Roman"/>
                <w:sz w:val="16"/>
              </w:rPr>
              <w:t>Rental Market</w:t>
            </w:r>
          </w:p>
        </w:tc>
        <w:tc>
          <w:tcPr>
            <w:tcW w:w="1728" w:type="dxa"/>
          </w:tcPr>
          <w:p w14:paraId="5F884D0E" w14:textId="77777777" w:rsidR="00536DDA" w:rsidRDefault="00000000">
            <w:pPr>
              <w:jc w:val="center"/>
            </w:pPr>
            <w:r>
              <w:rPr>
                <w:rFonts w:ascii="Times New Roman" w:hAnsi="Times New Roman"/>
                <w:sz w:val="16"/>
              </w:rPr>
              <w:t>Raw ACS</w:t>
            </w:r>
          </w:p>
        </w:tc>
        <w:tc>
          <w:tcPr>
            <w:tcW w:w="1008" w:type="dxa"/>
          </w:tcPr>
          <w:p w14:paraId="0B00FAB0" w14:textId="77777777" w:rsidR="00536DDA" w:rsidRDefault="00000000">
            <w:pPr>
              <w:jc w:val="center"/>
            </w:pPr>
            <w:r>
              <w:rPr>
                <w:rFonts w:ascii="Times New Roman" w:hAnsi="Times New Roman"/>
                <w:sz w:val="16"/>
              </w:rPr>
              <w:t>4</w:t>
            </w:r>
          </w:p>
        </w:tc>
        <w:tc>
          <w:tcPr>
            <w:tcW w:w="5328" w:type="dxa"/>
          </w:tcPr>
          <w:p w14:paraId="3F9DFB4B" w14:textId="77777777" w:rsidR="00536DDA" w:rsidRDefault="00000000">
            <w:pPr>
              <w:jc w:val="center"/>
            </w:pPr>
            <w:r>
              <w:rPr>
                <w:rFonts w:ascii="Times New Roman" w:hAnsi="Times New Roman"/>
                <w:sz w:val="16"/>
              </w:rPr>
              <w:t>median_gross_rent, median_contract_rent, rent_burden_30pct</w:t>
            </w:r>
          </w:p>
        </w:tc>
      </w:tr>
      <w:tr w:rsidR="00536DDA" w14:paraId="3861BCB3" w14:textId="77777777">
        <w:trPr>
          <w:jc w:val="center"/>
        </w:trPr>
        <w:tc>
          <w:tcPr>
            <w:tcW w:w="2160" w:type="dxa"/>
            <w:shd w:val="clear" w:color="auto" w:fill="EBF0FA"/>
          </w:tcPr>
          <w:p w14:paraId="5F93B72C" w14:textId="77777777" w:rsidR="00536DDA" w:rsidRDefault="00000000">
            <w:pPr>
              <w:jc w:val="center"/>
            </w:pPr>
            <w:r>
              <w:rPr>
                <w:rFonts w:ascii="Times New Roman" w:hAnsi="Times New Roman"/>
                <w:sz w:val="16"/>
              </w:rPr>
              <w:t>Housing Stock</w:t>
            </w:r>
          </w:p>
        </w:tc>
        <w:tc>
          <w:tcPr>
            <w:tcW w:w="1728" w:type="dxa"/>
            <w:shd w:val="clear" w:color="auto" w:fill="EBF0FA"/>
          </w:tcPr>
          <w:p w14:paraId="40E701E1" w14:textId="77777777" w:rsidR="00536DDA" w:rsidRDefault="00000000">
            <w:pPr>
              <w:jc w:val="center"/>
            </w:pPr>
            <w:r>
              <w:rPr>
                <w:rFonts w:ascii="Times New Roman" w:hAnsi="Times New Roman"/>
                <w:sz w:val="16"/>
              </w:rPr>
              <w:t>Raw ACS</w:t>
            </w:r>
          </w:p>
        </w:tc>
        <w:tc>
          <w:tcPr>
            <w:tcW w:w="1008" w:type="dxa"/>
            <w:shd w:val="clear" w:color="auto" w:fill="EBF0FA"/>
          </w:tcPr>
          <w:p w14:paraId="793FE7FB" w14:textId="77777777" w:rsidR="00536DDA" w:rsidRDefault="00000000">
            <w:pPr>
              <w:jc w:val="center"/>
            </w:pPr>
            <w:r>
              <w:rPr>
                <w:rFonts w:ascii="Times New Roman" w:hAnsi="Times New Roman"/>
                <w:sz w:val="16"/>
              </w:rPr>
              <w:t>5</w:t>
            </w:r>
          </w:p>
        </w:tc>
        <w:tc>
          <w:tcPr>
            <w:tcW w:w="5328" w:type="dxa"/>
            <w:shd w:val="clear" w:color="auto" w:fill="EBF0FA"/>
          </w:tcPr>
          <w:p w14:paraId="23B380D2" w14:textId="77777777" w:rsidR="00536DDA" w:rsidRDefault="00000000">
            <w:pPr>
              <w:jc w:val="center"/>
            </w:pPr>
            <w:r>
              <w:rPr>
                <w:rFonts w:ascii="Times New Roman" w:hAnsi="Times New Roman"/>
                <w:sz w:val="16"/>
              </w:rPr>
              <w:t>vacancy_rate, renter_share, severe_crowding_rate</w:t>
            </w:r>
          </w:p>
        </w:tc>
      </w:tr>
      <w:tr w:rsidR="00536DDA" w14:paraId="376AFA50" w14:textId="77777777">
        <w:trPr>
          <w:jc w:val="center"/>
        </w:trPr>
        <w:tc>
          <w:tcPr>
            <w:tcW w:w="2160" w:type="dxa"/>
          </w:tcPr>
          <w:p w14:paraId="1890F2A6" w14:textId="77777777" w:rsidR="00536DDA" w:rsidRDefault="00000000">
            <w:pPr>
              <w:jc w:val="center"/>
            </w:pPr>
            <w:r>
              <w:rPr>
                <w:rFonts w:ascii="Times New Roman" w:hAnsi="Times New Roman"/>
                <w:sz w:val="16"/>
              </w:rPr>
              <w:t>Labor / Inequality</w:t>
            </w:r>
          </w:p>
        </w:tc>
        <w:tc>
          <w:tcPr>
            <w:tcW w:w="1728" w:type="dxa"/>
          </w:tcPr>
          <w:p w14:paraId="0BB9990F" w14:textId="77777777" w:rsidR="00536DDA" w:rsidRDefault="00000000">
            <w:pPr>
              <w:jc w:val="center"/>
            </w:pPr>
            <w:r>
              <w:rPr>
                <w:rFonts w:ascii="Times New Roman" w:hAnsi="Times New Roman"/>
                <w:sz w:val="16"/>
              </w:rPr>
              <w:t>Raw ACS</w:t>
            </w:r>
          </w:p>
        </w:tc>
        <w:tc>
          <w:tcPr>
            <w:tcW w:w="1008" w:type="dxa"/>
          </w:tcPr>
          <w:p w14:paraId="6A318440" w14:textId="77777777" w:rsidR="00536DDA" w:rsidRDefault="00000000">
            <w:pPr>
              <w:jc w:val="center"/>
            </w:pPr>
            <w:r>
              <w:rPr>
                <w:rFonts w:ascii="Times New Roman" w:hAnsi="Times New Roman"/>
                <w:sz w:val="16"/>
              </w:rPr>
              <w:t>3</w:t>
            </w:r>
          </w:p>
        </w:tc>
        <w:tc>
          <w:tcPr>
            <w:tcW w:w="5328" w:type="dxa"/>
          </w:tcPr>
          <w:p w14:paraId="08AB871C" w14:textId="77777777" w:rsidR="00536DDA" w:rsidRDefault="00000000">
            <w:pPr>
              <w:jc w:val="center"/>
            </w:pPr>
            <w:r>
              <w:rPr>
                <w:rFonts w:ascii="Times New Roman" w:hAnsi="Times New Roman"/>
                <w:sz w:val="16"/>
              </w:rPr>
              <w:t>unemployment_rate, gini_coefficient, eviction_rate</w:t>
            </w:r>
          </w:p>
        </w:tc>
      </w:tr>
      <w:tr w:rsidR="00536DDA" w14:paraId="66725D9D" w14:textId="77777777">
        <w:trPr>
          <w:jc w:val="center"/>
        </w:trPr>
        <w:tc>
          <w:tcPr>
            <w:tcW w:w="2160" w:type="dxa"/>
            <w:shd w:val="clear" w:color="auto" w:fill="EBF0FA"/>
          </w:tcPr>
          <w:p w14:paraId="1E11B14C" w14:textId="77777777" w:rsidR="00536DDA" w:rsidRDefault="00000000">
            <w:pPr>
              <w:jc w:val="center"/>
            </w:pPr>
            <w:r>
              <w:rPr>
                <w:rFonts w:ascii="Times New Roman" w:hAnsi="Times New Roman"/>
                <w:sz w:val="16"/>
              </w:rPr>
              <w:t>Engineered</w:t>
            </w:r>
          </w:p>
        </w:tc>
        <w:tc>
          <w:tcPr>
            <w:tcW w:w="1728" w:type="dxa"/>
            <w:shd w:val="clear" w:color="auto" w:fill="EBF0FA"/>
          </w:tcPr>
          <w:p w14:paraId="27CB691B" w14:textId="77777777" w:rsidR="00536DDA" w:rsidRDefault="00000000">
            <w:pPr>
              <w:jc w:val="center"/>
            </w:pPr>
            <w:r>
              <w:rPr>
                <w:rFonts w:ascii="Times New Roman" w:hAnsi="Times New Roman"/>
                <w:sz w:val="16"/>
              </w:rPr>
              <w:t>Derived</w:t>
            </w:r>
          </w:p>
        </w:tc>
        <w:tc>
          <w:tcPr>
            <w:tcW w:w="1008" w:type="dxa"/>
            <w:shd w:val="clear" w:color="auto" w:fill="EBF0FA"/>
          </w:tcPr>
          <w:p w14:paraId="418C0900" w14:textId="77777777" w:rsidR="00536DDA" w:rsidRDefault="00000000">
            <w:pPr>
              <w:jc w:val="center"/>
            </w:pPr>
            <w:r>
              <w:rPr>
                <w:rFonts w:ascii="Times New Roman" w:hAnsi="Times New Roman"/>
                <w:sz w:val="16"/>
              </w:rPr>
              <w:t>4</w:t>
            </w:r>
          </w:p>
        </w:tc>
        <w:tc>
          <w:tcPr>
            <w:tcW w:w="5328" w:type="dxa"/>
            <w:shd w:val="clear" w:color="auto" w:fill="EBF0FA"/>
          </w:tcPr>
          <w:p w14:paraId="344216D3" w14:textId="77777777" w:rsidR="00536DDA" w:rsidRDefault="00000000">
            <w:pPr>
              <w:jc w:val="center"/>
            </w:pPr>
            <w:r>
              <w:rPr>
                <w:rFonts w:ascii="Times New Roman" w:hAnsi="Times New Roman"/>
                <w:sz w:val="16"/>
              </w:rPr>
              <w:t>market_tightness, rent_to_income_ratio, renter_vulnerability</w:t>
            </w:r>
          </w:p>
        </w:tc>
      </w:tr>
      <w:tr w:rsidR="00536DDA" w14:paraId="675D6AB6" w14:textId="77777777">
        <w:trPr>
          <w:jc w:val="center"/>
        </w:trPr>
        <w:tc>
          <w:tcPr>
            <w:tcW w:w="2160" w:type="dxa"/>
          </w:tcPr>
          <w:p w14:paraId="4C7E3C62" w14:textId="77777777" w:rsidR="00536DDA" w:rsidRDefault="00000000">
            <w:pPr>
              <w:jc w:val="center"/>
            </w:pPr>
            <w:r>
              <w:rPr>
                <w:rFonts w:ascii="Times New Roman" w:hAnsi="Times New Roman"/>
                <w:sz w:val="16"/>
              </w:rPr>
              <w:t>Temporal Lags</w:t>
            </w:r>
          </w:p>
        </w:tc>
        <w:tc>
          <w:tcPr>
            <w:tcW w:w="1728" w:type="dxa"/>
          </w:tcPr>
          <w:p w14:paraId="21DF481B" w14:textId="77777777" w:rsidR="00536DDA" w:rsidRDefault="00000000">
            <w:pPr>
              <w:jc w:val="center"/>
            </w:pPr>
            <w:r>
              <w:rPr>
                <w:rFonts w:ascii="Times New Roman" w:hAnsi="Times New Roman"/>
                <w:sz w:val="16"/>
              </w:rPr>
              <w:t>Lag(t−1)</w:t>
            </w:r>
          </w:p>
        </w:tc>
        <w:tc>
          <w:tcPr>
            <w:tcW w:w="1008" w:type="dxa"/>
          </w:tcPr>
          <w:p w14:paraId="0DDDF8BF" w14:textId="77777777" w:rsidR="00536DDA" w:rsidRDefault="00000000">
            <w:pPr>
              <w:jc w:val="center"/>
            </w:pPr>
            <w:r>
              <w:rPr>
                <w:rFonts w:ascii="Times New Roman" w:hAnsi="Times New Roman"/>
                <w:sz w:val="16"/>
              </w:rPr>
              <w:t>6</w:t>
            </w:r>
          </w:p>
        </w:tc>
        <w:tc>
          <w:tcPr>
            <w:tcW w:w="5328" w:type="dxa"/>
          </w:tcPr>
          <w:p w14:paraId="179C6F10" w14:textId="77777777" w:rsidR="00536DDA" w:rsidRDefault="00000000">
            <w:pPr>
              <w:jc w:val="center"/>
            </w:pPr>
            <w:r>
              <w:rPr>
                <w:rFonts w:ascii="Times New Roman" w:hAnsi="Times New Roman"/>
                <w:sz w:val="16"/>
              </w:rPr>
              <w:t>income_lag1, rent_lag1, unemployment_lag1</w:t>
            </w:r>
          </w:p>
        </w:tc>
      </w:tr>
      <w:tr w:rsidR="00536DDA" w14:paraId="1E48107B" w14:textId="77777777">
        <w:trPr>
          <w:jc w:val="center"/>
        </w:trPr>
        <w:tc>
          <w:tcPr>
            <w:tcW w:w="2160" w:type="dxa"/>
            <w:shd w:val="clear" w:color="auto" w:fill="EBF0FA"/>
          </w:tcPr>
          <w:p w14:paraId="05D3C746" w14:textId="77777777" w:rsidR="00536DDA" w:rsidRDefault="00000000">
            <w:pPr>
              <w:jc w:val="center"/>
            </w:pPr>
            <w:r>
              <w:rPr>
                <w:rFonts w:ascii="Times New Roman" w:hAnsi="Times New Roman"/>
                <w:sz w:val="16"/>
              </w:rPr>
              <w:t>Growth Rates</w:t>
            </w:r>
          </w:p>
        </w:tc>
        <w:tc>
          <w:tcPr>
            <w:tcW w:w="1728" w:type="dxa"/>
            <w:shd w:val="clear" w:color="auto" w:fill="EBF0FA"/>
          </w:tcPr>
          <w:p w14:paraId="28908546" w14:textId="77777777" w:rsidR="00536DDA" w:rsidRDefault="00000000">
            <w:pPr>
              <w:jc w:val="center"/>
            </w:pPr>
            <w:r>
              <w:rPr>
                <w:rFonts w:ascii="Times New Roman" w:hAnsi="Times New Roman"/>
                <w:sz w:val="16"/>
              </w:rPr>
              <w:t>YoY Delta</w:t>
            </w:r>
          </w:p>
        </w:tc>
        <w:tc>
          <w:tcPr>
            <w:tcW w:w="1008" w:type="dxa"/>
            <w:shd w:val="clear" w:color="auto" w:fill="EBF0FA"/>
          </w:tcPr>
          <w:p w14:paraId="4B5594C9" w14:textId="77777777" w:rsidR="00536DDA" w:rsidRDefault="00000000">
            <w:pPr>
              <w:jc w:val="center"/>
            </w:pPr>
            <w:r>
              <w:rPr>
                <w:rFonts w:ascii="Times New Roman" w:hAnsi="Times New Roman"/>
                <w:sz w:val="16"/>
              </w:rPr>
              <w:t>2</w:t>
            </w:r>
          </w:p>
        </w:tc>
        <w:tc>
          <w:tcPr>
            <w:tcW w:w="5328" w:type="dxa"/>
            <w:shd w:val="clear" w:color="auto" w:fill="EBF0FA"/>
          </w:tcPr>
          <w:p w14:paraId="2D39D25D" w14:textId="77777777" w:rsidR="00536DDA" w:rsidRDefault="00000000">
            <w:pPr>
              <w:jc w:val="center"/>
            </w:pPr>
            <w:r>
              <w:rPr>
                <w:rFonts w:ascii="Times New Roman" w:hAnsi="Times New Roman"/>
                <w:sz w:val="16"/>
              </w:rPr>
              <w:t>income_growth_yoy, rent_growth_yoy</w:t>
            </w:r>
          </w:p>
        </w:tc>
      </w:tr>
      <w:tr w:rsidR="00536DDA" w14:paraId="6A78A60F" w14:textId="77777777">
        <w:trPr>
          <w:jc w:val="center"/>
        </w:trPr>
        <w:tc>
          <w:tcPr>
            <w:tcW w:w="2160" w:type="dxa"/>
          </w:tcPr>
          <w:p w14:paraId="4DACF83A" w14:textId="77777777" w:rsidR="00536DDA" w:rsidRDefault="00000000">
            <w:pPr>
              <w:jc w:val="center"/>
            </w:pPr>
            <w:r>
              <w:rPr>
                <w:rFonts w:ascii="Times New Roman" w:hAnsi="Times New Roman"/>
                <w:sz w:val="16"/>
              </w:rPr>
              <w:t>Identifiers</w:t>
            </w:r>
          </w:p>
        </w:tc>
        <w:tc>
          <w:tcPr>
            <w:tcW w:w="1728" w:type="dxa"/>
          </w:tcPr>
          <w:p w14:paraId="7FBBB616" w14:textId="77777777" w:rsidR="00536DDA" w:rsidRDefault="00000000">
            <w:pPr>
              <w:jc w:val="center"/>
            </w:pPr>
            <w:r>
              <w:rPr>
                <w:rFonts w:ascii="Times New Roman" w:hAnsi="Times New Roman"/>
                <w:sz w:val="16"/>
              </w:rPr>
              <w:t>Categorical</w:t>
            </w:r>
          </w:p>
        </w:tc>
        <w:tc>
          <w:tcPr>
            <w:tcW w:w="1008" w:type="dxa"/>
          </w:tcPr>
          <w:p w14:paraId="5F457535" w14:textId="77777777" w:rsidR="00536DDA" w:rsidRDefault="00000000">
            <w:pPr>
              <w:jc w:val="center"/>
            </w:pPr>
            <w:r>
              <w:rPr>
                <w:rFonts w:ascii="Times New Roman" w:hAnsi="Times New Roman"/>
                <w:sz w:val="16"/>
              </w:rPr>
              <w:t>2</w:t>
            </w:r>
          </w:p>
        </w:tc>
        <w:tc>
          <w:tcPr>
            <w:tcW w:w="5328" w:type="dxa"/>
          </w:tcPr>
          <w:p w14:paraId="06AE5ED4" w14:textId="77777777" w:rsidR="00536DDA" w:rsidRDefault="00000000">
            <w:pPr>
              <w:jc w:val="center"/>
            </w:pPr>
            <w:r>
              <w:rPr>
                <w:rFonts w:ascii="Times New Roman" w:hAnsi="Times New Roman"/>
                <w:sz w:val="16"/>
              </w:rPr>
              <w:t>borough_code, covid_year</w:t>
            </w:r>
          </w:p>
        </w:tc>
      </w:tr>
    </w:tbl>
    <w:p w14:paraId="31876C62" w14:textId="77777777" w:rsidR="00536DDA" w:rsidRDefault="00536DDA">
      <w:pPr>
        <w:spacing w:after="40"/>
      </w:pPr>
    </w:p>
    <w:p w14:paraId="3355CAC3" w14:textId="77777777" w:rsidR="00536DDA" w:rsidRDefault="00000000">
      <w:pPr>
        <w:spacing w:before="200" w:after="100"/>
        <w:jc w:val="center"/>
      </w:pPr>
      <w:r>
        <w:rPr>
          <w:rFonts w:ascii="Times New Roman" w:hAnsi="Times New Roman"/>
          <w:b/>
          <w:sz w:val="20"/>
        </w:rPr>
        <w:t>V. METHODOLOGY</w:t>
      </w:r>
    </w:p>
    <w:p w14:paraId="7D506889" w14:textId="77777777" w:rsidR="00536DDA" w:rsidRDefault="00000000">
      <w:pPr>
        <w:spacing w:before="140" w:after="60"/>
      </w:pPr>
      <w:r>
        <w:rPr>
          <w:rFonts w:ascii="Times New Roman" w:hAnsi="Times New Roman"/>
          <w:b/>
          <w:i/>
          <w:sz w:val="20"/>
        </w:rPr>
        <w:t>A. Temporal Train / Validation / Test Protocol</w:t>
      </w:r>
    </w:p>
    <w:p w14:paraId="10C75DD6" w14:textId="77777777" w:rsidR="00536DDA" w:rsidRDefault="00000000">
      <w:pPr>
        <w:spacing w:after="100"/>
        <w:ind w:firstLine="280"/>
        <w:jc w:val="both"/>
      </w:pPr>
      <w:r>
        <w:rPr>
          <w:rFonts w:ascii="Times New Roman" w:hAnsi="Times New Roman"/>
          <w:sz w:val="20"/>
        </w:rPr>
        <w:t>To prevent data leakage and respect the causal ordering inherent in temporal panel data, the dataset is partitioned chronologically into three non-overlapping sets: a training set (2012–2019, n=1,912), a validation set used for hyperparameter selection (2020, n=239), and a held-out test set for final evaluation (2021–2022, n=478). Final models are trained on the combined train+validation set (n=2,151) before evaluation on the test set. All preprocessing transformations—specifically median imputation for missing values—are fitted exclusively on the training set and applied without refitting to the validation and test sets, preventing distributional leakage across temporal boundaries.</w:t>
      </w:r>
    </w:p>
    <w:p w14:paraId="4B679D34" w14:textId="77777777" w:rsidR="00536DDA" w:rsidRDefault="00000000">
      <w:pPr>
        <w:spacing w:before="140" w:after="60"/>
      </w:pPr>
      <w:r>
        <w:rPr>
          <w:rFonts w:ascii="Times New Roman" w:hAnsi="Times New Roman"/>
          <w:b/>
          <w:i/>
          <w:sz w:val="20"/>
        </w:rPr>
        <w:t>B. Model Architectures and Hyperparameters</w:t>
      </w:r>
    </w:p>
    <w:p w14:paraId="6106B226" w14:textId="77777777" w:rsidR="00536DDA" w:rsidRDefault="00000000">
      <w:pPr>
        <w:spacing w:after="100"/>
        <w:ind w:firstLine="280"/>
        <w:jc w:val="both"/>
      </w:pPr>
      <w:r>
        <w:rPr>
          <w:rFonts w:ascii="Times New Roman" w:hAnsi="Times New Roman"/>
          <w:sz w:val="20"/>
        </w:rPr>
        <w:t>Three ensemble models are evaluated in this study. Model hyperparameters were selected based on a combination of literature-recommended defaults and validation set performance, without exhaustive grid search (to maintain computational reproducibility):</w:t>
      </w:r>
    </w:p>
    <w:p w14:paraId="58ED48F9" w14:textId="77777777" w:rsidR="00536DDA" w:rsidRDefault="00000000">
      <w:pPr>
        <w:pStyle w:val="ListBullet"/>
        <w:spacing w:after="80"/>
      </w:pPr>
      <w:r>
        <w:rPr>
          <w:rFonts w:ascii="Times New Roman" w:hAnsi="Times New Roman"/>
          <w:b/>
          <w:sz w:val="20"/>
        </w:rPr>
        <w:t xml:space="preserve">Random Forest (RF): </w:t>
      </w:r>
      <w:r>
        <w:rPr>
          <w:rFonts w:ascii="Times New Roman" w:hAnsi="Times New Roman"/>
          <w:sz w:val="20"/>
        </w:rPr>
        <w:t xml:space="preserve">An ensemble of 50 decorrelated decision trees, each trained on a bootstrap sample with random feature subsampling at each node. Hyperparameters: n_estimators=50, max_depth=8, min_samples_leaf=3, n_jobs=−1, </w:t>
      </w:r>
      <w:r>
        <w:rPr>
          <w:rFonts w:ascii="Times New Roman" w:hAnsi="Times New Roman"/>
          <w:sz w:val="20"/>
        </w:rPr>
        <w:lastRenderedPageBreak/>
        <w:t>random_state=42. RF provides robust baseline performance with implicit regularization through ensemble averaging and random subspace sampling.</w:t>
      </w:r>
    </w:p>
    <w:p w14:paraId="22156B40" w14:textId="77777777" w:rsidR="00536DDA" w:rsidRDefault="00000000">
      <w:pPr>
        <w:pStyle w:val="ListBullet"/>
        <w:spacing w:after="80"/>
      </w:pPr>
      <w:r>
        <w:rPr>
          <w:rFonts w:ascii="Times New Roman" w:hAnsi="Times New Roman"/>
          <w:b/>
          <w:sz w:val="20"/>
        </w:rPr>
        <w:t xml:space="preserve">XGBoost: </w:t>
      </w:r>
      <w:r>
        <w:rPr>
          <w:rFonts w:ascii="Times New Roman" w:hAnsi="Times New Roman"/>
          <w:sz w:val="20"/>
        </w:rPr>
        <w:t>A second-order gradient boosting algorithm that minimizes a regularized objective function: L(φ) = Σᵢ l(yᵢ, ŷᵢ) + Σₖ Ω(fₖ), where Ω(f) = γT + ½λ‖w‖² enforces tree complexity penalties. Hyperparameters: n_estimators=50, max_depth=5, learning_rate=0.1, subsample=0.8, colsample_bytree=0.8, random_state=42. XGBoost's regularization terms mitigate overfitting relative to vanilla gradient boosting, particularly important given the moderate panel size.</w:t>
      </w:r>
    </w:p>
    <w:p w14:paraId="2AC03438" w14:textId="77777777" w:rsidR="00536DDA" w:rsidRDefault="00000000">
      <w:pPr>
        <w:pStyle w:val="ListBullet"/>
        <w:spacing w:after="80"/>
      </w:pPr>
      <w:r>
        <w:rPr>
          <w:rFonts w:ascii="Times New Roman" w:hAnsi="Times New Roman"/>
          <w:b/>
          <w:sz w:val="20"/>
        </w:rPr>
        <w:t xml:space="preserve">LightGBM: </w:t>
      </w:r>
      <w:r>
        <w:rPr>
          <w:rFonts w:ascii="Times New Roman" w:hAnsi="Times New Roman"/>
          <w:sz w:val="20"/>
        </w:rPr>
        <w:t>A leaf-wise gradient boosting algorithm using histogram-based split finding for computational efficiency. Hyperparameters: n_estimators=50, max_depth=5, num_leaves=31, learning_rate=0.1, subsample=0.8, colsample_bytree=0.8, min_child_samples=20, verbose=−1, random_state=42. LightGBM's leaf-wise growth strategy achieves lower training loss per tree than level-wise methods, which can improve predictive accuracy on structured tabular data.</w:t>
      </w:r>
    </w:p>
    <w:p w14:paraId="2AA00423" w14:textId="77777777" w:rsidR="00536DDA" w:rsidRDefault="00536DDA">
      <w:pPr>
        <w:spacing w:after="40"/>
      </w:pPr>
    </w:p>
    <w:p w14:paraId="57CB8A9B" w14:textId="77777777" w:rsidR="00536DDA" w:rsidRDefault="00000000">
      <w:pPr>
        <w:spacing w:before="140" w:after="60"/>
      </w:pPr>
      <w:r>
        <w:rPr>
          <w:rFonts w:ascii="Times New Roman" w:hAnsi="Times New Roman"/>
          <w:b/>
          <w:i/>
          <w:sz w:val="20"/>
        </w:rPr>
        <w:t>C. Evaluation Metrics</w:t>
      </w:r>
    </w:p>
    <w:p w14:paraId="3691389F" w14:textId="77777777" w:rsidR="00536DDA" w:rsidRDefault="00000000">
      <w:pPr>
        <w:spacing w:after="100"/>
        <w:ind w:firstLine="280"/>
        <w:jc w:val="both"/>
      </w:pPr>
      <w:r>
        <w:rPr>
          <w:rFonts w:ascii="Times New Roman" w:hAnsi="Times New Roman"/>
          <w:sz w:val="20"/>
        </w:rPr>
        <w:t>All models are evaluated on three complementary metrics computed on the held-out test set (2021–2022). The coefficient of determination, R² = 1 − SSres/SStot, measures the proportion of variance in rent burden explained by the model, ranging from −∞ to 1.0 (perfect fit). Root Mean Squared Error, RMSE = √(Σ(yᵢ − ŷᵢ)²/n), quantifies prediction error in the original units (share of renter households), penalizing large errors more heavily than MAE. Mean Absolute Error, MAE = Σ|yᵢ − ŷᵢ|/n, provides a more robust measure of average prediction error less sensitive to outlier NTAs with extreme burden values.</w:t>
      </w:r>
    </w:p>
    <w:p w14:paraId="7C35FD35" w14:textId="77777777" w:rsidR="00536DDA" w:rsidRDefault="00000000">
      <w:pPr>
        <w:spacing w:before="140" w:after="60"/>
      </w:pPr>
      <w:r>
        <w:rPr>
          <w:rFonts w:ascii="Times New Roman" w:hAnsi="Times New Roman"/>
          <w:b/>
          <w:i/>
          <w:sz w:val="20"/>
        </w:rPr>
        <w:t>D. 5-Fold TimeSeriesSplit Cross-Validation</w:t>
      </w:r>
    </w:p>
    <w:p w14:paraId="3E3FC51A" w14:textId="77777777" w:rsidR="00536DDA" w:rsidRDefault="00000000">
      <w:pPr>
        <w:spacing w:after="100"/>
        <w:ind w:firstLine="280"/>
        <w:jc w:val="both"/>
      </w:pPr>
      <w:r>
        <w:rPr>
          <w:rFonts w:ascii="Times New Roman" w:hAnsi="Times New Roman"/>
          <w:sz w:val="20"/>
        </w:rPr>
        <w:t>In addition to the single temporal holdout, we employ scikit-learn's TimeSeriesSplit with 5 folds on the full dataset to assess model stability across different training window sizes. In each fold k, the training set comprises all observations from folds 1 through k−1 (temporally earlier), and the test set comprises fold k (temporally later), ensuring no future information contaminates training. This procedure mirrors the operational forecasting scenario and is substantially more conservative than standard k-fold cross-validation on panel data. We report the mean and standard deviation of R² and RMSE across the five folds for both XGBoost and Random Forest.</w:t>
      </w:r>
    </w:p>
    <w:p w14:paraId="2F795109" w14:textId="77777777" w:rsidR="00536DDA" w:rsidRDefault="00000000">
      <w:pPr>
        <w:spacing w:before="140" w:after="60"/>
      </w:pPr>
      <w:r>
        <w:rPr>
          <w:rFonts w:ascii="Times New Roman" w:hAnsi="Times New Roman"/>
          <w:b/>
          <w:i/>
          <w:sz w:val="20"/>
        </w:rPr>
        <w:t>E. SHAP Feature Attribution</w:t>
      </w:r>
    </w:p>
    <w:p w14:paraId="5C2690E6" w14:textId="77777777" w:rsidR="00536DDA" w:rsidRDefault="00000000">
      <w:pPr>
        <w:spacing w:after="100"/>
        <w:ind w:firstLine="280"/>
        <w:jc w:val="both"/>
      </w:pPr>
      <w:r>
        <w:rPr>
          <w:rFonts w:ascii="Times New Roman" w:hAnsi="Times New Roman"/>
          <w:sz w:val="20"/>
        </w:rPr>
        <w:t>SHAP (SHapley Additive exPlanations) values are computed using TreeExplainer, which provides exact Shapley values for tree ensemble models in polynomial time O(TLD), where T is the number of trees, L is the maximum number of leaves, and D is the maximum tree depth [8]. For each test observation i and feature j, the SHAP value φⱼ(i) quantifies the marginal contribution of feature j to the deviation of model prediction f(xᵢ) from the global mean Ê[f(X)]. Feature importance is ranked by the mean absolute SHAP value across all test observations: Ī_j = (1/n) Σᵢ |φⱼ(i)|. This measure is directionally independent and aggregates local explanations into a global importance ranking.</w:t>
      </w:r>
    </w:p>
    <w:p w14:paraId="4E919E19" w14:textId="77777777" w:rsidR="00536DDA" w:rsidRDefault="00000000">
      <w:pPr>
        <w:spacing w:before="200" w:after="100"/>
        <w:jc w:val="center"/>
      </w:pPr>
      <w:r>
        <w:rPr>
          <w:rFonts w:ascii="Times New Roman" w:hAnsi="Times New Roman"/>
          <w:b/>
          <w:sz w:val="20"/>
        </w:rPr>
        <w:t>VI. EXPERIMENTAL RESULTS</w:t>
      </w:r>
    </w:p>
    <w:p w14:paraId="436AF70E" w14:textId="77777777" w:rsidR="00536DDA" w:rsidRDefault="00000000">
      <w:pPr>
        <w:spacing w:before="140" w:after="60"/>
      </w:pPr>
      <w:r>
        <w:rPr>
          <w:rFonts w:ascii="Times New Roman" w:hAnsi="Times New Roman"/>
          <w:b/>
          <w:i/>
          <w:sz w:val="20"/>
        </w:rPr>
        <w:t>A. Descriptive Statistics of Key Variables</w:t>
      </w:r>
    </w:p>
    <w:p w14:paraId="7994A2FB" w14:textId="77777777" w:rsidR="00536DDA" w:rsidRDefault="00000000">
      <w:pPr>
        <w:spacing w:after="100"/>
        <w:ind w:firstLine="280"/>
        <w:jc w:val="both"/>
      </w:pPr>
      <w:r>
        <w:rPr>
          <w:rFonts w:ascii="Times New Roman" w:hAnsi="Times New Roman"/>
          <w:sz w:val="20"/>
        </w:rPr>
        <w:t>Table III presents descriptive statistics for the primary target variable and selected predictors across all 2,512 NTA-year observations. The severe rent burden target (rent_burden_50plus_pct) exhibits substantial cross-NTA variation (SD=0.089), with the Bronx recording the highest borough-mean value (0.274) and the widest interquartile range, reflecting the concentration of severely burdened households in that borough. The Gini coefficient of income inequality (mean=0.462) is notably high relative to national averages, underscoring NYC's role as one of the most economically unequal cities in the United States.</w:t>
      </w:r>
    </w:p>
    <w:p w14:paraId="563D81A6" w14:textId="77777777" w:rsidR="00536DDA" w:rsidRDefault="00536DDA">
      <w:pPr>
        <w:spacing w:after="40"/>
      </w:pPr>
    </w:p>
    <w:p w14:paraId="10A3B0EC" w14:textId="77777777" w:rsidR="00536DDA" w:rsidRDefault="00000000">
      <w:pPr>
        <w:spacing w:before="140" w:after="40"/>
        <w:jc w:val="center"/>
      </w:pPr>
      <w:r>
        <w:rPr>
          <w:rFonts w:ascii="Times New Roman" w:hAnsi="Times New Roman"/>
          <w:b/>
          <w:sz w:val="18"/>
        </w:rPr>
        <w:t>TABLE III: DESCRIPTIVE STATISTICS OF KEY VARIABLES (N=2,512)</w:t>
      </w:r>
    </w:p>
    <w:tbl>
      <w:tblPr>
        <w:tblStyle w:val="TableGrid"/>
        <w:tblW w:w="0" w:type="auto"/>
        <w:jc w:val="center"/>
        <w:tblLook w:val="04A0" w:firstRow="1" w:lastRow="0" w:firstColumn="1" w:lastColumn="0" w:noHBand="0" w:noVBand="1"/>
      </w:tblPr>
      <w:tblGrid>
        <w:gridCol w:w="2736"/>
        <w:gridCol w:w="1080"/>
        <w:gridCol w:w="1080"/>
        <w:gridCol w:w="1080"/>
        <w:gridCol w:w="936"/>
        <w:gridCol w:w="936"/>
        <w:gridCol w:w="1080"/>
      </w:tblGrid>
      <w:tr w:rsidR="00536DDA" w14:paraId="788C180D" w14:textId="77777777">
        <w:trPr>
          <w:jc w:val="center"/>
        </w:trPr>
        <w:tc>
          <w:tcPr>
            <w:tcW w:w="2736" w:type="dxa"/>
            <w:shd w:val="clear" w:color="auto" w:fill="1A376C"/>
          </w:tcPr>
          <w:p w14:paraId="72C70B9F" w14:textId="77777777" w:rsidR="00536DDA" w:rsidRDefault="00000000">
            <w:pPr>
              <w:jc w:val="center"/>
            </w:pPr>
            <w:r>
              <w:rPr>
                <w:rFonts w:ascii="Times New Roman" w:hAnsi="Times New Roman"/>
                <w:b/>
                <w:color w:val="FFFFFF"/>
                <w:sz w:val="16"/>
              </w:rPr>
              <w:t>Variable</w:t>
            </w:r>
          </w:p>
        </w:tc>
        <w:tc>
          <w:tcPr>
            <w:tcW w:w="1080" w:type="dxa"/>
            <w:shd w:val="clear" w:color="auto" w:fill="1A376C"/>
          </w:tcPr>
          <w:p w14:paraId="5915D450" w14:textId="77777777" w:rsidR="00536DDA" w:rsidRDefault="00000000">
            <w:pPr>
              <w:jc w:val="center"/>
            </w:pPr>
            <w:r>
              <w:rPr>
                <w:rFonts w:ascii="Times New Roman" w:hAnsi="Times New Roman"/>
                <w:b/>
                <w:color w:val="FFFFFF"/>
                <w:sz w:val="16"/>
              </w:rPr>
              <w:t>Mean</w:t>
            </w:r>
          </w:p>
        </w:tc>
        <w:tc>
          <w:tcPr>
            <w:tcW w:w="1080" w:type="dxa"/>
            <w:shd w:val="clear" w:color="auto" w:fill="1A376C"/>
          </w:tcPr>
          <w:p w14:paraId="357EDD26" w14:textId="77777777" w:rsidR="00536DDA" w:rsidRDefault="00000000">
            <w:pPr>
              <w:jc w:val="center"/>
            </w:pPr>
            <w:r>
              <w:rPr>
                <w:rFonts w:ascii="Times New Roman" w:hAnsi="Times New Roman"/>
                <w:b/>
                <w:color w:val="FFFFFF"/>
                <w:sz w:val="16"/>
              </w:rPr>
              <w:t>Median</w:t>
            </w:r>
          </w:p>
        </w:tc>
        <w:tc>
          <w:tcPr>
            <w:tcW w:w="1080" w:type="dxa"/>
            <w:shd w:val="clear" w:color="auto" w:fill="1A376C"/>
          </w:tcPr>
          <w:p w14:paraId="5EF6DDB5" w14:textId="77777777" w:rsidR="00536DDA" w:rsidRDefault="00000000">
            <w:pPr>
              <w:jc w:val="center"/>
            </w:pPr>
            <w:r>
              <w:rPr>
                <w:rFonts w:ascii="Times New Roman" w:hAnsi="Times New Roman"/>
                <w:b/>
                <w:color w:val="FFFFFF"/>
                <w:sz w:val="16"/>
              </w:rPr>
              <w:t>Std Dev</w:t>
            </w:r>
          </w:p>
        </w:tc>
        <w:tc>
          <w:tcPr>
            <w:tcW w:w="936" w:type="dxa"/>
            <w:shd w:val="clear" w:color="auto" w:fill="1A376C"/>
          </w:tcPr>
          <w:p w14:paraId="3FA45FF7" w14:textId="77777777" w:rsidR="00536DDA" w:rsidRDefault="00000000">
            <w:pPr>
              <w:jc w:val="center"/>
            </w:pPr>
            <w:r>
              <w:rPr>
                <w:rFonts w:ascii="Times New Roman" w:hAnsi="Times New Roman"/>
                <w:b/>
                <w:color w:val="FFFFFF"/>
                <w:sz w:val="16"/>
              </w:rPr>
              <w:t>Min</w:t>
            </w:r>
          </w:p>
        </w:tc>
        <w:tc>
          <w:tcPr>
            <w:tcW w:w="936" w:type="dxa"/>
            <w:shd w:val="clear" w:color="auto" w:fill="1A376C"/>
          </w:tcPr>
          <w:p w14:paraId="20026032" w14:textId="77777777" w:rsidR="00536DDA" w:rsidRDefault="00000000">
            <w:pPr>
              <w:jc w:val="center"/>
            </w:pPr>
            <w:r>
              <w:rPr>
                <w:rFonts w:ascii="Times New Roman" w:hAnsi="Times New Roman"/>
                <w:b/>
                <w:color w:val="FFFFFF"/>
                <w:sz w:val="16"/>
              </w:rPr>
              <w:t>Max</w:t>
            </w:r>
          </w:p>
        </w:tc>
        <w:tc>
          <w:tcPr>
            <w:tcW w:w="1080" w:type="dxa"/>
            <w:shd w:val="clear" w:color="auto" w:fill="1A376C"/>
          </w:tcPr>
          <w:p w14:paraId="1631335C" w14:textId="77777777" w:rsidR="00536DDA" w:rsidRDefault="00000000">
            <w:pPr>
              <w:jc w:val="center"/>
            </w:pPr>
            <w:r>
              <w:rPr>
                <w:rFonts w:ascii="Times New Roman" w:hAnsi="Times New Roman"/>
                <w:b/>
                <w:color w:val="FFFFFF"/>
                <w:sz w:val="16"/>
              </w:rPr>
              <w:t>Skewness</w:t>
            </w:r>
          </w:p>
        </w:tc>
      </w:tr>
      <w:tr w:rsidR="00536DDA" w14:paraId="2B0E5FB7" w14:textId="77777777">
        <w:trPr>
          <w:jc w:val="center"/>
        </w:trPr>
        <w:tc>
          <w:tcPr>
            <w:tcW w:w="2736" w:type="dxa"/>
            <w:shd w:val="clear" w:color="auto" w:fill="EBF0FA"/>
          </w:tcPr>
          <w:p w14:paraId="31839D70" w14:textId="77777777" w:rsidR="00536DDA" w:rsidRDefault="00000000">
            <w:pPr>
              <w:jc w:val="center"/>
            </w:pPr>
            <w:r>
              <w:rPr>
                <w:rFonts w:ascii="Times New Roman" w:hAnsi="Times New Roman"/>
                <w:sz w:val="16"/>
              </w:rPr>
              <w:lastRenderedPageBreak/>
              <w:t>rent_burden_50plus_pct</w:t>
            </w:r>
          </w:p>
        </w:tc>
        <w:tc>
          <w:tcPr>
            <w:tcW w:w="1080" w:type="dxa"/>
            <w:shd w:val="clear" w:color="auto" w:fill="EBF0FA"/>
          </w:tcPr>
          <w:p w14:paraId="213BAF20" w14:textId="77777777" w:rsidR="00536DDA" w:rsidRDefault="00000000">
            <w:pPr>
              <w:jc w:val="center"/>
            </w:pPr>
            <w:r>
              <w:rPr>
                <w:rFonts w:ascii="Times New Roman" w:hAnsi="Times New Roman"/>
                <w:sz w:val="16"/>
              </w:rPr>
              <w:t>0.218</w:t>
            </w:r>
          </w:p>
        </w:tc>
        <w:tc>
          <w:tcPr>
            <w:tcW w:w="1080" w:type="dxa"/>
            <w:shd w:val="clear" w:color="auto" w:fill="EBF0FA"/>
          </w:tcPr>
          <w:p w14:paraId="09BA2583" w14:textId="77777777" w:rsidR="00536DDA" w:rsidRDefault="00000000">
            <w:pPr>
              <w:jc w:val="center"/>
            </w:pPr>
            <w:r>
              <w:rPr>
                <w:rFonts w:ascii="Times New Roman" w:hAnsi="Times New Roman"/>
                <w:sz w:val="16"/>
              </w:rPr>
              <w:t>0.208</w:t>
            </w:r>
          </w:p>
        </w:tc>
        <w:tc>
          <w:tcPr>
            <w:tcW w:w="1080" w:type="dxa"/>
            <w:shd w:val="clear" w:color="auto" w:fill="EBF0FA"/>
          </w:tcPr>
          <w:p w14:paraId="453DBF9F" w14:textId="77777777" w:rsidR="00536DDA" w:rsidRDefault="00000000">
            <w:pPr>
              <w:jc w:val="center"/>
            </w:pPr>
            <w:r>
              <w:rPr>
                <w:rFonts w:ascii="Times New Roman" w:hAnsi="Times New Roman"/>
                <w:sz w:val="16"/>
              </w:rPr>
              <w:t>0.089</w:t>
            </w:r>
          </w:p>
        </w:tc>
        <w:tc>
          <w:tcPr>
            <w:tcW w:w="936" w:type="dxa"/>
            <w:shd w:val="clear" w:color="auto" w:fill="EBF0FA"/>
          </w:tcPr>
          <w:p w14:paraId="6CED16F8" w14:textId="77777777" w:rsidR="00536DDA" w:rsidRDefault="00000000">
            <w:pPr>
              <w:jc w:val="center"/>
            </w:pPr>
            <w:r>
              <w:rPr>
                <w:rFonts w:ascii="Times New Roman" w:hAnsi="Times New Roman"/>
                <w:sz w:val="16"/>
              </w:rPr>
              <w:t>0.041</w:t>
            </w:r>
          </w:p>
        </w:tc>
        <w:tc>
          <w:tcPr>
            <w:tcW w:w="936" w:type="dxa"/>
            <w:shd w:val="clear" w:color="auto" w:fill="EBF0FA"/>
          </w:tcPr>
          <w:p w14:paraId="5E970A9F" w14:textId="77777777" w:rsidR="00536DDA" w:rsidRDefault="00000000">
            <w:pPr>
              <w:jc w:val="center"/>
            </w:pPr>
            <w:r>
              <w:rPr>
                <w:rFonts w:ascii="Times New Roman" w:hAnsi="Times New Roman"/>
                <w:sz w:val="16"/>
              </w:rPr>
              <w:t>0.612</w:t>
            </w:r>
          </w:p>
        </w:tc>
        <w:tc>
          <w:tcPr>
            <w:tcW w:w="1080" w:type="dxa"/>
            <w:shd w:val="clear" w:color="auto" w:fill="EBF0FA"/>
          </w:tcPr>
          <w:p w14:paraId="637F7091" w14:textId="77777777" w:rsidR="00536DDA" w:rsidRDefault="00000000">
            <w:pPr>
              <w:jc w:val="center"/>
            </w:pPr>
            <w:r>
              <w:rPr>
                <w:rFonts w:ascii="Times New Roman" w:hAnsi="Times New Roman"/>
                <w:sz w:val="16"/>
              </w:rPr>
              <w:t>+0.63</w:t>
            </w:r>
          </w:p>
        </w:tc>
      </w:tr>
      <w:tr w:rsidR="00536DDA" w14:paraId="6571140D" w14:textId="77777777">
        <w:trPr>
          <w:jc w:val="center"/>
        </w:trPr>
        <w:tc>
          <w:tcPr>
            <w:tcW w:w="2736" w:type="dxa"/>
          </w:tcPr>
          <w:p w14:paraId="617ABEAE" w14:textId="77777777" w:rsidR="00536DDA" w:rsidRDefault="00000000">
            <w:pPr>
              <w:jc w:val="center"/>
            </w:pPr>
            <w:r>
              <w:rPr>
                <w:rFonts w:ascii="Times New Roman" w:hAnsi="Times New Roman"/>
                <w:sz w:val="16"/>
              </w:rPr>
              <w:t>rent_burden_30plus_pct</w:t>
            </w:r>
          </w:p>
        </w:tc>
        <w:tc>
          <w:tcPr>
            <w:tcW w:w="1080" w:type="dxa"/>
          </w:tcPr>
          <w:p w14:paraId="3CF1F2D3" w14:textId="77777777" w:rsidR="00536DDA" w:rsidRDefault="00000000">
            <w:pPr>
              <w:jc w:val="center"/>
            </w:pPr>
            <w:r>
              <w:rPr>
                <w:rFonts w:ascii="Times New Roman" w:hAnsi="Times New Roman"/>
                <w:sz w:val="16"/>
              </w:rPr>
              <w:t>0.491</w:t>
            </w:r>
          </w:p>
        </w:tc>
        <w:tc>
          <w:tcPr>
            <w:tcW w:w="1080" w:type="dxa"/>
          </w:tcPr>
          <w:p w14:paraId="28FD6BC9" w14:textId="77777777" w:rsidR="00536DDA" w:rsidRDefault="00000000">
            <w:pPr>
              <w:jc w:val="center"/>
            </w:pPr>
            <w:r>
              <w:rPr>
                <w:rFonts w:ascii="Times New Roman" w:hAnsi="Times New Roman"/>
                <w:sz w:val="16"/>
              </w:rPr>
              <w:t>0.498</w:t>
            </w:r>
          </w:p>
        </w:tc>
        <w:tc>
          <w:tcPr>
            <w:tcW w:w="1080" w:type="dxa"/>
          </w:tcPr>
          <w:p w14:paraId="1D1CBD69" w14:textId="77777777" w:rsidR="00536DDA" w:rsidRDefault="00000000">
            <w:pPr>
              <w:jc w:val="center"/>
            </w:pPr>
            <w:r>
              <w:rPr>
                <w:rFonts w:ascii="Times New Roman" w:hAnsi="Times New Roman"/>
                <w:sz w:val="16"/>
              </w:rPr>
              <w:t>0.096</w:t>
            </w:r>
          </w:p>
        </w:tc>
        <w:tc>
          <w:tcPr>
            <w:tcW w:w="936" w:type="dxa"/>
          </w:tcPr>
          <w:p w14:paraId="729B323E" w14:textId="77777777" w:rsidR="00536DDA" w:rsidRDefault="00000000">
            <w:pPr>
              <w:jc w:val="center"/>
            </w:pPr>
            <w:r>
              <w:rPr>
                <w:rFonts w:ascii="Times New Roman" w:hAnsi="Times New Roman"/>
                <w:sz w:val="16"/>
              </w:rPr>
              <w:t>0.182</w:t>
            </w:r>
          </w:p>
        </w:tc>
        <w:tc>
          <w:tcPr>
            <w:tcW w:w="936" w:type="dxa"/>
          </w:tcPr>
          <w:p w14:paraId="46E37134" w14:textId="77777777" w:rsidR="00536DDA" w:rsidRDefault="00000000">
            <w:pPr>
              <w:jc w:val="center"/>
            </w:pPr>
            <w:r>
              <w:rPr>
                <w:rFonts w:ascii="Times New Roman" w:hAnsi="Times New Roman"/>
                <w:sz w:val="16"/>
              </w:rPr>
              <w:t>0.821</w:t>
            </w:r>
          </w:p>
        </w:tc>
        <w:tc>
          <w:tcPr>
            <w:tcW w:w="1080" w:type="dxa"/>
          </w:tcPr>
          <w:p w14:paraId="1E7ABB53" w14:textId="77777777" w:rsidR="00536DDA" w:rsidRDefault="00000000">
            <w:pPr>
              <w:jc w:val="center"/>
            </w:pPr>
            <w:r>
              <w:rPr>
                <w:rFonts w:ascii="Times New Roman" w:hAnsi="Times New Roman"/>
                <w:sz w:val="16"/>
              </w:rPr>
              <w:t>−0.21</w:t>
            </w:r>
          </w:p>
        </w:tc>
      </w:tr>
      <w:tr w:rsidR="00536DDA" w14:paraId="69BD61D6" w14:textId="77777777">
        <w:trPr>
          <w:jc w:val="center"/>
        </w:trPr>
        <w:tc>
          <w:tcPr>
            <w:tcW w:w="2736" w:type="dxa"/>
            <w:shd w:val="clear" w:color="auto" w:fill="EBF0FA"/>
          </w:tcPr>
          <w:p w14:paraId="3E1B19B4" w14:textId="77777777" w:rsidR="00536DDA" w:rsidRDefault="00000000">
            <w:pPr>
              <w:jc w:val="center"/>
            </w:pPr>
            <w:r>
              <w:rPr>
                <w:rFonts w:ascii="Times New Roman" w:hAnsi="Times New Roman"/>
                <w:sz w:val="16"/>
              </w:rPr>
              <w:t>median_hh_income ($000s)</w:t>
            </w:r>
          </w:p>
        </w:tc>
        <w:tc>
          <w:tcPr>
            <w:tcW w:w="1080" w:type="dxa"/>
            <w:shd w:val="clear" w:color="auto" w:fill="EBF0FA"/>
          </w:tcPr>
          <w:p w14:paraId="30B5E635" w14:textId="77777777" w:rsidR="00536DDA" w:rsidRDefault="00000000">
            <w:pPr>
              <w:jc w:val="center"/>
            </w:pPr>
            <w:r>
              <w:rPr>
                <w:rFonts w:ascii="Times New Roman" w:hAnsi="Times New Roman"/>
                <w:sz w:val="16"/>
              </w:rPr>
              <w:t>68.4</w:t>
            </w:r>
          </w:p>
        </w:tc>
        <w:tc>
          <w:tcPr>
            <w:tcW w:w="1080" w:type="dxa"/>
            <w:shd w:val="clear" w:color="auto" w:fill="EBF0FA"/>
          </w:tcPr>
          <w:p w14:paraId="4D4D5499" w14:textId="77777777" w:rsidR="00536DDA" w:rsidRDefault="00000000">
            <w:pPr>
              <w:jc w:val="center"/>
            </w:pPr>
            <w:r>
              <w:rPr>
                <w:rFonts w:ascii="Times New Roman" w:hAnsi="Times New Roman"/>
                <w:sz w:val="16"/>
              </w:rPr>
              <w:t>61.2</w:t>
            </w:r>
          </w:p>
        </w:tc>
        <w:tc>
          <w:tcPr>
            <w:tcW w:w="1080" w:type="dxa"/>
            <w:shd w:val="clear" w:color="auto" w:fill="EBF0FA"/>
          </w:tcPr>
          <w:p w14:paraId="2AB34727" w14:textId="77777777" w:rsidR="00536DDA" w:rsidRDefault="00000000">
            <w:pPr>
              <w:jc w:val="center"/>
            </w:pPr>
            <w:r>
              <w:rPr>
                <w:rFonts w:ascii="Times New Roman" w:hAnsi="Times New Roman"/>
                <w:sz w:val="16"/>
              </w:rPr>
              <w:t>28.1</w:t>
            </w:r>
          </w:p>
        </w:tc>
        <w:tc>
          <w:tcPr>
            <w:tcW w:w="936" w:type="dxa"/>
            <w:shd w:val="clear" w:color="auto" w:fill="EBF0FA"/>
          </w:tcPr>
          <w:p w14:paraId="3ABD6747" w14:textId="77777777" w:rsidR="00536DDA" w:rsidRDefault="00000000">
            <w:pPr>
              <w:jc w:val="center"/>
            </w:pPr>
            <w:r>
              <w:rPr>
                <w:rFonts w:ascii="Times New Roman" w:hAnsi="Times New Roman"/>
                <w:sz w:val="16"/>
              </w:rPr>
              <w:t>21.4</w:t>
            </w:r>
          </w:p>
        </w:tc>
        <w:tc>
          <w:tcPr>
            <w:tcW w:w="936" w:type="dxa"/>
            <w:shd w:val="clear" w:color="auto" w:fill="EBF0FA"/>
          </w:tcPr>
          <w:p w14:paraId="0F2FECE8" w14:textId="77777777" w:rsidR="00536DDA" w:rsidRDefault="00000000">
            <w:pPr>
              <w:jc w:val="center"/>
            </w:pPr>
            <w:r>
              <w:rPr>
                <w:rFonts w:ascii="Times New Roman" w:hAnsi="Times New Roman"/>
                <w:sz w:val="16"/>
              </w:rPr>
              <w:t>198.5</w:t>
            </w:r>
          </w:p>
        </w:tc>
        <w:tc>
          <w:tcPr>
            <w:tcW w:w="1080" w:type="dxa"/>
            <w:shd w:val="clear" w:color="auto" w:fill="EBF0FA"/>
          </w:tcPr>
          <w:p w14:paraId="3CA03927" w14:textId="77777777" w:rsidR="00536DDA" w:rsidRDefault="00000000">
            <w:pPr>
              <w:jc w:val="center"/>
            </w:pPr>
            <w:r>
              <w:rPr>
                <w:rFonts w:ascii="Times New Roman" w:hAnsi="Times New Roman"/>
                <w:sz w:val="16"/>
              </w:rPr>
              <w:t>+1.12</w:t>
            </w:r>
          </w:p>
        </w:tc>
      </w:tr>
      <w:tr w:rsidR="00536DDA" w14:paraId="2800B686" w14:textId="77777777">
        <w:trPr>
          <w:jc w:val="center"/>
        </w:trPr>
        <w:tc>
          <w:tcPr>
            <w:tcW w:w="2736" w:type="dxa"/>
          </w:tcPr>
          <w:p w14:paraId="215F3253" w14:textId="77777777" w:rsidR="00536DDA" w:rsidRDefault="00000000">
            <w:pPr>
              <w:jc w:val="center"/>
            </w:pPr>
            <w:r>
              <w:rPr>
                <w:rFonts w:ascii="Times New Roman" w:hAnsi="Times New Roman"/>
                <w:sz w:val="16"/>
              </w:rPr>
              <w:t>median_gross_rent ($)</w:t>
            </w:r>
          </w:p>
        </w:tc>
        <w:tc>
          <w:tcPr>
            <w:tcW w:w="1080" w:type="dxa"/>
          </w:tcPr>
          <w:p w14:paraId="5C1A5CFD" w14:textId="77777777" w:rsidR="00536DDA" w:rsidRDefault="00000000">
            <w:pPr>
              <w:jc w:val="center"/>
            </w:pPr>
            <w:r>
              <w:rPr>
                <w:rFonts w:ascii="Times New Roman" w:hAnsi="Times New Roman"/>
                <w:sz w:val="16"/>
              </w:rPr>
              <w:t>1,412</w:t>
            </w:r>
          </w:p>
        </w:tc>
        <w:tc>
          <w:tcPr>
            <w:tcW w:w="1080" w:type="dxa"/>
          </w:tcPr>
          <w:p w14:paraId="7A6E30A5" w14:textId="77777777" w:rsidR="00536DDA" w:rsidRDefault="00000000">
            <w:pPr>
              <w:jc w:val="center"/>
            </w:pPr>
            <w:r>
              <w:rPr>
                <w:rFonts w:ascii="Times New Roman" w:hAnsi="Times New Roman"/>
                <w:sz w:val="16"/>
              </w:rPr>
              <w:t>1,312</w:t>
            </w:r>
          </w:p>
        </w:tc>
        <w:tc>
          <w:tcPr>
            <w:tcW w:w="1080" w:type="dxa"/>
          </w:tcPr>
          <w:p w14:paraId="704D28DE" w14:textId="77777777" w:rsidR="00536DDA" w:rsidRDefault="00000000">
            <w:pPr>
              <w:jc w:val="center"/>
            </w:pPr>
            <w:r>
              <w:rPr>
                <w:rFonts w:ascii="Times New Roman" w:hAnsi="Times New Roman"/>
                <w:sz w:val="16"/>
              </w:rPr>
              <w:t>461</w:t>
            </w:r>
          </w:p>
        </w:tc>
        <w:tc>
          <w:tcPr>
            <w:tcW w:w="936" w:type="dxa"/>
          </w:tcPr>
          <w:p w14:paraId="5B25C14F" w14:textId="77777777" w:rsidR="00536DDA" w:rsidRDefault="00000000">
            <w:pPr>
              <w:jc w:val="center"/>
            </w:pPr>
            <w:r>
              <w:rPr>
                <w:rFonts w:ascii="Times New Roman" w:hAnsi="Times New Roman"/>
                <w:sz w:val="16"/>
              </w:rPr>
              <w:t>512</w:t>
            </w:r>
          </w:p>
        </w:tc>
        <w:tc>
          <w:tcPr>
            <w:tcW w:w="936" w:type="dxa"/>
          </w:tcPr>
          <w:p w14:paraId="5275ECDC" w14:textId="77777777" w:rsidR="00536DDA" w:rsidRDefault="00000000">
            <w:pPr>
              <w:jc w:val="center"/>
            </w:pPr>
            <w:r>
              <w:rPr>
                <w:rFonts w:ascii="Times New Roman" w:hAnsi="Times New Roman"/>
                <w:sz w:val="16"/>
              </w:rPr>
              <w:t>3,840</w:t>
            </w:r>
          </w:p>
        </w:tc>
        <w:tc>
          <w:tcPr>
            <w:tcW w:w="1080" w:type="dxa"/>
          </w:tcPr>
          <w:p w14:paraId="110C82C0" w14:textId="77777777" w:rsidR="00536DDA" w:rsidRDefault="00000000">
            <w:pPr>
              <w:jc w:val="center"/>
            </w:pPr>
            <w:r>
              <w:rPr>
                <w:rFonts w:ascii="Times New Roman" w:hAnsi="Times New Roman"/>
                <w:sz w:val="16"/>
              </w:rPr>
              <w:t>+1.34</w:t>
            </w:r>
          </w:p>
        </w:tc>
      </w:tr>
      <w:tr w:rsidR="00536DDA" w14:paraId="32D5EB02" w14:textId="77777777">
        <w:trPr>
          <w:jc w:val="center"/>
        </w:trPr>
        <w:tc>
          <w:tcPr>
            <w:tcW w:w="2736" w:type="dxa"/>
            <w:shd w:val="clear" w:color="auto" w:fill="EBF0FA"/>
          </w:tcPr>
          <w:p w14:paraId="3E67040D" w14:textId="77777777" w:rsidR="00536DDA" w:rsidRDefault="00000000">
            <w:pPr>
              <w:jc w:val="center"/>
            </w:pPr>
            <w:r>
              <w:rPr>
                <w:rFonts w:ascii="Times New Roman" w:hAnsi="Times New Roman"/>
                <w:sz w:val="16"/>
              </w:rPr>
              <w:t>renter_income_ratio</w:t>
            </w:r>
          </w:p>
        </w:tc>
        <w:tc>
          <w:tcPr>
            <w:tcW w:w="1080" w:type="dxa"/>
            <w:shd w:val="clear" w:color="auto" w:fill="EBF0FA"/>
          </w:tcPr>
          <w:p w14:paraId="11134A9B" w14:textId="77777777" w:rsidR="00536DDA" w:rsidRDefault="00000000">
            <w:pPr>
              <w:jc w:val="center"/>
            </w:pPr>
            <w:r>
              <w:rPr>
                <w:rFonts w:ascii="Times New Roman" w:hAnsi="Times New Roman"/>
                <w:sz w:val="16"/>
              </w:rPr>
              <w:t>0.681</w:t>
            </w:r>
          </w:p>
        </w:tc>
        <w:tc>
          <w:tcPr>
            <w:tcW w:w="1080" w:type="dxa"/>
            <w:shd w:val="clear" w:color="auto" w:fill="EBF0FA"/>
          </w:tcPr>
          <w:p w14:paraId="2C21D4A8" w14:textId="77777777" w:rsidR="00536DDA" w:rsidRDefault="00000000">
            <w:pPr>
              <w:jc w:val="center"/>
            </w:pPr>
            <w:r>
              <w:rPr>
                <w:rFonts w:ascii="Times New Roman" w:hAnsi="Times New Roman"/>
                <w:sz w:val="16"/>
              </w:rPr>
              <w:t>0.694</w:t>
            </w:r>
          </w:p>
        </w:tc>
        <w:tc>
          <w:tcPr>
            <w:tcW w:w="1080" w:type="dxa"/>
            <w:shd w:val="clear" w:color="auto" w:fill="EBF0FA"/>
          </w:tcPr>
          <w:p w14:paraId="28E7FB49" w14:textId="77777777" w:rsidR="00536DDA" w:rsidRDefault="00000000">
            <w:pPr>
              <w:jc w:val="center"/>
            </w:pPr>
            <w:r>
              <w:rPr>
                <w:rFonts w:ascii="Times New Roman" w:hAnsi="Times New Roman"/>
                <w:sz w:val="16"/>
              </w:rPr>
              <w:t>0.121</w:t>
            </w:r>
          </w:p>
        </w:tc>
        <w:tc>
          <w:tcPr>
            <w:tcW w:w="936" w:type="dxa"/>
            <w:shd w:val="clear" w:color="auto" w:fill="EBF0FA"/>
          </w:tcPr>
          <w:p w14:paraId="669FF995" w14:textId="77777777" w:rsidR="00536DDA" w:rsidRDefault="00000000">
            <w:pPr>
              <w:jc w:val="center"/>
            </w:pPr>
            <w:r>
              <w:rPr>
                <w:rFonts w:ascii="Times New Roman" w:hAnsi="Times New Roman"/>
                <w:sz w:val="16"/>
              </w:rPr>
              <w:t>0.298</w:t>
            </w:r>
          </w:p>
        </w:tc>
        <w:tc>
          <w:tcPr>
            <w:tcW w:w="936" w:type="dxa"/>
            <w:shd w:val="clear" w:color="auto" w:fill="EBF0FA"/>
          </w:tcPr>
          <w:p w14:paraId="2236AFB5" w14:textId="77777777" w:rsidR="00536DDA" w:rsidRDefault="00000000">
            <w:pPr>
              <w:jc w:val="center"/>
            </w:pPr>
            <w:r>
              <w:rPr>
                <w:rFonts w:ascii="Times New Roman" w:hAnsi="Times New Roman"/>
                <w:sz w:val="16"/>
              </w:rPr>
              <w:t>0.982</w:t>
            </w:r>
          </w:p>
        </w:tc>
        <w:tc>
          <w:tcPr>
            <w:tcW w:w="1080" w:type="dxa"/>
            <w:shd w:val="clear" w:color="auto" w:fill="EBF0FA"/>
          </w:tcPr>
          <w:p w14:paraId="26FF7FC8" w14:textId="77777777" w:rsidR="00536DDA" w:rsidRDefault="00000000">
            <w:pPr>
              <w:jc w:val="center"/>
            </w:pPr>
            <w:r>
              <w:rPr>
                <w:rFonts w:ascii="Times New Roman" w:hAnsi="Times New Roman"/>
                <w:sz w:val="16"/>
              </w:rPr>
              <w:t>−0.44</w:t>
            </w:r>
          </w:p>
        </w:tc>
      </w:tr>
      <w:tr w:rsidR="00536DDA" w14:paraId="46A95FB1" w14:textId="77777777">
        <w:trPr>
          <w:jc w:val="center"/>
        </w:trPr>
        <w:tc>
          <w:tcPr>
            <w:tcW w:w="2736" w:type="dxa"/>
          </w:tcPr>
          <w:p w14:paraId="53A56CEA" w14:textId="77777777" w:rsidR="00536DDA" w:rsidRDefault="00000000">
            <w:pPr>
              <w:jc w:val="center"/>
            </w:pPr>
            <w:r>
              <w:rPr>
                <w:rFonts w:ascii="Times New Roman" w:hAnsi="Times New Roman"/>
                <w:sz w:val="16"/>
              </w:rPr>
              <w:t>vacancy_rate</w:t>
            </w:r>
          </w:p>
        </w:tc>
        <w:tc>
          <w:tcPr>
            <w:tcW w:w="1080" w:type="dxa"/>
          </w:tcPr>
          <w:p w14:paraId="0C5027E6" w14:textId="77777777" w:rsidR="00536DDA" w:rsidRDefault="00000000">
            <w:pPr>
              <w:jc w:val="center"/>
            </w:pPr>
            <w:r>
              <w:rPr>
                <w:rFonts w:ascii="Times New Roman" w:hAnsi="Times New Roman"/>
                <w:sz w:val="16"/>
              </w:rPr>
              <w:t>0.047</w:t>
            </w:r>
          </w:p>
        </w:tc>
        <w:tc>
          <w:tcPr>
            <w:tcW w:w="1080" w:type="dxa"/>
          </w:tcPr>
          <w:p w14:paraId="7A1762B1" w14:textId="77777777" w:rsidR="00536DDA" w:rsidRDefault="00000000">
            <w:pPr>
              <w:jc w:val="center"/>
            </w:pPr>
            <w:r>
              <w:rPr>
                <w:rFonts w:ascii="Times New Roman" w:hAnsi="Times New Roman"/>
                <w:sz w:val="16"/>
              </w:rPr>
              <w:t>0.042</w:t>
            </w:r>
          </w:p>
        </w:tc>
        <w:tc>
          <w:tcPr>
            <w:tcW w:w="1080" w:type="dxa"/>
          </w:tcPr>
          <w:p w14:paraId="6E320CB8" w14:textId="77777777" w:rsidR="00536DDA" w:rsidRDefault="00000000">
            <w:pPr>
              <w:jc w:val="center"/>
            </w:pPr>
            <w:r>
              <w:rPr>
                <w:rFonts w:ascii="Times New Roman" w:hAnsi="Times New Roman"/>
                <w:sz w:val="16"/>
              </w:rPr>
              <w:t>0.031</w:t>
            </w:r>
          </w:p>
        </w:tc>
        <w:tc>
          <w:tcPr>
            <w:tcW w:w="936" w:type="dxa"/>
          </w:tcPr>
          <w:p w14:paraId="111EE8C1" w14:textId="77777777" w:rsidR="00536DDA" w:rsidRDefault="00000000">
            <w:pPr>
              <w:jc w:val="center"/>
            </w:pPr>
            <w:r>
              <w:rPr>
                <w:rFonts w:ascii="Times New Roman" w:hAnsi="Times New Roman"/>
                <w:sz w:val="16"/>
              </w:rPr>
              <w:t>0.002</w:t>
            </w:r>
          </w:p>
        </w:tc>
        <w:tc>
          <w:tcPr>
            <w:tcW w:w="936" w:type="dxa"/>
          </w:tcPr>
          <w:p w14:paraId="69D3FBF8" w14:textId="77777777" w:rsidR="00536DDA" w:rsidRDefault="00000000">
            <w:pPr>
              <w:jc w:val="center"/>
            </w:pPr>
            <w:r>
              <w:rPr>
                <w:rFonts w:ascii="Times New Roman" w:hAnsi="Times New Roman"/>
                <w:sz w:val="16"/>
              </w:rPr>
              <w:t>0.241</w:t>
            </w:r>
          </w:p>
        </w:tc>
        <w:tc>
          <w:tcPr>
            <w:tcW w:w="1080" w:type="dxa"/>
          </w:tcPr>
          <w:p w14:paraId="04763A5B" w14:textId="77777777" w:rsidR="00536DDA" w:rsidRDefault="00000000">
            <w:pPr>
              <w:jc w:val="center"/>
            </w:pPr>
            <w:r>
              <w:rPr>
                <w:rFonts w:ascii="Times New Roman" w:hAnsi="Times New Roman"/>
                <w:sz w:val="16"/>
              </w:rPr>
              <w:t>+1.89</w:t>
            </w:r>
          </w:p>
        </w:tc>
      </w:tr>
      <w:tr w:rsidR="00536DDA" w14:paraId="4AFE716C" w14:textId="77777777">
        <w:trPr>
          <w:jc w:val="center"/>
        </w:trPr>
        <w:tc>
          <w:tcPr>
            <w:tcW w:w="2736" w:type="dxa"/>
            <w:shd w:val="clear" w:color="auto" w:fill="EBF0FA"/>
          </w:tcPr>
          <w:p w14:paraId="6AC8F0B3" w14:textId="77777777" w:rsidR="00536DDA" w:rsidRDefault="00000000">
            <w:pPr>
              <w:jc w:val="center"/>
            </w:pPr>
            <w:r>
              <w:rPr>
                <w:rFonts w:ascii="Times New Roman" w:hAnsi="Times New Roman"/>
                <w:sz w:val="16"/>
              </w:rPr>
              <w:t>unemployment_rate</w:t>
            </w:r>
          </w:p>
        </w:tc>
        <w:tc>
          <w:tcPr>
            <w:tcW w:w="1080" w:type="dxa"/>
            <w:shd w:val="clear" w:color="auto" w:fill="EBF0FA"/>
          </w:tcPr>
          <w:p w14:paraId="39C6F658" w14:textId="77777777" w:rsidR="00536DDA" w:rsidRDefault="00000000">
            <w:pPr>
              <w:jc w:val="center"/>
            </w:pPr>
            <w:r>
              <w:rPr>
                <w:rFonts w:ascii="Times New Roman" w:hAnsi="Times New Roman"/>
                <w:sz w:val="16"/>
              </w:rPr>
              <w:t>0.081</w:t>
            </w:r>
          </w:p>
        </w:tc>
        <w:tc>
          <w:tcPr>
            <w:tcW w:w="1080" w:type="dxa"/>
            <w:shd w:val="clear" w:color="auto" w:fill="EBF0FA"/>
          </w:tcPr>
          <w:p w14:paraId="20E5566D" w14:textId="77777777" w:rsidR="00536DDA" w:rsidRDefault="00000000">
            <w:pPr>
              <w:jc w:val="center"/>
            </w:pPr>
            <w:r>
              <w:rPr>
                <w:rFonts w:ascii="Times New Roman" w:hAnsi="Times New Roman"/>
                <w:sz w:val="16"/>
              </w:rPr>
              <w:t>0.074</w:t>
            </w:r>
          </w:p>
        </w:tc>
        <w:tc>
          <w:tcPr>
            <w:tcW w:w="1080" w:type="dxa"/>
            <w:shd w:val="clear" w:color="auto" w:fill="EBF0FA"/>
          </w:tcPr>
          <w:p w14:paraId="19315FE1" w14:textId="77777777" w:rsidR="00536DDA" w:rsidRDefault="00000000">
            <w:pPr>
              <w:jc w:val="center"/>
            </w:pPr>
            <w:r>
              <w:rPr>
                <w:rFonts w:ascii="Times New Roman" w:hAnsi="Times New Roman"/>
                <w:sz w:val="16"/>
              </w:rPr>
              <w:t>0.041</w:t>
            </w:r>
          </w:p>
        </w:tc>
        <w:tc>
          <w:tcPr>
            <w:tcW w:w="936" w:type="dxa"/>
            <w:shd w:val="clear" w:color="auto" w:fill="EBF0FA"/>
          </w:tcPr>
          <w:p w14:paraId="1637EAC5" w14:textId="77777777" w:rsidR="00536DDA" w:rsidRDefault="00000000">
            <w:pPr>
              <w:jc w:val="center"/>
            </w:pPr>
            <w:r>
              <w:rPr>
                <w:rFonts w:ascii="Times New Roman" w:hAnsi="Times New Roman"/>
                <w:sz w:val="16"/>
              </w:rPr>
              <w:t>0.018</w:t>
            </w:r>
          </w:p>
        </w:tc>
        <w:tc>
          <w:tcPr>
            <w:tcW w:w="936" w:type="dxa"/>
            <w:shd w:val="clear" w:color="auto" w:fill="EBF0FA"/>
          </w:tcPr>
          <w:p w14:paraId="7A364B99" w14:textId="77777777" w:rsidR="00536DDA" w:rsidRDefault="00000000">
            <w:pPr>
              <w:jc w:val="center"/>
            </w:pPr>
            <w:r>
              <w:rPr>
                <w:rFonts w:ascii="Times New Roman" w:hAnsi="Times New Roman"/>
                <w:sz w:val="16"/>
              </w:rPr>
              <w:t>0.312</w:t>
            </w:r>
          </w:p>
        </w:tc>
        <w:tc>
          <w:tcPr>
            <w:tcW w:w="1080" w:type="dxa"/>
            <w:shd w:val="clear" w:color="auto" w:fill="EBF0FA"/>
          </w:tcPr>
          <w:p w14:paraId="0FFF2A17" w14:textId="77777777" w:rsidR="00536DDA" w:rsidRDefault="00000000">
            <w:pPr>
              <w:jc w:val="center"/>
            </w:pPr>
            <w:r>
              <w:rPr>
                <w:rFonts w:ascii="Times New Roman" w:hAnsi="Times New Roman"/>
                <w:sz w:val="16"/>
              </w:rPr>
              <w:t>+1.56</w:t>
            </w:r>
          </w:p>
        </w:tc>
      </w:tr>
      <w:tr w:rsidR="00536DDA" w14:paraId="52288F73" w14:textId="77777777">
        <w:trPr>
          <w:jc w:val="center"/>
        </w:trPr>
        <w:tc>
          <w:tcPr>
            <w:tcW w:w="2736" w:type="dxa"/>
          </w:tcPr>
          <w:p w14:paraId="1E521780" w14:textId="77777777" w:rsidR="00536DDA" w:rsidRDefault="00000000">
            <w:pPr>
              <w:jc w:val="center"/>
            </w:pPr>
            <w:r>
              <w:rPr>
                <w:rFonts w:ascii="Times New Roman" w:hAnsi="Times New Roman"/>
                <w:sz w:val="16"/>
              </w:rPr>
              <w:t>gini_coefficient</w:t>
            </w:r>
          </w:p>
        </w:tc>
        <w:tc>
          <w:tcPr>
            <w:tcW w:w="1080" w:type="dxa"/>
          </w:tcPr>
          <w:p w14:paraId="4E5C461E" w14:textId="77777777" w:rsidR="00536DDA" w:rsidRDefault="00000000">
            <w:pPr>
              <w:jc w:val="center"/>
            </w:pPr>
            <w:r>
              <w:rPr>
                <w:rFonts w:ascii="Times New Roman" w:hAnsi="Times New Roman"/>
                <w:sz w:val="16"/>
              </w:rPr>
              <w:t>0.462</w:t>
            </w:r>
          </w:p>
        </w:tc>
        <w:tc>
          <w:tcPr>
            <w:tcW w:w="1080" w:type="dxa"/>
          </w:tcPr>
          <w:p w14:paraId="44FAC4B7" w14:textId="77777777" w:rsidR="00536DDA" w:rsidRDefault="00000000">
            <w:pPr>
              <w:jc w:val="center"/>
            </w:pPr>
            <w:r>
              <w:rPr>
                <w:rFonts w:ascii="Times New Roman" w:hAnsi="Times New Roman"/>
                <w:sz w:val="16"/>
              </w:rPr>
              <w:t>0.451</w:t>
            </w:r>
          </w:p>
        </w:tc>
        <w:tc>
          <w:tcPr>
            <w:tcW w:w="1080" w:type="dxa"/>
          </w:tcPr>
          <w:p w14:paraId="635975D2" w14:textId="77777777" w:rsidR="00536DDA" w:rsidRDefault="00000000">
            <w:pPr>
              <w:jc w:val="center"/>
            </w:pPr>
            <w:r>
              <w:rPr>
                <w:rFonts w:ascii="Times New Roman" w:hAnsi="Times New Roman"/>
                <w:sz w:val="16"/>
              </w:rPr>
              <w:t>0.072</w:t>
            </w:r>
          </w:p>
        </w:tc>
        <w:tc>
          <w:tcPr>
            <w:tcW w:w="936" w:type="dxa"/>
          </w:tcPr>
          <w:p w14:paraId="7A09F538" w14:textId="77777777" w:rsidR="00536DDA" w:rsidRDefault="00000000">
            <w:pPr>
              <w:jc w:val="center"/>
            </w:pPr>
            <w:r>
              <w:rPr>
                <w:rFonts w:ascii="Times New Roman" w:hAnsi="Times New Roman"/>
                <w:sz w:val="16"/>
              </w:rPr>
              <w:t>0.312</w:t>
            </w:r>
          </w:p>
        </w:tc>
        <w:tc>
          <w:tcPr>
            <w:tcW w:w="936" w:type="dxa"/>
          </w:tcPr>
          <w:p w14:paraId="6B114FD1" w14:textId="77777777" w:rsidR="00536DDA" w:rsidRDefault="00000000">
            <w:pPr>
              <w:jc w:val="center"/>
            </w:pPr>
            <w:r>
              <w:rPr>
                <w:rFonts w:ascii="Times New Roman" w:hAnsi="Times New Roman"/>
                <w:sz w:val="16"/>
              </w:rPr>
              <w:t>0.681</w:t>
            </w:r>
          </w:p>
        </w:tc>
        <w:tc>
          <w:tcPr>
            <w:tcW w:w="1080" w:type="dxa"/>
          </w:tcPr>
          <w:p w14:paraId="122FE31D" w14:textId="77777777" w:rsidR="00536DDA" w:rsidRDefault="00000000">
            <w:pPr>
              <w:jc w:val="center"/>
            </w:pPr>
            <w:r>
              <w:rPr>
                <w:rFonts w:ascii="Times New Roman" w:hAnsi="Times New Roman"/>
                <w:sz w:val="16"/>
              </w:rPr>
              <w:t>+0.31</w:t>
            </w:r>
          </w:p>
        </w:tc>
      </w:tr>
      <w:tr w:rsidR="00536DDA" w14:paraId="3404608C" w14:textId="77777777">
        <w:trPr>
          <w:jc w:val="center"/>
        </w:trPr>
        <w:tc>
          <w:tcPr>
            <w:tcW w:w="2736" w:type="dxa"/>
            <w:shd w:val="clear" w:color="auto" w:fill="EBF0FA"/>
          </w:tcPr>
          <w:p w14:paraId="7914064A" w14:textId="77777777" w:rsidR="00536DDA" w:rsidRDefault="00000000">
            <w:pPr>
              <w:jc w:val="center"/>
            </w:pPr>
            <w:r>
              <w:rPr>
                <w:rFonts w:ascii="Times New Roman" w:hAnsi="Times New Roman"/>
                <w:sz w:val="16"/>
              </w:rPr>
              <w:t>eviction_rate (per 1,000)</w:t>
            </w:r>
          </w:p>
        </w:tc>
        <w:tc>
          <w:tcPr>
            <w:tcW w:w="1080" w:type="dxa"/>
            <w:shd w:val="clear" w:color="auto" w:fill="EBF0FA"/>
          </w:tcPr>
          <w:p w14:paraId="10424B15" w14:textId="77777777" w:rsidR="00536DDA" w:rsidRDefault="00000000">
            <w:pPr>
              <w:jc w:val="center"/>
            </w:pPr>
            <w:r>
              <w:rPr>
                <w:rFonts w:ascii="Times New Roman" w:hAnsi="Times New Roman"/>
                <w:sz w:val="16"/>
              </w:rPr>
              <w:t>8.41</w:t>
            </w:r>
          </w:p>
        </w:tc>
        <w:tc>
          <w:tcPr>
            <w:tcW w:w="1080" w:type="dxa"/>
            <w:shd w:val="clear" w:color="auto" w:fill="EBF0FA"/>
          </w:tcPr>
          <w:p w14:paraId="5A472464" w14:textId="77777777" w:rsidR="00536DDA" w:rsidRDefault="00000000">
            <w:pPr>
              <w:jc w:val="center"/>
            </w:pPr>
            <w:r>
              <w:rPr>
                <w:rFonts w:ascii="Times New Roman" w:hAnsi="Times New Roman"/>
                <w:sz w:val="16"/>
              </w:rPr>
              <w:t>6.82</w:t>
            </w:r>
          </w:p>
        </w:tc>
        <w:tc>
          <w:tcPr>
            <w:tcW w:w="1080" w:type="dxa"/>
            <w:shd w:val="clear" w:color="auto" w:fill="EBF0FA"/>
          </w:tcPr>
          <w:p w14:paraId="764C0045" w14:textId="77777777" w:rsidR="00536DDA" w:rsidRDefault="00000000">
            <w:pPr>
              <w:jc w:val="center"/>
            </w:pPr>
            <w:r>
              <w:rPr>
                <w:rFonts w:ascii="Times New Roman" w:hAnsi="Times New Roman"/>
                <w:sz w:val="16"/>
              </w:rPr>
              <w:t>7.23</w:t>
            </w:r>
          </w:p>
        </w:tc>
        <w:tc>
          <w:tcPr>
            <w:tcW w:w="936" w:type="dxa"/>
            <w:shd w:val="clear" w:color="auto" w:fill="EBF0FA"/>
          </w:tcPr>
          <w:p w14:paraId="5CB33F24" w14:textId="77777777" w:rsidR="00536DDA" w:rsidRDefault="00000000">
            <w:pPr>
              <w:jc w:val="center"/>
            </w:pPr>
            <w:r>
              <w:rPr>
                <w:rFonts w:ascii="Times New Roman" w:hAnsi="Times New Roman"/>
                <w:sz w:val="16"/>
              </w:rPr>
              <w:t>0.00</w:t>
            </w:r>
          </w:p>
        </w:tc>
        <w:tc>
          <w:tcPr>
            <w:tcW w:w="936" w:type="dxa"/>
            <w:shd w:val="clear" w:color="auto" w:fill="EBF0FA"/>
          </w:tcPr>
          <w:p w14:paraId="638A2D74" w14:textId="77777777" w:rsidR="00536DDA" w:rsidRDefault="00000000">
            <w:pPr>
              <w:jc w:val="center"/>
            </w:pPr>
            <w:r>
              <w:rPr>
                <w:rFonts w:ascii="Times New Roman" w:hAnsi="Times New Roman"/>
                <w:sz w:val="16"/>
              </w:rPr>
              <w:t>61.4</w:t>
            </w:r>
          </w:p>
        </w:tc>
        <w:tc>
          <w:tcPr>
            <w:tcW w:w="1080" w:type="dxa"/>
            <w:shd w:val="clear" w:color="auto" w:fill="EBF0FA"/>
          </w:tcPr>
          <w:p w14:paraId="46FEB220" w14:textId="77777777" w:rsidR="00536DDA" w:rsidRDefault="00000000">
            <w:pPr>
              <w:jc w:val="center"/>
            </w:pPr>
            <w:r>
              <w:rPr>
                <w:rFonts w:ascii="Times New Roman" w:hAnsi="Times New Roman"/>
                <w:sz w:val="16"/>
              </w:rPr>
              <w:t>+2.18</w:t>
            </w:r>
          </w:p>
        </w:tc>
      </w:tr>
      <w:tr w:rsidR="00536DDA" w14:paraId="03E8D02C" w14:textId="77777777">
        <w:trPr>
          <w:jc w:val="center"/>
        </w:trPr>
        <w:tc>
          <w:tcPr>
            <w:tcW w:w="2736" w:type="dxa"/>
          </w:tcPr>
          <w:p w14:paraId="26F8BC6B" w14:textId="77777777" w:rsidR="00536DDA" w:rsidRDefault="00000000">
            <w:pPr>
              <w:jc w:val="center"/>
            </w:pPr>
            <w:r>
              <w:rPr>
                <w:rFonts w:ascii="Times New Roman" w:hAnsi="Times New Roman"/>
                <w:sz w:val="16"/>
              </w:rPr>
              <w:t>severe_crowding_rate</w:t>
            </w:r>
          </w:p>
        </w:tc>
        <w:tc>
          <w:tcPr>
            <w:tcW w:w="1080" w:type="dxa"/>
          </w:tcPr>
          <w:p w14:paraId="2F611B61" w14:textId="77777777" w:rsidR="00536DDA" w:rsidRDefault="00000000">
            <w:pPr>
              <w:jc w:val="center"/>
            </w:pPr>
            <w:r>
              <w:rPr>
                <w:rFonts w:ascii="Times New Roman" w:hAnsi="Times New Roman"/>
                <w:sz w:val="16"/>
              </w:rPr>
              <w:t>0.031</w:t>
            </w:r>
          </w:p>
        </w:tc>
        <w:tc>
          <w:tcPr>
            <w:tcW w:w="1080" w:type="dxa"/>
          </w:tcPr>
          <w:p w14:paraId="3B642F28" w14:textId="77777777" w:rsidR="00536DDA" w:rsidRDefault="00000000">
            <w:pPr>
              <w:jc w:val="center"/>
            </w:pPr>
            <w:r>
              <w:rPr>
                <w:rFonts w:ascii="Times New Roman" w:hAnsi="Times New Roman"/>
                <w:sz w:val="16"/>
              </w:rPr>
              <w:t>0.024</w:t>
            </w:r>
          </w:p>
        </w:tc>
        <w:tc>
          <w:tcPr>
            <w:tcW w:w="1080" w:type="dxa"/>
          </w:tcPr>
          <w:p w14:paraId="0D71DFFC" w14:textId="77777777" w:rsidR="00536DDA" w:rsidRDefault="00000000">
            <w:pPr>
              <w:jc w:val="center"/>
            </w:pPr>
            <w:r>
              <w:rPr>
                <w:rFonts w:ascii="Times New Roman" w:hAnsi="Times New Roman"/>
                <w:sz w:val="16"/>
              </w:rPr>
              <w:t>0.029</w:t>
            </w:r>
          </w:p>
        </w:tc>
        <w:tc>
          <w:tcPr>
            <w:tcW w:w="936" w:type="dxa"/>
          </w:tcPr>
          <w:p w14:paraId="64AA80D7" w14:textId="77777777" w:rsidR="00536DDA" w:rsidRDefault="00000000">
            <w:pPr>
              <w:jc w:val="center"/>
            </w:pPr>
            <w:r>
              <w:rPr>
                <w:rFonts w:ascii="Times New Roman" w:hAnsi="Times New Roman"/>
                <w:sz w:val="16"/>
              </w:rPr>
              <w:t>0.001</w:t>
            </w:r>
          </w:p>
        </w:tc>
        <w:tc>
          <w:tcPr>
            <w:tcW w:w="936" w:type="dxa"/>
          </w:tcPr>
          <w:p w14:paraId="7C1D9E14" w14:textId="77777777" w:rsidR="00536DDA" w:rsidRDefault="00000000">
            <w:pPr>
              <w:jc w:val="center"/>
            </w:pPr>
            <w:r>
              <w:rPr>
                <w:rFonts w:ascii="Times New Roman" w:hAnsi="Times New Roman"/>
                <w:sz w:val="16"/>
              </w:rPr>
              <w:t>0.212</w:t>
            </w:r>
          </w:p>
        </w:tc>
        <w:tc>
          <w:tcPr>
            <w:tcW w:w="1080" w:type="dxa"/>
          </w:tcPr>
          <w:p w14:paraId="17466DA3" w14:textId="77777777" w:rsidR="00536DDA" w:rsidRDefault="00000000">
            <w:pPr>
              <w:jc w:val="center"/>
            </w:pPr>
            <w:r>
              <w:rPr>
                <w:rFonts w:ascii="Times New Roman" w:hAnsi="Times New Roman"/>
                <w:sz w:val="16"/>
              </w:rPr>
              <w:t>+2.41</w:t>
            </w:r>
          </w:p>
        </w:tc>
      </w:tr>
    </w:tbl>
    <w:p w14:paraId="1586E62E" w14:textId="77777777" w:rsidR="00536DDA" w:rsidRDefault="00536DDA">
      <w:pPr>
        <w:spacing w:after="40"/>
      </w:pPr>
    </w:p>
    <w:p w14:paraId="73391D0B" w14:textId="77777777" w:rsidR="00536DDA" w:rsidRDefault="00000000">
      <w:pPr>
        <w:spacing w:before="140" w:after="60"/>
      </w:pPr>
      <w:r>
        <w:rPr>
          <w:rFonts w:ascii="Times New Roman" w:hAnsi="Times New Roman"/>
          <w:b/>
          <w:i/>
          <w:sz w:val="20"/>
        </w:rPr>
        <w:t>B. Model Performance on Held-Out Test Set (2021–2022)</w:t>
      </w:r>
    </w:p>
    <w:p w14:paraId="711C20E2" w14:textId="77777777" w:rsidR="00536DDA" w:rsidRDefault="00000000">
      <w:pPr>
        <w:spacing w:after="100"/>
        <w:ind w:firstLine="280"/>
        <w:jc w:val="both"/>
      </w:pPr>
      <w:r>
        <w:rPr>
          <w:rFonts w:ascii="Times New Roman" w:hAnsi="Times New Roman"/>
          <w:sz w:val="20"/>
        </w:rPr>
        <w:t>Table IV presents the performance of all three models on the held-out test set. XGBoost achieves the highest test R²=0.891 and lowest test RMSE=0.0312, demonstrating the strongest predictive accuracy for NTA-level severe rent burden. LightGBM performs comparably (R²=0.882, RMSE=0.0327), consistent with its similar algorithmic approach. Random Forest exhibits the largest train-to-test R² gap (0.976 vs. 0.821), indicating some degree of overfitting to training data—a common pattern for deep decision tree ensembles on moderately sized tabular panels. XGBoost's L1/L2 regularization terms (γ, λ) substantially mitigate this overfitting tendency, as evidenced by its smaller train-test R² gap of 0.072.</w:t>
      </w:r>
    </w:p>
    <w:p w14:paraId="5F2681E6" w14:textId="77777777" w:rsidR="00536DDA" w:rsidRDefault="00536DDA">
      <w:pPr>
        <w:spacing w:after="40"/>
      </w:pPr>
    </w:p>
    <w:p w14:paraId="635241E0" w14:textId="77777777" w:rsidR="00536DDA" w:rsidRDefault="00000000">
      <w:pPr>
        <w:spacing w:before="140" w:after="40"/>
        <w:jc w:val="center"/>
      </w:pPr>
      <w:r>
        <w:rPr>
          <w:rFonts w:ascii="Times New Roman" w:hAnsi="Times New Roman"/>
          <w:b/>
          <w:sz w:val="18"/>
        </w:rPr>
        <w:t>TABLE IV: MODEL PERFORMANCE ON TEST SET (YEARS 2021–2022, N=478)</w:t>
      </w:r>
    </w:p>
    <w:tbl>
      <w:tblPr>
        <w:tblStyle w:val="TableGrid"/>
        <w:tblW w:w="0" w:type="auto"/>
        <w:jc w:val="center"/>
        <w:tblLook w:val="04A0" w:firstRow="1" w:lastRow="0" w:firstColumn="1" w:lastColumn="0" w:noHBand="0" w:noVBand="1"/>
      </w:tblPr>
      <w:tblGrid>
        <w:gridCol w:w="2448"/>
        <w:gridCol w:w="1224"/>
        <w:gridCol w:w="1224"/>
        <w:gridCol w:w="1224"/>
        <w:gridCol w:w="1368"/>
        <w:gridCol w:w="1224"/>
        <w:gridCol w:w="1008"/>
      </w:tblGrid>
      <w:tr w:rsidR="00536DDA" w14:paraId="56558D61" w14:textId="77777777">
        <w:trPr>
          <w:jc w:val="center"/>
        </w:trPr>
        <w:tc>
          <w:tcPr>
            <w:tcW w:w="2448" w:type="dxa"/>
            <w:shd w:val="clear" w:color="auto" w:fill="1A376C"/>
          </w:tcPr>
          <w:p w14:paraId="65B608BD" w14:textId="77777777" w:rsidR="00536DDA" w:rsidRDefault="00000000">
            <w:pPr>
              <w:jc w:val="center"/>
            </w:pPr>
            <w:r>
              <w:rPr>
                <w:rFonts w:ascii="Times New Roman" w:hAnsi="Times New Roman"/>
                <w:b/>
                <w:color w:val="FFFFFF"/>
                <w:sz w:val="16"/>
              </w:rPr>
              <w:t>Model</w:t>
            </w:r>
          </w:p>
        </w:tc>
        <w:tc>
          <w:tcPr>
            <w:tcW w:w="1224" w:type="dxa"/>
            <w:shd w:val="clear" w:color="auto" w:fill="1A376C"/>
          </w:tcPr>
          <w:p w14:paraId="137A16C0" w14:textId="77777777" w:rsidR="00536DDA" w:rsidRDefault="00000000">
            <w:pPr>
              <w:jc w:val="center"/>
            </w:pPr>
            <w:r>
              <w:rPr>
                <w:rFonts w:ascii="Times New Roman" w:hAnsi="Times New Roman"/>
                <w:b/>
                <w:color w:val="FFFFFF"/>
                <w:sz w:val="16"/>
              </w:rPr>
              <w:t>Train R²</w:t>
            </w:r>
          </w:p>
        </w:tc>
        <w:tc>
          <w:tcPr>
            <w:tcW w:w="1224" w:type="dxa"/>
            <w:shd w:val="clear" w:color="auto" w:fill="1A376C"/>
          </w:tcPr>
          <w:p w14:paraId="4DC7804B" w14:textId="77777777" w:rsidR="00536DDA" w:rsidRDefault="00000000">
            <w:pPr>
              <w:jc w:val="center"/>
            </w:pPr>
            <w:r>
              <w:rPr>
                <w:rFonts w:ascii="Times New Roman" w:hAnsi="Times New Roman"/>
                <w:b/>
                <w:color w:val="FFFFFF"/>
                <w:sz w:val="16"/>
              </w:rPr>
              <w:t>Test R²</w:t>
            </w:r>
          </w:p>
        </w:tc>
        <w:tc>
          <w:tcPr>
            <w:tcW w:w="1224" w:type="dxa"/>
            <w:shd w:val="clear" w:color="auto" w:fill="1A376C"/>
          </w:tcPr>
          <w:p w14:paraId="79918E17" w14:textId="77777777" w:rsidR="00536DDA" w:rsidRDefault="00000000">
            <w:pPr>
              <w:jc w:val="center"/>
            </w:pPr>
            <w:r>
              <w:rPr>
                <w:rFonts w:ascii="Times New Roman" w:hAnsi="Times New Roman"/>
                <w:b/>
                <w:color w:val="FFFFFF"/>
                <w:sz w:val="16"/>
              </w:rPr>
              <w:t>ΔR² Gap</w:t>
            </w:r>
          </w:p>
        </w:tc>
        <w:tc>
          <w:tcPr>
            <w:tcW w:w="1368" w:type="dxa"/>
            <w:shd w:val="clear" w:color="auto" w:fill="1A376C"/>
          </w:tcPr>
          <w:p w14:paraId="6005082E" w14:textId="77777777" w:rsidR="00536DDA" w:rsidRDefault="00000000">
            <w:pPr>
              <w:jc w:val="center"/>
            </w:pPr>
            <w:r>
              <w:rPr>
                <w:rFonts w:ascii="Times New Roman" w:hAnsi="Times New Roman"/>
                <w:b/>
                <w:color w:val="FFFFFF"/>
                <w:sz w:val="16"/>
              </w:rPr>
              <w:t>Test RMSE</w:t>
            </w:r>
          </w:p>
        </w:tc>
        <w:tc>
          <w:tcPr>
            <w:tcW w:w="1224" w:type="dxa"/>
            <w:shd w:val="clear" w:color="auto" w:fill="1A376C"/>
          </w:tcPr>
          <w:p w14:paraId="3C17C845" w14:textId="77777777" w:rsidR="00536DDA" w:rsidRDefault="00000000">
            <w:pPr>
              <w:jc w:val="center"/>
            </w:pPr>
            <w:r>
              <w:rPr>
                <w:rFonts w:ascii="Times New Roman" w:hAnsi="Times New Roman"/>
                <w:b/>
                <w:color w:val="FFFFFF"/>
                <w:sz w:val="16"/>
              </w:rPr>
              <w:t>Test MAE</w:t>
            </w:r>
          </w:p>
        </w:tc>
        <w:tc>
          <w:tcPr>
            <w:tcW w:w="1008" w:type="dxa"/>
            <w:shd w:val="clear" w:color="auto" w:fill="1A376C"/>
          </w:tcPr>
          <w:p w14:paraId="776AC6B2" w14:textId="77777777" w:rsidR="00536DDA" w:rsidRDefault="00000000">
            <w:pPr>
              <w:jc w:val="center"/>
            </w:pPr>
            <w:r>
              <w:rPr>
                <w:rFonts w:ascii="Times New Roman" w:hAnsi="Times New Roman"/>
                <w:b/>
                <w:color w:val="FFFFFF"/>
                <w:sz w:val="16"/>
              </w:rPr>
              <w:t>Rank</w:t>
            </w:r>
          </w:p>
        </w:tc>
      </w:tr>
      <w:tr w:rsidR="00536DDA" w14:paraId="5AEB0BA7" w14:textId="77777777">
        <w:trPr>
          <w:jc w:val="center"/>
        </w:trPr>
        <w:tc>
          <w:tcPr>
            <w:tcW w:w="2448" w:type="dxa"/>
            <w:shd w:val="clear" w:color="auto" w:fill="EBF0FA"/>
          </w:tcPr>
          <w:p w14:paraId="2B1D9FAD" w14:textId="77777777" w:rsidR="00536DDA" w:rsidRDefault="00000000">
            <w:pPr>
              <w:jc w:val="center"/>
            </w:pPr>
            <w:r>
              <w:rPr>
                <w:rFonts w:ascii="Times New Roman" w:hAnsi="Times New Roman"/>
                <w:sz w:val="16"/>
              </w:rPr>
              <w:t>XGBoost</w:t>
            </w:r>
          </w:p>
        </w:tc>
        <w:tc>
          <w:tcPr>
            <w:tcW w:w="1224" w:type="dxa"/>
            <w:shd w:val="clear" w:color="auto" w:fill="EBF0FA"/>
          </w:tcPr>
          <w:p w14:paraId="2A8376BB" w14:textId="77777777" w:rsidR="00536DDA" w:rsidRDefault="00000000">
            <w:pPr>
              <w:jc w:val="center"/>
            </w:pPr>
            <w:r>
              <w:rPr>
                <w:rFonts w:ascii="Times New Roman" w:hAnsi="Times New Roman"/>
                <w:sz w:val="16"/>
              </w:rPr>
              <w:t>0.963</w:t>
            </w:r>
          </w:p>
        </w:tc>
        <w:tc>
          <w:tcPr>
            <w:tcW w:w="1224" w:type="dxa"/>
            <w:shd w:val="clear" w:color="auto" w:fill="EBF0FA"/>
          </w:tcPr>
          <w:p w14:paraId="106EB755" w14:textId="77777777" w:rsidR="00536DDA" w:rsidRDefault="00000000">
            <w:pPr>
              <w:jc w:val="center"/>
            </w:pPr>
            <w:r>
              <w:rPr>
                <w:rFonts w:ascii="Times New Roman" w:hAnsi="Times New Roman"/>
                <w:sz w:val="16"/>
              </w:rPr>
              <w:t>0.891</w:t>
            </w:r>
          </w:p>
        </w:tc>
        <w:tc>
          <w:tcPr>
            <w:tcW w:w="1224" w:type="dxa"/>
            <w:shd w:val="clear" w:color="auto" w:fill="EBF0FA"/>
          </w:tcPr>
          <w:p w14:paraId="027BF1BA" w14:textId="77777777" w:rsidR="00536DDA" w:rsidRDefault="00000000">
            <w:pPr>
              <w:jc w:val="center"/>
            </w:pPr>
            <w:r>
              <w:rPr>
                <w:rFonts w:ascii="Times New Roman" w:hAnsi="Times New Roman"/>
                <w:sz w:val="16"/>
              </w:rPr>
              <w:t>0.072</w:t>
            </w:r>
          </w:p>
        </w:tc>
        <w:tc>
          <w:tcPr>
            <w:tcW w:w="1368" w:type="dxa"/>
            <w:shd w:val="clear" w:color="auto" w:fill="EBF0FA"/>
          </w:tcPr>
          <w:p w14:paraId="67F528BC" w14:textId="77777777" w:rsidR="00536DDA" w:rsidRDefault="00000000">
            <w:pPr>
              <w:jc w:val="center"/>
            </w:pPr>
            <w:r>
              <w:rPr>
                <w:rFonts w:ascii="Times New Roman" w:hAnsi="Times New Roman"/>
                <w:sz w:val="16"/>
              </w:rPr>
              <w:t>0.0312</w:t>
            </w:r>
          </w:p>
        </w:tc>
        <w:tc>
          <w:tcPr>
            <w:tcW w:w="1224" w:type="dxa"/>
            <w:shd w:val="clear" w:color="auto" w:fill="EBF0FA"/>
          </w:tcPr>
          <w:p w14:paraId="4328AF08" w14:textId="77777777" w:rsidR="00536DDA" w:rsidRDefault="00000000">
            <w:pPr>
              <w:jc w:val="center"/>
            </w:pPr>
            <w:r>
              <w:rPr>
                <w:rFonts w:ascii="Times New Roman" w:hAnsi="Times New Roman"/>
                <w:sz w:val="16"/>
              </w:rPr>
              <w:t>0.0218</w:t>
            </w:r>
          </w:p>
        </w:tc>
        <w:tc>
          <w:tcPr>
            <w:tcW w:w="1008" w:type="dxa"/>
            <w:shd w:val="clear" w:color="auto" w:fill="EBF0FA"/>
          </w:tcPr>
          <w:p w14:paraId="0ACFA49F" w14:textId="77777777" w:rsidR="00536DDA" w:rsidRDefault="00000000">
            <w:pPr>
              <w:jc w:val="center"/>
            </w:pPr>
            <w:r>
              <w:rPr>
                <w:rFonts w:ascii="Times New Roman" w:hAnsi="Times New Roman"/>
                <w:sz w:val="16"/>
              </w:rPr>
              <w:t>1st</w:t>
            </w:r>
          </w:p>
        </w:tc>
      </w:tr>
      <w:tr w:rsidR="00536DDA" w14:paraId="0DE8F80C" w14:textId="77777777">
        <w:trPr>
          <w:jc w:val="center"/>
        </w:trPr>
        <w:tc>
          <w:tcPr>
            <w:tcW w:w="2448" w:type="dxa"/>
          </w:tcPr>
          <w:p w14:paraId="062ADFBC" w14:textId="77777777" w:rsidR="00536DDA" w:rsidRDefault="00000000">
            <w:pPr>
              <w:jc w:val="center"/>
            </w:pPr>
            <w:r>
              <w:rPr>
                <w:rFonts w:ascii="Times New Roman" w:hAnsi="Times New Roman"/>
                <w:sz w:val="16"/>
              </w:rPr>
              <w:t>LightGBM</w:t>
            </w:r>
          </w:p>
        </w:tc>
        <w:tc>
          <w:tcPr>
            <w:tcW w:w="1224" w:type="dxa"/>
          </w:tcPr>
          <w:p w14:paraId="35D5EF83" w14:textId="77777777" w:rsidR="00536DDA" w:rsidRDefault="00000000">
            <w:pPr>
              <w:jc w:val="center"/>
            </w:pPr>
            <w:r>
              <w:rPr>
                <w:rFonts w:ascii="Times New Roman" w:hAnsi="Times New Roman"/>
                <w:sz w:val="16"/>
              </w:rPr>
              <w:t>0.958</w:t>
            </w:r>
          </w:p>
        </w:tc>
        <w:tc>
          <w:tcPr>
            <w:tcW w:w="1224" w:type="dxa"/>
          </w:tcPr>
          <w:p w14:paraId="6B52419D" w14:textId="77777777" w:rsidR="00536DDA" w:rsidRDefault="00000000">
            <w:pPr>
              <w:jc w:val="center"/>
            </w:pPr>
            <w:r>
              <w:rPr>
                <w:rFonts w:ascii="Times New Roman" w:hAnsi="Times New Roman"/>
                <w:sz w:val="16"/>
              </w:rPr>
              <w:t>0.882</w:t>
            </w:r>
          </w:p>
        </w:tc>
        <w:tc>
          <w:tcPr>
            <w:tcW w:w="1224" w:type="dxa"/>
          </w:tcPr>
          <w:p w14:paraId="4DAC19BF" w14:textId="77777777" w:rsidR="00536DDA" w:rsidRDefault="00000000">
            <w:pPr>
              <w:jc w:val="center"/>
            </w:pPr>
            <w:r>
              <w:rPr>
                <w:rFonts w:ascii="Times New Roman" w:hAnsi="Times New Roman"/>
                <w:sz w:val="16"/>
              </w:rPr>
              <w:t>0.076</w:t>
            </w:r>
          </w:p>
        </w:tc>
        <w:tc>
          <w:tcPr>
            <w:tcW w:w="1368" w:type="dxa"/>
          </w:tcPr>
          <w:p w14:paraId="5E649C03" w14:textId="77777777" w:rsidR="00536DDA" w:rsidRDefault="00000000">
            <w:pPr>
              <w:jc w:val="center"/>
            </w:pPr>
            <w:r>
              <w:rPr>
                <w:rFonts w:ascii="Times New Roman" w:hAnsi="Times New Roman"/>
                <w:sz w:val="16"/>
              </w:rPr>
              <w:t>0.0327</w:t>
            </w:r>
          </w:p>
        </w:tc>
        <w:tc>
          <w:tcPr>
            <w:tcW w:w="1224" w:type="dxa"/>
          </w:tcPr>
          <w:p w14:paraId="54C200F2" w14:textId="77777777" w:rsidR="00536DDA" w:rsidRDefault="00000000">
            <w:pPr>
              <w:jc w:val="center"/>
            </w:pPr>
            <w:r>
              <w:rPr>
                <w:rFonts w:ascii="Times New Roman" w:hAnsi="Times New Roman"/>
                <w:sz w:val="16"/>
              </w:rPr>
              <w:t>0.0229</w:t>
            </w:r>
          </w:p>
        </w:tc>
        <w:tc>
          <w:tcPr>
            <w:tcW w:w="1008" w:type="dxa"/>
          </w:tcPr>
          <w:p w14:paraId="31AB264C" w14:textId="77777777" w:rsidR="00536DDA" w:rsidRDefault="00000000">
            <w:pPr>
              <w:jc w:val="center"/>
            </w:pPr>
            <w:r>
              <w:rPr>
                <w:rFonts w:ascii="Times New Roman" w:hAnsi="Times New Roman"/>
                <w:sz w:val="16"/>
              </w:rPr>
              <w:t>2nd</w:t>
            </w:r>
          </w:p>
        </w:tc>
      </w:tr>
      <w:tr w:rsidR="00536DDA" w14:paraId="7F88EBFF" w14:textId="77777777">
        <w:trPr>
          <w:jc w:val="center"/>
        </w:trPr>
        <w:tc>
          <w:tcPr>
            <w:tcW w:w="2448" w:type="dxa"/>
            <w:shd w:val="clear" w:color="auto" w:fill="EBF0FA"/>
          </w:tcPr>
          <w:p w14:paraId="3D808DF2" w14:textId="77777777" w:rsidR="00536DDA" w:rsidRDefault="00000000">
            <w:pPr>
              <w:jc w:val="center"/>
            </w:pPr>
            <w:r>
              <w:rPr>
                <w:rFonts w:ascii="Times New Roman" w:hAnsi="Times New Roman"/>
                <w:sz w:val="16"/>
              </w:rPr>
              <w:t>Random Forest</w:t>
            </w:r>
          </w:p>
        </w:tc>
        <w:tc>
          <w:tcPr>
            <w:tcW w:w="1224" w:type="dxa"/>
            <w:shd w:val="clear" w:color="auto" w:fill="EBF0FA"/>
          </w:tcPr>
          <w:p w14:paraId="07D24F7D" w14:textId="77777777" w:rsidR="00536DDA" w:rsidRDefault="00000000">
            <w:pPr>
              <w:jc w:val="center"/>
            </w:pPr>
            <w:r>
              <w:rPr>
                <w:rFonts w:ascii="Times New Roman" w:hAnsi="Times New Roman"/>
                <w:sz w:val="16"/>
              </w:rPr>
              <w:t>0.976</w:t>
            </w:r>
          </w:p>
        </w:tc>
        <w:tc>
          <w:tcPr>
            <w:tcW w:w="1224" w:type="dxa"/>
            <w:shd w:val="clear" w:color="auto" w:fill="EBF0FA"/>
          </w:tcPr>
          <w:p w14:paraId="2A402855" w14:textId="77777777" w:rsidR="00536DDA" w:rsidRDefault="00000000">
            <w:pPr>
              <w:jc w:val="center"/>
            </w:pPr>
            <w:r>
              <w:rPr>
                <w:rFonts w:ascii="Times New Roman" w:hAnsi="Times New Roman"/>
                <w:sz w:val="16"/>
              </w:rPr>
              <w:t>0.821</w:t>
            </w:r>
          </w:p>
        </w:tc>
        <w:tc>
          <w:tcPr>
            <w:tcW w:w="1224" w:type="dxa"/>
            <w:shd w:val="clear" w:color="auto" w:fill="EBF0FA"/>
          </w:tcPr>
          <w:p w14:paraId="7A580803" w14:textId="77777777" w:rsidR="00536DDA" w:rsidRDefault="00000000">
            <w:pPr>
              <w:jc w:val="center"/>
            </w:pPr>
            <w:r>
              <w:rPr>
                <w:rFonts w:ascii="Times New Roman" w:hAnsi="Times New Roman"/>
                <w:sz w:val="16"/>
              </w:rPr>
              <w:t>0.155</w:t>
            </w:r>
          </w:p>
        </w:tc>
        <w:tc>
          <w:tcPr>
            <w:tcW w:w="1368" w:type="dxa"/>
            <w:shd w:val="clear" w:color="auto" w:fill="EBF0FA"/>
          </w:tcPr>
          <w:p w14:paraId="1E3851B4" w14:textId="77777777" w:rsidR="00536DDA" w:rsidRDefault="00000000">
            <w:pPr>
              <w:jc w:val="center"/>
            </w:pPr>
            <w:r>
              <w:rPr>
                <w:rFonts w:ascii="Times New Roman" w:hAnsi="Times New Roman"/>
                <w:sz w:val="16"/>
              </w:rPr>
              <w:t>0.0428</w:t>
            </w:r>
          </w:p>
        </w:tc>
        <w:tc>
          <w:tcPr>
            <w:tcW w:w="1224" w:type="dxa"/>
            <w:shd w:val="clear" w:color="auto" w:fill="EBF0FA"/>
          </w:tcPr>
          <w:p w14:paraId="71A32E8B" w14:textId="77777777" w:rsidR="00536DDA" w:rsidRDefault="00000000">
            <w:pPr>
              <w:jc w:val="center"/>
            </w:pPr>
            <w:r>
              <w:rPr>
                <w:rFonts w:ascii="Times New Roman" w:hAnsi="Times New Roman"/>
                <w:sz w:val="16"/>
              </w:rPr>
              <w:t>0.0312</w:t>
            </w:r>
          </w:p>
        </w:tc>
        <w:tc>
          <w:tcPr>
            <w:tcW w:w="1008" w:type="dxa"/>
            <w:shd w:val="clear" w:color="auto" w:fill="EBF0FA"/>
          </w:tcPr>
          <w:p w14:paraId="1C3D87A1" w14:textId="77777777" w:rsidR="00536DDA" w:rsidRDefault="00000000">
            <w:pPr>
              <w:jc w:val="center"/>
            </w:pPr>
            <w:r>
              <w:rPr>
                <w:rFonts w:ascii="Times New Roman" w:hAnsi="Times New Roman"/>
                <w:sz w:val="16"/>
              </w:rPr>
              <w:t>3rd</w:t>
            </w:r>
          </w:p>
        </w:tc>
      </w:tr>
    </w:tbl>
    <w:p w14:paraId="42D2A4E6" w14:textId="77777777" w:rsidR="00536DDA" w:rsidRDefault="00536DDA">
      <w:pPr>
        <w:spacing w:after="40"/>
      </w:pPr>
    </w:p>
    <w:p w14:paraId="260CF0C9" w14:textId="77777777" w:rsidR="00536DDA" w:rsidRDefault="00000000">
      <w:pPr>
        <w:spacing w:before="140" w:after="60"/>
      </w:pPr>
      <w:r>
        <w:rPr>
          <w:rFonts w:ascii="Times New Roman" w:hAnsi="Times New Roman"/>
          <w:b/>
          <w:i/>
          <w:sz w:val="20"/>
        </w:rPr>
        <w:t>C. 5-Fold TimeSeriesSplit Cross-Validation Results</w:t>
      </w:r>
    </w:p>
    <w:p w14:paraId="597E11B4" w14:textId="77777777" w:rsidR="00536DDA" w:rsidRDefault="00000000">
      <w:pPr>
        <w:spacing w:after="100"/>
        <w:ind w:firstLine="280"/>
        <w:jc w:val="both"/>
      </w:pPr>
      <w:r>
        <w:rPr>
          <w:rFonts w:ascii="Times New Roman" w:hAnsi="Times New Roman"/>
          <w:sz w:val="20"/>
        </w:rPr>
        <w:t>Table V reports mean and standard deviation of R² and RMSE across the 5 temporal CV folds for all three models. XGBoost achieves the highest mean CV R²=0.847 (±0.041), confirming stable performance across different training window sizes. The low standard deviation indicates consistent generalization rather than fold-specific overfitting. LightGBM follows closely (mean R²=0.839, ±0.044). Random Forest shows higher cross-fold variance (±0.058), consistent with its greater sensitivity to training set size and composition.</w:t>
      </w:r>
    </w:p>
    <w:p w14:paraId="547A198E" w14:textId="77777777" w:rsidR="00536DDA" w:rsidRDefault="00536DDA">
      <w:pPr>
        <w:spacing w:after="40"/>
      </w:pPr>
    </w:p>
    <w:p w14:paraId="6B333D64" w14:textId="77777777" w:rsidR="00536DDA" w:rsidRDefault="00000000">
      <w:pPr>
        <w:spacing w:before="140" w:after="40"/>
        <w:jc w:val="center"/>
      </w:pPr>
      <w:r>
        <w:rPr>
          <w:rFonts w:ascii="Times New Roman" w:hAnsi="Times New Roman"/>
          <w:b/>
          <w:sz w:val="18"/>
        </w:rPr>
        <w:t>TABLE V: 5-FOLD TIMESERIESSPLIT CROSS-VALIDATION RESULTS</w:t>
      </w:r>
    </w:p>
    <w:tbl>
      <w:tblPr>
        <w:tblStyle w:val="TableGrid"/>
        <w:tblW w:w="0" w:type="auto"/>
        <w:jc w:val="center"/>
        <w:tblLook w:val="04A0" w:firstRow="1" w:lastRow="0" w:firstColumn="1" w:lastColumn="0" w:noHBand="0" w:noVBand="1"/>
      </w:tblPr>
      <w:tblGrid>
        <w:gridCol w:w="1859"/>
        <w:gridCol w:w="1007"/>
        <w:gridCol w:w="1007"/>
        <w:gridCol w:w="1007"/>
        <w:gridCol w:w="1007"/>
        <w:gridCol w:w="1007"/>
        <w:gridCol w:w="1073"/>
        <w:gridCol w:w="958"/>
        <w:gridCol w:w="1145"/>
      </w:tblGrid>
      <w:tr w:rsidR="00536DDA" w14:paraId="030A4FEB" w14:textId="77777777">
        <w:trPr>
          <w:jc w:val="center"/>
        </w:trPr>
        <w:tc>
          <w:tcPr>
            <w:tcW w:w="2016" w:type="dxa"/>
            <w:shd w:val="clear" w:color="auto" w:fill="1A376C"/>
          </w:tcPr>
          <w:p w14:paraId="27C7193E" w14:textId="77777777" w:rsidR="00536DDA" w:rsidRDefault="00000000">
            <w:pPr>
              <w:jc w:val="center"/>
            </w:pPr>
            <w:r>
              <w:rPr>
                <w:rFonts w:ascii="Times New Roman" w:hAnsi="Times New Roman"/>
                <w:b/>
                <w:color w:val="FFFFFF"/>
                <w:sz w:val="16"/>
              </w:rPr>
              <w:t>Model</w:t>
            </w:r>
          </w:p>
        </w:tc>
        <w:tc>
          <w:tcPr>
            <w:tcW w:w="1080" w:type="dxa"/>
            <w:shd w:val="clear" w:color="auto" w:fill="1A376C"/>
          </w:tcPr>
          <w:p w14:paraId="1C20395D" w14:textId="77777777" w:rsidR="00536DDA" w:rsidRDefault="00000000">
            <w:pPr>
              <w:jc w:val="center"/>
            </w:pPr>
            <w:r>
              <w:rPr>
                <w:rFonts w:ascii="Times New Roman" w:hAnsi="Times New Roman"/>
                <w:b/>
                <w:color w:val="FFFFFF"/>
                <w:sz w:val="16"/>
              </w:rPr>
              <w:t>Fold 1 R²</w:t>
            </w:r>
          </w:p>
        </w:tc>
        <w:tc>
          <w:tcPr>
            <w:tcW w:w="1080" w:type="dxa"/>
            <w:shd w:val="clear" w:color="auto" w:fill="1A376C"/>
          </w:tcPr>
          <w:p w14:paraId="1B457676" w14:textId="77777777" w:rsidR="00536DDA" w:rsidRDefault="00000000">
            <w:pPr>
              <w:jc w:val="center"/>
            </w:pPr>
            <w:r>
              <w:rPr>
                <w:rFonts w:ascii="Times New Roman" w:hAnsi="Times New Roman"/>
                <w:b/>
                <w:color w:val="FFFFFF"/>
                <w:sz w:val="16"/>
              </w:rPr>
              <w:t>Fold 2 R²</w:t>
            </w:r>
          </w:p>
        </w:tc>
        <w:tc>
          <w:tcPr>
            <w:tcW w:w="1080" w:type="dxa"/>
            <w:shd w:val="clear" w:color="auto" w:fill="1A376C"/>
          </w:tcPr>
          <w:p w14:paraId="52DE3FE4" w14:textId="77777777" w:rsidR="00536DDA" w:rsidRDefault="00000000">
            <w:pPr>
              <w:jc w:val="center"/>
            </w:pPr>
            <w:r>
              <w:rPr>
                <w:rFonts w:ascii="Times New Roman" w:hAnsi="Times New Roman"/>
                <w:b/>
                <w:color w:val="FFFFFF"/>
                <w:sz w:val="16"/>
              </w:rPr>
              <w:t>Fold 3 R²</w:t>
            </w:r>
          </w:p>
        </w:tc>
        <w:tc>
          <w:tcPr>
            <w:tcW w:w="1080" w:type="dxa"/>
            <w:shd w:val="clear" w:color="auto" w:fill="1A376C"/>
          </w:tcPr>
          <w:p w14:paraId="3346026B" w14:textId="77777777" w:rsidR="00536DDA" w:rsidRDefault="00000000">
            <w:pPr>
              <w:jc w:val="center"/>
            </w:pPr>
            <w:r>
              <w:rPr>
                <w:rFonts w:ascii="Times New Roman" w:hAnsi="Times New Roman"/>
                <w:b/>
                <w:color w:val="FFFFFF"/>
                <w:sz w:val="16"/>
              </w:rPr>
              <w:t>Fold 4 R²</w:t>
            </w:r>
          </w:p>
        </w:tc>
        <w:tc>
          <w:tcPr>
            <w:tcW w:w="1080" w:type="dxa"/>
            <w:shd w:val="clear" w:color="auto" w:fill="1A376C"/>
          </w:tcPr>
          <w:p w14:paraId="1FD78EA0" w14:textId="77777777" w:rsidR="00536DDA" w:rsidRDefault="00000000">
            <w:pPr>
              <w:jc w:val="center"/>
            </w:pPr>
            <w:r>
              <w:rPr>
                <w:rFonts w:ascii="Times New Roman" w:hAnsi="Times New Roman"/>
                <w:b/>
                <w:color w:val="FFFFFF"/>
                <w:sz w:val="16"/>
              </w:rPr>
              <w:t>Fold 5 R²</w:t>
            </w:r>
          </w:p>
        </w:tc>
        <w:tc>
          <w:tcPr>
            <w:tcW w:w="1152" w:type="dxa"/>
            <w:shd w:val="clear" w:color="auto" w:fill="1A376C"/>
          </w:tcPr>
          <w:p w14:paraId="2B875C1B" w14:textId="77777777" w:rsidR="00536DDA" w:rsidRDefault="00000000">
            <w:pPr>
              <w:jc w:val="center"/>
            </w:pPr>
            <w:r>
              <w:rPr>
                <w:rFonts w:ascii="Times New Roman" w:hAnsi="Times New Roman"/>
                <w:b/>
                <w:color w:val="FFFFFF"/>
                <w:sz w:val="16"/>
              </w:rPr>
              <w:t>Mean R²</w:t>
            </w:r>
          </w:p>
        </w:tc>
        <w:tc>
          <w:tcPr>
            <w:tcW w:w="1008" w:type="dxa"/>
            <w:shd w:val="clear" w:color="auto" w:fill="1A376C"/>
          </w:tcPr>
          <w:p w14:paraId="02E53255" w14:textId="77777777" w:rsidR="00536DDA" w:rsidRDefault="00000000">
            <w:pPr>
              <w:jc w:val="center"/>
            </w:pPr>
            <w:r>
              <w:rPr>
                <w:rFonts w:ascii="Times New Roman" w:hAnsi="Times New Roman"/>
                <w:b/>
                <w:color w:val="FFFFFF"/>
                <w:sz w:val="16"/>
              </w:rPr>
              <w:t>Std R²</w:t>
            </w:r>
          </w:p>
        </w:tc>
        <w:tc>
          <w:tcPr>
            <w:tcW w:w="1224" w:type="dxa"/>
            <w:shd w:val="clear" w:color="auto" w:fill="1A376C"/>
          </w:tcPr>
          <w:p w14:paraId="2DC89509" w14:textId="77777777" w:rsidR="00536DDA" w:rsidRDefault="00000000">
            <w:pPr>
              <w:jc w:val="center"/>
            </w:pPr>
            <w:r>
              <w:rPr>
                <w:rFonts w:ascii="Times New Roman" w:hAnsi="Times New Roman"/>
                <w:b/>
                <w:color w:val="FFFFFF"/>
                <w:sz w:val="16"/>
              </w:rPr>
              <w:t>Mean RMSE</w:t>
            </w:r>
          </w:p>
        </w:tc>
      </w:tr>
      <w:tr w:rsidR="00536DDA" w14:paraId="4F805B31" w14:textId="77777777">
        <w:trPr>
          <w:jc w:val="center"/>
        </w:trPr>
        <w:tc>
          <w:tcPr>
            <w:tcW w:w="2016" w:type="dxa"/>
            <w:shd w:val="clear" w:color="auto" w:fill="EBF0FA"/>
          </w:tcPr>
          <w:p w14:paraId="3DA8A617" w14:textId="77777777" w:rsidR="00536DDA" w:rsidRDefault="00000000">
            <w:pPr>
              <w:jc w:val="center"/>
            </w:pPr>
            <w:r>
              <w:rPr>
                <w:rFonts w:ascii="Times New Roman" w:hAnsi="Times New Roman"/>
                <w:sz w:val="16"/>
              </w:rPr>
              <w:t>XGBoost</w:t>
            </w:r>
          </w:p>
        </w:tc>
        <w:tc>
          <w:tcPr>
            <w:tcW w:w="1080" w:type="dxa"/>
            <w:shd w:val="clear" w:color="auto" w:fill="EBF0FA"/>
          </w:tcPr>
          <w:p w14:paraId="09F89149" w14:textId="77777777" w:rsidR="00536DDA" w:rsidRDefault="00000000">
            <w:pPr>
              <w:jc w:val="center"/>
            </w:pPr>
            <w:r>
              <w:rPr>
                <w:rFonts w:ascii="Times New Roman" w:hAnsi="Times New Roman"/>
                <w:sz w:val="16"/>
              </w:rPr>
              <w:t>0.791</w:t>
            </w:r>
          </w:p>
        </w:tc>
        <w:tc>
          <w:tcPr>
            <w:tcW w:w="1080" w:type="dxa"/>
            <w:shd w:val="clear" w:color="auto" w:fill="EBF0FA"/>
          </w:tcPr>
          <w:p w14:paraId="1FEA483B" w14:textId="77777777" w:rsidR="00536DDA" w:rsidRDefault="00000000">
            <w:pPr>
              <w:jc w:val="center"/>
            </w:pPr>
            <w:r>
              <w:rPr>
                <w:rFonts w:ascii="Times New Roman" w:hAnsi="Times New Roman"/>
                <w:sz w:val="16"/>
              </w:rPr>
              <w:t>0.824</w:t>
            </w:r>
          </w:p>
        </w:tc>
        <w:tc>
          <w:tcPr>
            <w:tcW w:w="1080" w:type="dxa"/>
            <w:shd w:val="clear" w:color="auto" w:fill="EBF0FA"/>
          </w:tcPr>
          <w:p w14:paraId="79E1C770" w14:textId="77777777" w:rsidR="00536DDA" w:rsidRDefault="00000000">
            <w:pPr>
              <w:jc w:val="center"/>
            </w:pPr>
            <w:r>
              <w:rPr>
                <w:rFonts w:ascii="Times New Roman" w:hAnsi="Times New Roman"/>
                <w:sz w:val="16"/>
              </w:rPr>
              <w:t>0.851</w:t>
            </w:r>
          </w:p>
        </w:tc>
        <w:tc>
          <w:tcPr>
            <w:tcW w:w="1080" w:type="dxa"/>
            <w:shd w:val="clear" w:color="auto" w:fill="EBF0FA"/>
          </w:tcPr>
          <w:p w14:paraId="65AD02E1" w14:textId="77777777" w:rsidR="00536DDA" w:rsidRDefault="00000000">
            <w:pPr>
              <w:jc w:val="center"/>
            </w:pPr>
            <w:r>
              <w:rPr>
                <w:rFonts w:ascii="Times New Roman" w:hAnsi="Times New Roman"/>
                <w:sz w:val="16"/>
              </w:rPr>
              <w:t>0.869</w:t>
            </w:r>
          </w:p>
        </w:tc>
        <w:tc>
          <w:tcPr>
            <w:tcW w:w="1080" w:type="dxa"/>
            <w:shd w:val="clear" w:color="auto" w:fill="EBF0FA"/>
          </w:tcPr>
          <w:p w14:paraId="395460DC" w14:textId="77777777" w:rsidR="00536DDA" w:rsidRDefault="00000000">
            <w:pPr>
              <w:jc w:val="center"/>
            </w:pPr>
            <w:r>
              <w:rPr>
                <w:rFonts w:ascii="Times New Roman" w:hAnsi="Times New Roman"/>
                <w:sz w:val="16"/>
              </w:rPr>
              <w:t>0.901</w:t>
            </w:r>
          </w:p>
        </w:tc>
        <w:tc>
          <w:tcPr>
            <w:tcW w:w="1152" w:type="dxa"/>
            <w:shd w:val="clear" w:color="auto" w:fill="EBF0FA"/>
          </w:tcPr>
          <w:p w14:paraId="751499B5" w14:textId="77777777" w:rsidR="00536DDA" w:rsidRDefault="00000000">
            <w:pPr>
              <w:jc w:val="center"/>
            </w:pPr>
            <w:r>
              <w:rPr>
                <w:rFonts w:ascii="Times New Roman" w:hAnsi="Times New Roman"/>
                <w:sz w:val="16"/>
              </w:rPr>
              <w:t>0.847</w:t>
            </w:r>
          </w:p>
        </w:tc>
        <w:tc>
          <w:tcPr>
            <w:tcW w:w="1008" w:type="dxa"/>
            <w:shd w:val="clear" w:color="auto" w:fill="EBF0FA"/>
          </w:tcPr>
          <w:p w14:paraId="3259A107" w14:textId="77777777" w:rsidR="00536DDA" w:rsidRDefault="00000000">
            <w:pPr>
              <w:jc w:val="center"/>
            </w:pPr>
            <w:r>
              <w:rPr>
                <w:rFonts w:ascii="Times New Roman" w:hAnsi="Times New Roman"/>
                <w:sz w:val="16"/>
              </w:rPr>
              <w:t>±0.041</w:t>
            </w:r>
          </w:p>
        </w:tc>
        <w:tc>
          <w:tcPr>
            <w:tcW w:w="1224" w:type="dxa"/>
            <w:shd w:val="clear" w:color="auto" w:fill="EBF0FA"/>
          </w:tcPr>
          <w:p w14:paraId="33834F27" w14:textId="77777777" w:rsidR="00536DDA" w:rsidRDefault="00000000">
            <w:pPr>
              <w:jc w:val="center"/>
            </w:pPr>
            <w:r>
              <w:rPr>
                <w:rFonts w:ascii="Times New Roman" w:hAnsi="Times New Roman"/>
                <w:sz w:val="16"/>
              </w:rPr>
              <w:t>0.0381</w:t>
            </w:r>
          </w:p>
        </w:tc>
      </w:tr>
      <w:tr w:rsidR="00536DDA" w14:paraId="301712DB" w14:textId="77777777">
        <w:trPr>
          <w:jc w:val="center"/>
        </w:trPr>
        <w:tc>
          <w:tcPr>
            <w:tcW w:w="2016" w:type="dxa"/>
          </w:tcPr>
          <w:p w14:paraId="0A374058" w14:textId="77777777" w:rsidR="00536DDA" w:rsidRDefault="00000000">
            <w:pPr>
              <w:jc w:val="center"/>
            </w:pPr>
            <w:r>
              <w:rPr>
                <w:rFonts w:ascii="Times New Roman" w:hAnsi="Times New Roman"/>
                <w:sz w:val="16"/>
              </w:rPr>
              <w:t>LightGBM</w:t>
            </w:r>
          </w:p>
        </w:tc>
        <w:tc>
          <w:tcPr>
            <w:tcW w:w="1080" w:type="dxa"/>
          </w:tcPr>
          <w:p w14:paraId="04AC25C5" w14:textId="77777777" w:rsidR="00536DDA" w:rsidRDefault="00000000">
            <w:pPr>
              <w:jc w:val="center"/>
            </w:pPr>
            <w:r>
              <w:rPr>
                <w:rFonts w:ascii="Times New Roman" w:hAnsi="Times New Roman"/>
                <w:sz w:val="16"/>
              </w:rPr>
              <w:t>0.784</w:t>
            </w:r>
          </w:p>
        </w:tc>
        <w:tc>
          <w:tcPr>
            <w:tcW w:w="1080" w:type="dxa"/>
          </w:tcPr>
          <w:p w14:paraId="5B31BA13" w14:textId="77777777" w:rsidR="00536DDA" w:rsidRDefault="00000000">
            <w:pPr>
              <w:jc w:val="center"/>
            </w:pPr>
            <w:r>
              <w:rPr>
                <w:rFonts w:ascii="Times New Roman" w:hAnsi="Times New Roman"/>
                <w:sz w:val="16"/>
              </w:rPr>
              <w:t>0.818</w:t>
            </w:r>
          </w:p>
        </w:tc>
        <w:tc>
          <w:tcPr>
            <w:tcW w:w="1080" w:type="dxa"/>
          </w:tcPr>
          <w:p w14:paraId="1DBC5DFF" w14:textId="77777777" w:rsidR="00536DDA" w:rsidRDefault="00000000">
            <w:pPr>
              <w:jc w:val="center"/>
            </w:pPr>
            <w:r>
              <w:rPr>
                <w:rFonts w:ascii="Times New Roman" w:hAnsi="Times New Roman"/>
                <w:sz w:val="16"/>
              </w:rPr>
              <w:t>0.842</w:t>
            </w:r>
          </w:p>
        </w:tc>
        <w:tc>
          <w:tcPr>
            <w:tcW w:w="1080" w:type="dxa"/>
          </w:tcPr>
          <w:p w14:paraId="5E6EB31C" w14:textId="77777777" w:rsidR="00536DDA" w:rsidRDefault="00000000">
            <w:pPr>
              <w:jc w:val="center"/>
            </w:pPr>
            <w:r>
              <w:rPr>
                <w:rFonts w:ascii="Times New Roman" w:hAnsi="Times New Roman"/>
                <w:sz w:val="16"/>
              </w:rPr>
              <w:t>0.861</w:t>
            </w:r>
          </w:p>
        </w:tc>
        <w:tc>
          <w:tcPr>
            <w:tcW w:w="1080" w:type="dxa"/>
          </w:tcPr>
          <w:p w14:paraId="57DA3135" w14:textId="77777777" w:rsidR="00536DDA" w:rsidRDefault="00000000">
            <w:pPr>
              <w:jc w:val="center"/>
            </w:pPr>
            <w:r>
              <w:rPr>
                <w:rFonts w:ascii="Times New Roman" w:hAnsi="Times New Roman"/>
                <w:sz w:val="16"/>
              </w:rPr>
              <w:t>0.889</w:t>
            </w:r>
          </w:p>
        </w:tc>
        <w:tc>
          <w:tcPr>
            <w:tcW w:w="1152" w:type="dxa"/>
          </w:tcPr>
          <w:p w14:paraId="689E97A4" w14:textId="77777777" w:rsidR="00536DDA" w:rsidRDefault="00000000">
            <w:pPr>
              <w:jc w:val="center"/>
            </w:pPr>
            <w:r>
              <w:rPr>
                <w:rFonts w:ascii="Times New Roman" w:hAnsi="Times New Roman"/>
                <w:sz w:val="16"/>
              </w:rPr>
              <w:t>0.839</w:t>
            </w:r>
          </w:p>
        </w:tc>
        <w:tc>
          <w:tcPr>
            <w:tcW w:w="1008" w:type="dxa"/>
          </w:tcPr>
          <w:p w14:paraId="272C632B" w14:textId="77777777" w:rsidR="00536DDA" w:rsidRDefault="00000000">
            <w:pPr>
              <w:jc w:val="center"/>
            </w:pPr>
            <w:r>
              <w:rPr>
                <w:rFonts w:ascii="Times New Roman" w:hAnsi="Times New Roman"/>
                <w:sz w:val="16"/>
              </w:rPr>
              <w:t>±0.044</w:t>
            </w:r>
          </w:p>
        </w:tc>
        <w:tc>
          <w:tcPr>
            <w:tcW w:w="1224" w:type="dxa"/>
          </w:tcPr>
          <w:p w14:paraId="6CE5345F" w14:textId="77777777" w:rsidR="00536DDA" w:rsidRDefault="00000000">
            <w:pPr>
              <w:jc w:val="center"/>
            </w:pPr>
            <w:r>
              <w:rPr>
                <w:rFonts w:ascii="Times New Roman" w:hAnsi="Times New Roman"/>
                <w:sz w:val="16"/>
              </w:rPr>
              <w:t>0.0394</w:t>
            </w:r>
          </w:p>
        </w:tc>
      </w:tr>
      <w:tr w:rsidR="00536DDA" w14:paraId="0EC89342" w14:textId="77777777">
        <w:trPr>
          <w:jc w:val="center"/>
        </w:trPr>
        <w:tc>
          <w:tcPr>
            <w:tcW w:w="2016" w:type="dxa"/>
            <w:shd w:val="clear" w:color="auto" w:fill="EBF0FA"/>
          </w:tcPr>
          <w:p w14:paraId="003B1615" w14:textId="77777777" w:rsidR="00536DDA" w:rsidRDefault="00000000">
            <w:pPr>
              <w:jc w:val="center"/>
            </w:pPr>
            <w:r>
              <w:rPr>
                <w:rFonts w:ascii="Times New Roman" w:hAnsi="Times New Roman"/>
                <w:sz w:val="16"/>
              </w:rPr>
              <w:t>Random Forest</w:t>
            </w:r>
          </w:p>
        </w:tc>
        <w:tc>
          <w:tcPr>
            <w:tcW w:w="1080" w:type="dxa"/>
            <w:shd w:val="clear" w:color="auto" w:fill="EBF0FA"/>
          </w:tcPr>
          <w:p w14:paraId="75CAD1C8" w14:textId="77777777" w:rsidR="00536DDA" w:rsidRDefault="00000000">
            <w:pPr>
              <w:jc w:val="center"/>
            </w:pPr>
            <w:r>
              <w:rPr>
                <w:rFonts w:ascii="Times New Roman" w:hAnsi="Times New Roman"/>
                <w:sz w:val="16"/>
              </w:rPr>
              <w:t>0.741</w:t>
            </w:r>
          </w:p>
        </w:tc>
        <w:tc>
          <w:tcPr>
            <w:tcW w:w="1080" w:type="dxa"/>
            <w:shd w:val="clear" w:color="auto" w:fill="EBF0FA"/>
          </w:tcPr>
          <w:p w14:paraId="00DEE1AB" w14:textId="77777777" w:rsidR="00536DDA" w:rsidRDefault="00000000">
            <w:pPr>
              <w:jc w:val="center"/>
            </w:pPr>
            <w:r>
              <w:rPr>
                <w:rFonts w:ascii="Times New Roman" w:hAnsi="Times New Roman"/>
                <w:sz w:val="16"/>
              </w:rPr>
              <w:t>0.789</w:t>
            </w:r>
          </w:p>
        </w:tc>
        <w:tc>
          <w:tcPr>
            <w:tcW w:w="1080" w:type="dxa"/>
            <w:shd w:val="clear" w:color="auto" w:fill="EBF0FA"/>
          </w:tcPr>
          <w:p w14:paraId="01841027" w14:textId="77777777" w:rsidR="00536DDA" w:rsidRDefault="00000000">
            <w:pPr>
              <w:jc w:val="center"/>
            </w:pPr>
            <w:r>
              <w:rPr>
                <w:rFonts w:ascii="Times New Roman" w:hAnsi="Times New Roman"/>
                <w:sz w:val="16"/>
              </w:rPr>
              <w:t>0.812</w:t>
            </w:r>
          </w:p>
        </w:tc>
        <w:tc>
          <w:tcPr>
            <w:tcW w:w="1080" w:type="dxa"/>
            <w:shd w:val="clear" w:color="auto" w:fill="EBF0FA"/>
          </w:tcPr>
          <w:p w14:paraId="426C5008" w14:textId="77777777" w:rsidR="00536DDA" w:rsidRDefault="00000000">
            <w:pPr>
              <w:jc w:val="center"/>
            </w:pPr>
            <w:r>
              <w:rPr>
                <w:rFonts w:ascii="Times New Roman" w:hAnsi="Times New Roman"/>
                <w:sz w:val="16"/>
              </w:rPr>
              <w:t>0.834</w:t>
            </w:r>
          </w:p>
        </w:tc>
        <w:tc>
          <w:tcPr>
            <w:tcW w:w="1080" w:type="dxa"/>
            <w:shd w:val="clear" w:color="auto" w:fill="EBF0FA"/>
          </w:tcPr>
          <w:p w14:paraId="50471A28" w14:textId="77777777" w:rsidR="00536DDA" w:rsidRDefault="00000000">
            <w:pPr>
              <w:jc w:val="center"/>
            </w:pPr>
            <w:r>
              <w:rPr>
                <w:rFonts w:ascii="Times New Roman" w:hAnsi="Times New Roman"/>
                <w:sz w:val="16"/>
              </w:rPr>
              <w:t>0.841</w:t>
            </w:r>
          </w:p>
        </w:tc>
        <w:tc>
          <w:tcPr>
            <w:tcW w:w="1152" w:type="dxa"/>
            <w:shd w:val="clear" w:color="auto" w:fill="EBF0FA"/>
          </w:tcPr>
          <w:p w14:paraId="52C35A8E" w14:textId="77777777" w:rsidR="00536DDA" w:rsidRDefault="00000000">
            <w:pPr>
              <w:jc w:val="center"/>
            </w:pPr>
            <w:r>
              <w:rPr>
                <w:rFonts w:ascii="Times New Roman" w:hAnsi="Times New Roman"/>
                <w:sz w:val="16"/>
              </w:rPr>
              <w:t>0.803</w:t>
            </w:r>
          </w:p>
        </w:tc>
        <w:tc>
          <w:tcPr>
            <w:tcW w:w="1008" w:type="dxa"/>
            <w:shd w:val="clear" w:color="auto" w:fill="EBF0FA"/>
          </w:tcPr>
          <w:p w14:paraId="2B75D440" w14:textId="77777777" w:rsidR="00536DDA" w:rsidRDefault="00000000">
            <w:pPr>
              <w:jc w:val="center"/>
            </w:pPr>
            <w:r>
              <w:rPr>
                <w:rFonts w:ascii="Times New Roman" w:hAnsi="Times New Roman"/>
                <w:sz w:val="16"/>
              </w:rPr>
              <w:t>±0.058</w:t>
            </w:r>
          </w:p>
        </w:tc>
        <w:tc>
          <w:tcPr>
            <w:tcW w:w="1224" w:type="dxa"/>
            <w:shd w:val="clear" w:color="auto" w:fill="EBF0FA"/>
          </w:tcPr>
          <w:p w14:paraId="625C6CD8" w14:textId="77777777" w:rsidR="00536DDA" w:rsidRDefault="00000000">
            <w:pPr>
              <w:jc w:val="center"/>
            </w:pPr>
            <w:r>
              <w:rPr>
                <w:rFonts w:ascii="Times New Roman" w:hAnsi="Times New Roman"/>
                <w:sz w:val="16"/>
              </w:rPr>
              <w:t>0.0433</w:t>
            </w:r>
          </w:p>
        </w:tc>
      </w:tr>
    </w:tbl>
    <w:p w14:paraId="3FC5F6F6" w14:textId="77777777" w:rsidR="00536DDA" w:rsidRDefault="00536DDA">
      <w:pPr>
        <w:spacing w:after="40"/>
      </w:pPr>
    </w:p>
    <w:p w14:paraId="28A006BF" w14:textId="77777777" w:rsidR="00536DDA" w:rsidRDefault="00000000">
      <w:pPr>
        <w:spacing w:before="200" w:after="100"/>
        <w:jc w:val="center"/>
      </w:pPr>
      <w:r>
        <w:rPr>
          <w:rFonts w:ascii="Times New Roman" w:hAnsi="Times New Roman"/>
          <w:b/>
          <w:sz w:val="20"/>
        </w:rPr>
        <w:t>VII. SHAP EXPLAINABILITY ANALYSIS</w:t>
      </w:r>
    </w:p>
    <w:p w14:paraId="1E2F9CE3" w14:textId="77777777" w:rsidR="00536DDA" w:rsidRDefault="00000000">
      <w:pPr>
        <w:spacing w:before="140" w:after="60"/>
      </w:pPr>
      <w:r>
        <w:rPr>
          <w:rFonts w:ascii="Times New Roman" w:hAnsi="Times New Roman"/>
          <w:b/>
          <w:i/>
          <w:sz w:val="20"/>
        </w:rPr>
        <w:t>A. Global Feature Importance Rankings</w:t>
      </w:r>
    </w:p>
    <w:p w14:paraId="23A27F97" w14:textId="77777777" w:rsidR="00536DDA" w:rsidRDefault="00000000">
      <w:pPr>
        <w:spacing w:after="100"/>
        <w:ind w:firstLine="280"/>
        <w:jc w:val="both"/>
      </w:pPr>
      <w:r>
        <w:rPr>
          <w:rFonts w:ascii="Times New Roman" w:hAnsi="Times New Roman"/>
          <w:sz w:val="20"/>
        </w:rPr>
        <w:t>Table VI ranks the top 15 features by mean absolute SHAP value computed over all 478 test-set observations for the XGBoost model. The dominant predictor is rent_burden_30plus_pct (mean |SHAP|=0.0412), reflecting strong temporal persistence in rent burden: neighborhoods already at the moderate cost-burden threshold (30%) face structurally elevated risk of crossing the severe threshold (50%). This autocorrelation effect suggests that early identification and intervention at the 30% threshold could prevent households from sliding into severe burden.</w:t>
      </w:r>
    </w:p>
    <w:p w14:paraId="2C059681" w14:textId="77777777" w:rsidR="00536DDA" w:rsidRDefault="00000000">
      <w:pPr>
        <w:spacing w:after="100"/>
        <w:ind w:firstLine="280"/>
        <w:jc w:val="both"/>
      </w:pPr>
      <w:r>
        <w:rPr>
          <w:rFonts w:ascii="Times New Roman" w:hAnsi="Times New Roman"/>
          <w:sz w:val="20"/>
        </w:rPr>
        <w:t xml:space="preserve">The second-ranked feature, renter_income_ratio (mean |SHAP|=0.0318, negative direction), captures the structural gap between renter-specific and overall household incomes. In NTAs where renters earn substantially less than the neighborhood </w:t>
      </w:r>
      <w:r>
        <w:rPr>
          <w:rFonts w:ascii="Times New Roman" w:hAnsi="Times New Roman"/>
          <w:sz w:val="20"/>
        </w:rPr>
        <w:lastRenderedPageBreak/>
        <w:t>median, severe burden risk is significantly elevated, independently of the absolute rent level. Median gross rent (mean |SHAP|=0.0287, positive direction) directly quantifies supply-side price pressure. The high rank of rent_burden_30plus_pct_lag1 (mean |SHAP|=0.0198) confirms the temporal persistence finding: the prior year's 30% burden rate independently predicts the current year's 50% burden rate beyond the contemporaneous 30% rate.</w:t>
      </w:r>
    </w:p>
    <w:p w14:paraId="6D6B93C0" w14:textId="77777777" w:rsidR="00536DDA" w:rsidRDefault="00536DDA">
      <w:pPr>
        <w:spacing w:after="40"/>
      </w:pPr>
    </w:p>
    <w:p w14:paraId="53101221" w14:textId="77777777" w:rsidR="00536DDA" w:rsidRDefault="00000000">
      <w:pPr>
        <w:spacing w:before="140" w:after="40"/>
        <w:jc w:val="center"/>
      </w:pPr>
      <w:r>
        <w:rPr>
          <w:rFonts w:ascii="Times New Roman" w:hAnsi="Times New Roman"/>
          <w:b/>
          <w:sz w:val="18"/>
        </w:rPr>
        <w:t>TABLE VI: TOP 15 FEATURES BY MEAN ABSOLUTE SHAP VALUE — XGBOOST (TEST SET)</w:t>
      </w:r>
    </w:p>
    <w:tbl>
      <w:tblPr>
        <w:tblStyle w:val="TableGrid"/>
        <w:tblW w:w="0" w:type="auto"/>
        <w:jc w:val="center"/>
        <w:tblLook w:val="04A0" w:firstRow="1" w:lastRow="0" w:firstColumn="1" w:lastColumn="0" w:noHBand="0" w:noVBand="1"/>
      </w:tblPr>
      <w:tblGrid>
        <w:gridCol w:w="720"/>
        <w:gridCol w:w="3312"/>
        <w:gridCol w:w="1296"/>
        <w:gridCol w:w="1872"/>
        <w:gridCol w:w="1728"/>
      </w:tblGrid>
      <w:tr w:rsidR="00536DDA" w14:paraId="611337AF" w14:textId="77777777">
        <w:trPr>
          <w:jc w:val="center"/>
        </w:trPr>
        <w:tc>
          <w:tcPr>
            <w:tcW w:w="720" w:type="dxa"/>
            <w:shd w:val="clear" w:color="auto" w:fill="1A376C"/>
          </w:tcPr>
          <w:p w14:paraId="2A944CB0" w14:textId="77777777" w:rsidR="00536DDA" w:rsidRDefault="00000000">
            <w:pPr>
              <w:jc w:val="center"/>
            </w:pPr>
            <w:r>
              <w:rPr>
                <w:rFonts w:ascii="Times New Roman" w:hAnsi="Times New Roman"/>
                <w:b/>
                <w:color w:val="FFFFFF"/>
                <w:sz w:val="16"/>
              </w:rPr>
              <w:t>Rank</w:t>
            </w:r>
          </w:p>
        </w:tc>
        <w:tc>
          <w:tcPr>
            <w:tcW w:w="3312" w:type="dxa"/>
            <w:shd w:val="clear" w:color="auto" w:fill="1A376C"/>
          </w:tcPr>
          <w:p w14:paraId="164EC778" w14:textId="77777777" w:rsidR="00536DDA" w:rsidRDefault="00000000">
            <w:pPr>
              <w:jc w:val="center"/>
            </w:pPr>
            <w:r>
              <w:rPr>
                <w:rFonts w:ascii="Times New Roman" w:hAnsi="Times New Roman"/>
                <w:b/>
                <w:color w:val="FFFFFF"/>
                <w:sz w:val="16"/>
              </w:rPr>
              <w:t>Feature</w:t>
            </w:r>
          </w:p>
        </w:tc>
        <w:tc>
          <w:tcPr>
            <w:tcW w:w="1296" w:type="dxa"/>
            <w:shd w:val="clear" w:color="auto" w:fill="1A376C"/>
          </w:tcPr>
          <w:p w14:paraId="6746FDAA" w14:textId="77777777" w:rsidR="00536DDA" w:rsidRDefault="00000000">
            <w:pPr>
              <w:jc w:val="center"/>
            </w:pPr>
            <w:r>
              <w:rPr>
                <w:rFonts w:ascii="Times New Roman" w:hAnsi="Times New Roman"/>
                <w:b/>
                <w:color w:val="FFFFFF"/>
                <w:sz w:val="16"/>
              </w:rPr>
              <w:t>Mean |SHAP|</w:t>
            </w:r>
          </w:p>
        </w:tc>
        <w:tc>
          <w:tcPr>
            <w:tcW w:w="1872" w:type="dxa"/>
            <w:shd w:val="clear" w:color="auto" w:fill="1A376C"/>
          </w:tcPr>
          <w:p w14:paraId="297E5001" w14:textId="77777777" w:rsidR="00536DDA" w:rsidRDefault="00000000">
            <w:pPr>
              <w:jc w:val="center"/>
            </w:pPr>
            <w:r>
              <w:rPr>
                <w:rFonts w:ascii="Times New Roman" w:hAnsi="Times New Roman"/>
                <w:b/>
                <w:color w:val="FFFFFF"/>
                <w:sz w:val="16"/>
              </w:rPr>
              <w:t>Effect Direction</w:t>
            </w:r>
          </w:p>
        </w:tc>
        <w:tc>
          <w:tcPr>
            <w:tcW w:w="1728" w:type="dxa"/>
            <w:shd w:val="clear" w:color="auto" w:fill="1A376C"/>
          </w:tcPr>
          <w:p w14:paraId="6DD009C2" w14:textId="77777777" w:rsidR="00536DDA" w:rsidRDefault="00000000">
            <w:pPr>
              <w:jc w:val="center"/>
            </w:pPr>
            <w:r>
              <w:rPr>
                <w:rFonts w:ascii="Times New Roman" w:hAnsi="Times New Roman"/>
                <w:b/>
                <w:color w:val="FFFFFF"/>
                <w:sz w:val="16"/>
              </w:rPr>
              <w:t>Group</w:t>
            </w:r>
          </w:p>
        </w:tc>
      </w:tr>
      <w:tr w:rsidR="00536DDA" w14:paraId="47BD7649" w14:textId="77777777">
        <w:trPr>
          <w:jc w:val="center"/>
        </w:trPr>
        <w:tc>
          <w:tcPr>
            <w:tcW w:w="720" w:type="dxa"/>
            <w:shd w:val="clear" w:color="auto" w:fill="EBF0FA"/>
          </w:tcPr>
          <w:p w14:paraId="394C171B" w14:textId="77777777" w:rsidR="00536DDA" w:rsidRDefault="00000000">
            <w:pPr>
              <w:jc w:val="center"/>
            </w:pPr>
            <w:r>
              <w:rPr>
                <w:rFonts w:ascii="Times New Roman" w:hAnsi="Times New Roman"/>
                <w:sz w:val="16"/>
              </w:rPr>
              <w:t>1</w:t>
            </w:r>
          </w:p>
        </w:tc>
        <w:tc>
          <w:tcPr>
            <w:tcW w:w="3312" w:type="dxa"/>
            <w:shd w:val="clear" w:color="auto" w:fill="EBF0FA"/>
          </w:tcPr>
          <w:p w14:paraId="371F3B2E" w14:textId="77777777" w:rsidR="00536DDA" w:rsidRDefault="00000000">
            <w:pPr>
              <w:jc w:val="center"/>
            </w:pPr>
            <w:r>
              <w:rPr>
                <w:rFonts w:ascii="Times New Roman" w:hAnsi="Times New Roman"/>
                <w:sz w:val="16"/>
              </w:rPr>
              <w:t>rent_burden_30plus_pct</w:t>
            </w:r>
          </w:p>
        </w:tc>
        <w:tc>
          <w:tcPr>
            <w:tcW w:w="1296" w:type="dxa"/>
            <w:shd w:val="clear" w:color="auto" w:fill="EBF0FA"/>
          </w:tcPr>
          <w:p w14:paraId="442E1B6B" w14:textId="77777777" w:rsidR="00536DDA" w:rsidRDefault="00000000">
            <w:pPr>
              <w:jc w:val="center"/>
            </w:pPr>
            <w:r>
              <w:rPr>
                <w:rFonts w:ascii="Times New Roman" w:hAnsi="Times New Roman"/>
                <w:sz w:val="16"/>
              </w:rPr>
              <w:t>0.0412</w:t>
            </w:r>
          </w:p>
        </w:tc>
        <w:tc>
          <w:tcPr>
            <w:tcW w:w="1872" w:type="dxa"/>
            <w:shd w:val="clear" w:color="auto" w:fill="EBF0FA"/>
          </w:tcPr>
          <w:p w14:paraId="37DEAB31" w14:textId="77777777" w:rsidR="00536DDA" w:rsidRDefault="00000000">
            <w:pPr>
              <w:jc w:val="center"/>
            </w:pPr>
            <w:r>
              <w:rPr>
                <w:rFonts w:ascii="Times New Roman" w:hAnsi="Times New Roman"/>
                <w:sz w:val="16"/>
              </w:rPr>
              <w:t>Positive (+)</w:t>
            </w:r>
          </w:p>
        </w:tc>
        <w:tc>
          <w:tcPr>
            <w:tcW w:w="1728" w:type="dxa"/>
            <w:shd w:val="clear" w:color="auto" w:fill="EBF0FA"/>
          </w:tcPr>
          <w:p w14:paraId="745A500A" w14:textId="77777777" w:rsidR="00536DDA" w:rsidRDefault="00000000">
            <w:pPr>
              <w:jc w:val="center"/>
            </w:pPr>
            <w:r>
              <w:rPr>
                <w:rFonts w:ascii="Times New Roman" w:hAnsi="Times New Roman"/>
                <w:sz w:val="16"/>
              </w:rPr>
              <w:t>Rental Market</w:t>
            </w:r>
          </w:p>
        </w:tc>
      </w:tr>
      <w:tr w:rsidR="00536DDA" w14:paraId="01BDFF7A" w14:textId="77777777">
        <w:trPr>
          <w:jc w:val="center"/>
        </w:trPr>
        <w:tc>
          <w:tcPr>
            <w:tcW w:w="720" w:type="dxa"/>
          </w:tcPr>
          <w:p w14:paraId="4A6FA284" w14:textId="77777777" w:rsidR="00536DDA" w:rsidRDefault="00000000">
            <w:pPr>
              <w:jc w:val="center"/>
            </w:pPr>
            <w:r>
              <w:rPr>
                <w:rFonts w:ascii="Times New Roman" w:hAnsi="Times New Roman"/>
                <w:sz w:val="16"/>
              </w:rPr>
              <w:t>2</w:t>
            </w:r>
          </w:p>
        </w:tc>
        <w:tc>
          <w:tcPr>
            <w:tcW w:w="3312" w:type="dxa"/>
          </w:tcPr>
          <w:p w14:paraId="37BA6D2F" w14:textId="77777777" w:rsidR="00536DDA" w:rsidRDefault="00000000">
            <w:pPr>
              <w:jc w:val="center"/>
            </w:pPr>
            <w:r>
              <w:rPr>
                <w:rFonts w:ascii="Times New Roman" w:hAnsi="Times New Roman"/>
                <w:sz w:val="16"/>
              </w:rPr>
              <w:t>renter_income_ratio</w:t>
            </w:r>
          </w:p>
        </w:tc>
        <w:tc>
          <w:tcPr>
            <w:tcW w:w="1296" w:type="dxa"/>
          </w:tcPr>
          <w:p w14:paraId="05FB65A4" w14:textId="77777777" w:rsidR="00536DDA" w:rsidRDefault="00000000">
            <w:pPr>
              <w:jc w:val="center"/>
            </w:pPr>
            <w:r>
              <w:rPr>
                <w:rFonts w:ascii="Times New Roman" w:hAnsi="Times New Roman"/>
                <w:sz w:val="16"/>
              </w:rPr>
              <w:t>0.0318</w:t>
            </w:r>
          </w:p>
        </w:tc>
        <w:tc>
          <w:tcPr>
            <w:tcW w:w="1872" w:type="dxa"/>
          </w:tcPr>
          <w:p w14:paraId="1876F595" w14:textId="77777777" w:rsidR="00536DDA" w:rsidRDefault="00000000">
            <w:pPr>
              <w:jc w:val="center"/>
            </w:pPr>
            <w:r>
              <w:rPr>
                <w:rFonts w:ascii="Times New Roman" w:hAnsi="Times New Roman"/>
                <w:sz w:val="16"/>
              </w:rPr>
              <w:t>Negative (−)</w:t>
            </w:r>
          </w:p>
        </w:tc>
        <w:tc>
          <w:tcPr>
            <w:tcW w:w="1728" w:type="dxa"/>
          </w:tcPr>
          <w:p w14:paraId="26B82707" w14:textId="77777777" w:rsidR="00536DDA" w:rsidRDefault="00000000">
            <w:pPr>
              <w:jc w:val="center"/>
            </w:pPr>
            <w:r>
              <w:rPr>
                <w:rFonts w:ascii="Times New Roman" w:hAnsi="Times New Roman"/>
                <w:sz w:val="16"/>
              </w:rPr>
              <w:t>Income</w:t>
            </w:r>
          </w:p>
        </w:tc>
      </w:tr>
      <w:tr w:rsidR="00536DDA" w14:paraId="5C8B3DD6" w14:textId="77777777">
        <w:trPr>
          <w:jc w:val="center"/>
        </w:trPr>
        <w:tc>
          <w:tcPr>
            <w:tcW w:w="720" w:type="dxa"/>
            <w:shd w:val="clear" w:color="auto" w:fill="EBF0FA"/>
          </w:tcPr>
          <w:p w14:paraId="70FEAD2E" w14:textId="77777777" w:rsidR="00536DDA" w:rsidRDefault="00000000">
            <w:pPr>
              <w:jc w:val="center"/>
            </w:pPr>
            <w:r>
              <w:rPr>
                <w:rFonts w:ascii="Times New Roman" w:hAnsi="Times New Roman"/>
                <w:sz w:val="16"/>
              </w:rPr>
              <w:t>3</w:t>
            </w:r>
          </w:p>
        </w:tc>
        <w:tc>
          <w:tcPr>
            <w:tcW w:w="3312" w:type="dxa"/>
            <w:shd w:val="clear" w:color="auto" w:fill="EBF0FA"/>
          </w:tcPr>
          <w:p w14:paraId="7546B0F3" w14:textId="77777777" w:rsidR="00536DDA" w:rsidRDefault="00000000">
            <w:pPr>
              <w:jc w:val="center"/>
            </w:pPr>
            <w:r>
              <w:rPr>
                <w:rFonts w:ascii="Times New Roman" w:hAnsi="Times New Roman"/>
                <w:sz w:val="16"/>
              </w:rPr>
              <w:t>median_gross_rent</w:t>
            </w:r>
          </w:p>
        </w:tc>
        <w:tc>
          <w:tcPr>
            <w:tcW w:w="1296" w:type="dxa"/>
            <w:shd w:val="clear" w:color="auto" w:fill="EBF0FA"/>
          </w:tcPr>
          <w:p w14:paraId="33FF58FB" w14:textId="77777777" w:rsidR="00536DDA" w:rsidRDefault="00000000">
            <w:pPr>
              <w:jc w:val="center"/>
            </w:pPr>
            <w:r>
              <w:rPr>
                <w:rFonts w:ascii="Times New Roman" w:hAnsi="Times New Roman"/>
                <w:sz w:val="16"/>
              </w:rPr>
              <w:t>0.0287</w:t>
            </w:r>
          </w:p>
        </w:tc>
        <w:tc>
          <w:tcPr>
            <w:tcW w:w="1872" w:type="dxa"/>
            <w:shd w:val="clear" w:color="auto" w:fill="EBF0FA"/>
          </w:tcPr>
          <w:p w14:paraId="66057504" w14:textId="77777777" w:rsidR="00536DDA" w:rsidRDefault="00000000">
            <w:pPr>
              <w:jc w:val="center"/>
            </w:pPr>
            <w:r>
              <w:rPr>
                <w:rFonts w:ascii="Times New Roman" w:hAnsi="Times New Roman"/>
                <w:sz w:val="16"/>
              </w:rPr>
              <w:t>Positive (+)</w:t>
            </w:r>
          </w:p>
        </w:tc>
        <w:tc>
          <w:tcPr>
            <w:tcW w:w="1728" w:type="dxa"/>
            <w:shd w:val="clear" w:color="auto" w:fill="EBF0FA"/>
          </w:tcPr>
          <w:p w14:paraId="7A670081" w14:textId="77777777" w:rsidR="00536DDA" w:rsidRDefault="00000000">
            <w:pPr>
              <w:jc w:val="center"/>
            </w:pPr>
            <w:r>
              <w:rPr>
                <w:rFonts w:ascii="Times New Roman" w:hAnsi="Times New Roman"/>
                <w:sz w:val="16"/>
              </w:rPr>
              <w:t>Rental Market</w:t>
            </w:r>
          </w:p>
        </w:tc>
      </w:tr>
      <w:tr w:rsidR="00536DDA" w14:paraId="65A6BA01" w14:textId="77777777">
        <w:trPr>
          <w:jc w:val="center"/>
        </w:trPr>
        <w:tc>
          <w:tcPr>
            <w:tcW w:w="720" w:type="dxa"/>
          </w:tcPr>
          <w:p w14:paraId="64D02703" w14:textId="77777777" w:rsidR="00536DDA" w:rsidRDefault="00000000">
            <w:pPr>
              <w:jc w:val="center"/>
            </w:pPr>
            <w:r>
              <w:rPr>
                <w:rFonts w:ascii="Times New Roman" w:hAnsi="Times New Roman"/>
                <w:sz w:val="16"/>
              </w:rPr>
              <w:t>4</w:t>
            </w:r>
          </w:p>
        </w:tc>
        <w:tc>
          <w:tcPr>
            <w:tcW w:w="3312" w:type="dxa"/>
          </w:tcPr>
          <w:p w14:paraId="207589FD" w14:textId="77777777" w:rsidR="00536DDA" w:rsidRDefault="00000000">
            <w:pPr>
              <w:jc w:val="center"/>
            </w:pPr>
            <w:r>
              <w:rPr>
                <w:rFonts w:ascii="Times New Roman" w:hAnsi="Times New Roman"/>
                <w:sz w:val="16"/>
              </w:rPr>
              <w:t>median_hh_income</w:t>
            </w:r>
          </w:p>
        </w:tc>
        <w:tc>
          <w:tcPr>
            <w:tcW w:w="1296" w:type="dxa"/>
          </w:tcPr>
          <w:p w14:paraId="583B77F7" w14:textId="77777777" w:rsidR="00536DDA" w:rsidRDefault="00000000">
            <w:pPr>
              <w:jc w:val="center"/>
            </w:pPr>
            <w:r>
              <w:rPr>
                <w:rFonts w:ascii="Times New Roman" w:hAnsi="Times New Roman"/>
                <w:sz w:val="16"/>
              </w:rPr>
              <w:t>0.0241</w:t>
            </w:r>
          </w:p>
        </w:tc>
        <w:tc>
          <w:tcPr>
            <w:tcW w:w="1872" w:type="dxa"/>
          </w:tcPr>
          <w:p w14:paraId="7C761C63" w14:textId="77777777" w:rsidR="00536DDA" w:rsidRDefault="00000000">
            <w:pPr>
              <w:jc w:val="center"/>
            </w:pPr>
            <w:r>
              <w:rPr>
                <w:rFonts w:ascii="Times New Roman" w:hAnsi="Times New Roman"/>
                <w:sz w:val="16"/>
              </w:rPr>
              <w:t>Negative (−)</w:t>
            </w:r>
          </w:p>
        </w:tc>
        <w:tc>
          <w:tcPr>
            <w:tcW w:w="1728" w:type="dxa"/>
          </w:tcPr>
          <w:p w14:paraId="5A2C041D" w14:textId="77777777" w:rsidR="00536DDA" w:rsidRDefault="00000000">
            <w:pPr>
              <w:jc w:val="center"/>
            </w:pPr>
            <w:r>
              <w:rPr>
                <w:rFonts w:ascii="Times New Roman" w:hAnsi="Times New Roman"/>
                <w:sz w:val="16"/>
              </w:rPr>
              <w:t>Income</w:t>
            </w:r>
          </w:p>
        </w:tc>
      </w:tr>
      <w:tr w:rsidR="00536DDA" w14:paraId="6763F016" w14:textId="77777777">
        <w:trPr>
          <w:jc w:val="center"/>
        </w:trPr>
        <w:tc>
          <w:tcPr>
            <w:tcW w:w="720" w:type="dxa"/>
            <w:shd w:val="clear" w:color="auto" w:fill="EBF0FA"/>
          </w:tcPr>
          <w:p w14:paraId="483AA0AA" w14:textId="77777777" w:rsidR="00536DDA" w:rsidRDefault="00000000">
            <w:pPr>
              <w:jc w:val="center"/>
            </w:pPr>
            <w:r>
              <w:rPr>
                <w:rFonts w:ascii="Times New Roman" w:hAnsi="Times New Roman"/>
                <w:sz w:val="16"/>
              </w:rPr>
              <w:t>5</w:t>
            </w:r>
          </w:p>
        </w:tc>
        <w:tc>
          <w:tcPr>
            <w:tcW w:w="3312" w:type="dxa"/>
            <w:shd w:val="clear" w:color="auto" w:fill="EBF0FA"/>
          </w:tcPr>
          <w:p w14:paraId="0C326D9B" w14:textId="77777777" w:rsidR="00536DDA" w:rsidRDefault="00000000">
            <w:pPr>
              <w:jc w:val="center"/>
            </w:pPr>
            <w:r>
              <w:rPr>
                <w:rFonts w:ascii="Times New Roman" w:hAnsi="Times New Roman"/>
                <w:sz w:val="16"/>
              </w:rPr>
              <w:t>rent_burden_30plus_pct_lag1</w:t>
            </w:r>
          </w:p>
        </w:tc>
        <w:tc>
          <w:tcPr>
            <w:tcW w:w="1296" w:type="dxa"/>
            <w:shd w:val="clear" w:color="auto" w:fill="EBF0FA"/>
          </w:tcPr>
          <w:p w14:paraId="05A3909B" w14:textId="77777777" w:rsidR="00536DDA" w:rsidRDefault="00000000">
            <w:pPr>
              <w:jc w:val="center"/>
            </w:pPr>
            <w:r>
              <w:rPr>
                <w:rFonts w:ascii="Times New Roman" w:hAnsi="Times New Roman"/>
                <w:sz w:val="16"/>
              </w:rPr>
              <w:t>0.0198</w:t>
            </w:r>
          </w:p>
        </w:tc>
        <w:tc>
          <w:tcPr>
            <w:tcW w:w="1872" w:type="dxa"/>
            <w:shd w:val="clear" w:color="auto" w:fill="EBF0FA"/>
          </w:tcPr>
          <w:p w14:paraId="6EEF2DBF" w14:textId="77777777" w:rsidR="00536DDA" w:rsidRDefault="00000000">
            <w:pPr>
              <w:jc w:val="center"/>
            </w:pPr>
            <w:r>
              <w:rPr>
                <w:rFonts w:ascii="Times New Roman" w:hAnsi="Times New Roman"/>
                <w:sz w:val="16"/>
              </w:rPr>
              <w:t>Positive (+)</w:t>
            </w:r>
          </w:p>
        </w:tc>
        <w:tc>
          <w:tcPr>
            <w:tcW w:w="1728" w:type="dxa"/>
            <w:shd w:val="clear" w:color="auto" w:fill="EBF0FA"/>
          </w:tcPr>
          <w:p w14:paraId="68BAF55D" w14:textId="77777777" w:rsidR="00536DDA" w:rsidRDefault="00000000">
            <w:pPr>
              <w:jc w:val="center"/>
            </w:pPr>
            <w:r>
              <w:rPr>
                <w:rFonts w:ascii="Times New Roman" w:hAnsi="Times New Roman"/>
                <w:sz w:val="16"/>
              </w:rPr>
              <w:t>Temporal Lag</w:t>
            </w:r>
          </w:p>
        </w:tc>
      </w:tr>
      <w:tr w:rsidR="00536DDA" w14:paraId="06276F4E" w14:textId="77777777">
        <w:trPr>
          <w:jc w:val="center"/>
        </w:trPr>
        <w:tc>
          <w:tcPr>
            <w:tcW w:w="720" w:type="dxa"/>
          </w:tcPr>
          <w:p w14:paraId="7FFE6D21" w14:textId="77777777" w:rsidR="00536DDA" w:rsidRDefault="00000000">
            <w:pPr>
              <w:jc w:val="center"/>
            </w:pPr>
            <w:r>
              <w:rPr>
                <w:rFonts w:ascii="Times New Roman" w:hAnsi="Times New Roman"/>
                <w:sz w:val="16"/>
              </w:rPr>
              <w:t>6</w:t>
            </w:r>
          </w:p>
        </w:tc>
        <w:tc>
          <w:tcPr>
            <w:tcW w:w="3312" w:type="dxa"/>
          </w:tcPr>
          <w:p w14:paraId="5EAD95D4" w14:textId="77777777" w:rsidR="00536DDA" w:rsidRDefault="00000000">
            <w:pPr>
              <w:jc w:val="center"/>
            </w:pPr>
            <w:r>
              <w:rPr>
                <w:rFonts w:ascii="Times New Roman" w:hAnsi="Times New Roman"/>
                <w:sz w:val="16"/>
              </w:rPr>
              <w:t>unemployment_rate</w:t>
            </w:r>
          </w:p>
        </w:tc>
        <w:tc>
          <w:tcPr>
            <w:tcW w:w="1296" w:type="dxa"/>
          </w:tcPr>
          <w:p w14:paraId="4459D62F" w14:textId="77777777" w:rsidR="00536DDA" w:rsidRDefault="00000000">
            <w:pPr>
              <w:jc w:val="center"/>
            </w:pPr>
            <w:r>
              <w:rPr>
                <w:rFonts w:ascii="Times New Roman" w:hAnsi="Times New Roman"/>
                <w:sz w:val="16"/>
              </w:rPr>
              <w:t>0.0176</w:t>
            </w:r>
          </w:p>
        </w:tc>
        <w:tc>
          <w:tcPr>
            <w:tcW w:w="1872" w:type="dxa"/>
          </w:tcPr>
          <w:p w14:paraId="457A9FB1" w14:textId="77777777" w:rsidR="00536DDA" w:rsidRDefault="00000000">
            <w:pPr>
              <w:jc w:val="center"/>
            </w:pPr>
            <w:r>
              <w:rPr>
                <w:rFonts w:ascii="Times New Roman" w:hAnsi="Times New Roman"/>
                <w:sz w:val="16"/>
              </w:rPr>
              <w:t>Positive (+)</w:t>
            </w:r>
          </w:p>
        </w:tc>
        <w:tc>
          <w:tcPr>
            <w:tcW w:w="1728" w:type="dxa"/>
          </w:tcPr>
          <w:p w14:paraId="0C4D223F" w14:textId="77777777" w:rsidR="00536DDA" w:rsidRDefault="00000000">
            <w:pPr>
              <w:jc w:val="center"/>
            </w:pPr>
            <w:r>
              <w:rPr>
                <w:rFonts w:ascii="Times New Roman" w:hAnsi="Times New Roman"/>
                <w:sz w:val="16"/>
              </w:rPr>
              <w:t>Labor Market</w:t>
            </w:r>
          </w:p>
        </w:tc>
      </w:tr>
      <w:tr w:rsidR="00536DDA" w14:paraId="7B601047" w14:textId="77777777">
        <w:trPr>
          <w:jc w:val="center"/>
        </w:trPr>
        <w:tc>
          <w:tcPr>
            <w:tcW w:w="720" w:type="dxa"/>
            <w:shd w:val="clear" w:color="auto" w:fill="EBF0FA"/>
          </w:tcPr>
          <w:p w14:paraId="31E5C174" w14:textId="77777777" w:rsidR="00536DDA" w:rsidRDefault="00000000">
            <w:pPr>
              <w:jc w:val="center"/>
            </w:pPr>
            <w:r>
              <w:rPr>
                <w:rFonts w:ascii="Times New Roman" w:hAnsi="Times New Roman"/>
                <w:sz w:val="16"/>
              </w:rPr>
              <w:t>7</w:t>
            </w:r>
          </w:p>
        </w:tc>
        <w:tc>
          <w:tcPr>
            <w:tcW w:w="3312" w:type="dxa"/>
            <w:shd w:val="clear" w:color="auto" w:fill="EBF0FA"/>
          </w:tcPr>
          <w:p w14:paraId="563B48DE" w14:textId="77777777" w:rsidR="00536DDA" w:rsidRDefault="00000000">
            <w:pPr>
              <w:jc w:val="center"/>
            </w:pPr>
            <w:r>
              <w:rPr>
                <w:rFonts w:ascii="Times New Roman" w:hAnsi="Times New Roman"/>
                <w:sz w:val="16"/>
              </w:rPr>
              <w:t>rent_to_income_ratio</w:t>
            </w:r>
          </w:p>
        </w:tc>
        <w:tc>
          <w:tcPr>
            <w:tcW w:w="1296" w:type="dxa"/>
            <w:shd w:val="clear" w:color="auto" w:fill="EBF0FA"/>
          </w:tcPr>
          <w:p w14:paraId="3B6762A9" w14:textId="77777777" w:rsidR="00536DDA" w:rsidRDefault="00000000">
            <w:pPr>
              <w:jc w:val="center"/>
            </w:pPr>
            <w:r>
              <w:rPr>
                <w:rFonts w:ascii="Times New Roman" w:hAnsi="Times New Roman"/>
                <w:sz w:val="16"/>
              </w:rPr>
              <w:t>0.0154</w:t>
            </w:r>
          </w:p>
        </w:tc>
        <w:tc>
          <w:tcPr>
            <w:tcW w:w="1872" w:type="dxa"/>
            <w:shd w:val="clear" w:color="auto" w:fill="EBF0FA"/>
          </w:tcPr>
          <w:p w14:paraId="0840CA76" w14:textId="77777777" w:rsidR="00536DDA" w:rsidRDefault="00000000">
            <w:pPr>
              <w:jc w:val="center"/>
            </w:pPr>
            <w:r>
              <w:rPr>
                <w:rFonts w:ascii="Times New Roman" w:hAnsi="Times New Roman"/>
                <w:sz w:val="16"/>
              </w:rPr>
              <w:t>Positive (+)</w:t>
            </w:r>
          </w:p>
        </w:tc>
        <w:tc>
          <w:tcPr>
            <w:tcW w:w="1728" w:type="dxa"/>
            <w:shd w:val="clear" w:color="auto" w:fill="EBF0FA"/>
          </w:tcPr>
          <w:p w14:paraId="38A3B4E9" w14:textId="77777777" w:rsidR="00536DDA" w:rsidRDefault="00000000">
            <w:pPr>
              <w:jc w:val="center"/>
            </w:pPr>
            <w:r>
              <w:rPr>
                <w:rFonts w:ascii="Times New Roman" w:hAnsi="Times New Roman"/>
                <w:sz w:val="16"/>
              </w:rPr>
              <w:t>Engineered</w:t>
            </w:r>
          </w:p>
        </w:tc>
      </w:tr>
      <w:tr w:rsidR="00536DDA" w14:paraId="6CFA21D5" w14:textId="77777777">
        <w:trPr>
          <w:jc w:val="center"/>
        </w:trPr>
        <w:tc>
          <w:tcPr>
            <w:tcW w:w="720" w:type="dxa"/>
          </w:tcPr>
          <w:p w14:paraId="2F5D787E" w14:textId="77777777" w:rsidR="00536DDA" w:rsidRDefault="00000000">
            <w:pPr>
              <w:jc w:val="center"/>
            </w:pPr>
            <w:r>
              <w:rPr>
                <w:rFonts w:ascii="Times New Roman" w:hAnsi="Times New Roman"/>
                <w:sz w:val="16"/>
              </w:rPr>
              <w:t>8</w:t>
            </w:r>
          </w:p>
        </w:tc>
        <w:tc>
          <w:tcPr>
            <w:tcW w:w="3312" w:type="dxa"/>
          </w:tcPr>
          <w:p w14:paraId="2FE447A0" w14:textId="77777777" w:rsidR="00536DDA" w:rsidRDefault="00000000">
            <w:pPr>
              <w:jc w:val="center"/>
            </w:pPr>
            <w:r>
              <w:rPr>
                <w:rFonts w:ascii="Times New Roman" w:hAnsi="Times New Roman"/>
                <w:sz w:val="16"/>
              </w:rPr>
              <w:t>renter_median_income</w:t>
            </w:r>
          </w:p>
        </w:tc>
        <w:tc>
          <w:tcPr>
            <w:tcW w:w="1296" w:type="dxa"/>
          </w:tcPr>
          <w:p w14:paraId="639C9466" w14:textId="77777777" w:rsidR="00536DDA" w:rsidRDefault="00000000">
            <w:pPr>
              <w:jc w:val="center"/>
            </w:pPr>
            <w:r>
              <w:rPr>
                <w:rFonts w:ascii="Times New Roman" w:hAnsi="Times New Roman"/>
                <w:sz w:val="16"/>
              </w:rPr>
              <w:t>0.0142</w:t>
            </w:r>
          </w:p>
        </w:tc>
        <w:tc>
          <w:tcPr>
            <w:tcW w:w="1872" w:type="dxa"/>
          </w:tcPr>
          <w:p w14:paraId="08F5EDA4" w14:textId="77777777" w:rsidR="00536DDA" w:rsidRDefault="00000000">
            <w:pPr>
              <w:jc w:val="center"/>
            </w:pPr>
            <w:r>
              <w:rPr>
                <w:rFonts w:ascii="Times New Roman" w:hAnsi="Times New Roman"/>
                <w:sz w:val="16"/>
              </w:rPr>
              <w:t>Negative (−)</w:t>
            </w:r>
          </w:p>
        </w:tc>
        <w:tc>
          <w:tcPr>
            <w:tcW w:w="1728" w:type="dxa"/>
          </w:tcPr>
          <w:p w14:paraId="5DAA6539" w14:textId="77777777" w:rsidR="00536DDA" w:rsidRDefault="00000000">
            <w:pPr>
              <w:jc w:val="center"/>
            </w:pPr>
            <w:r>
              <w:rPr>
                <w:rFonts w:ascii="Times New Roman" w:hAnsi="Times New Roman"/>
                <w:sz w:val="16"/>
              </w:rPr>
              <w:t>Income</w:t>
            </w:r>
          </w:p>
        </w:tc>
      </w:tr>
      <w:tr w:rsidR="00536DDA" w14:paraId="1CC7FC40" w14:textId="77777777">
        <w:trPr>
          <w:jc w:val="center"/>
        </w:trPr>
        <w:tc>
          <w:tcPr>
            <w:tcW w:w="720" w:type="dxa"/>
            <w:shd w:val="clear" w:color="auto" w:fill="EBF0FA"/>
          </w:tcPr>
          <w:p w14:paraId="52F0D852" w14:textId="77777777" w:rsidR="00536DDA" w:rsidRDefault="00000000">
            <w:pPr>
              <w:jc w:val="center"/>
            </w:pPr>
            <w:r>
              <w:rPr>
                <w:rFonts w:ascii="Times New Roman" w:hAnsi="Times New Roman"/>
                <w:sz w:val="16"/>
              </w:rPr>
              <w:t>9</w:t>
            </w:r>
          </w:p>
        </w:tc>
        <w:tc>
          <w:tcPr>
            <w:tcW w:w="3312" w:type="dxa"/>
            <w:shd w:val="clear" w:color="auto" w:fill="EBF0FA"/>
          </w:tcPr>
          <w:p w14:paraId="7CA7A9DC" w14:textId="77777777" w:rsidR="00536DDA" w:rsidRDefault="00000000">
            <w:pPr>
              <w:jc w:val="center"/>
            </w:pPr>
            <w:r>
              <w:rPr>
                <w:rFonts w:ascii="Times New Roman" w:hAnsi="Times New Roman"/>
                <w:sz w:val="16"/>
              </w:rPr>
              <w:t>eviction_rate</w:t>
            </w:r>
          </w:p>
        </w:tc>
        <w:tc>
          <w:tcPr>
            <w:tcW w:w="1296" w:type="dxa"/>
            <w:shd w:val="clear" w:color="auto" w:fill="EBF0FA"/>
          </w:tcPr>
          <w:p w14:paraId="472C6897" w14:textId="77777777" w:rsidR="00536DDA" w:rsidRDefault="00000000">
            <w:pPr>
              <w:jc w:val="center"/>
            </w:pPr>
            <w:r>
              <w:rPr>
                <w:rFonts w:ascii="Times New Roman" w:hAnsi="Times New Roman"/>
                <w:sz w:val="16"/>
              </w:rPr>
              <w:t>0.0121</w:t>
            </w:r>
          </w:p>
        </w:tc>
        <w:tc>
          <w:tcPr>
            <w:tcW w:w="1872" w:type="dxa"/>
            <w:shd w:val="clear" w:color="auto" w:fill="EBF0FA"/>
          </w:tcPr>
          <w:p w14:paraId="0DB53283" w14:textId="77777777" w:rsidR="00536DDA" w:rsidRDefault="00000000">
            <w:pPr>
              <w:jc w:val="center"/>
            </w:pPr>
            <w:r>
              <w:rPr>
                <w:rFonts w:ascii="Times New Roman" w:hAnsi="Times New Roman"/>
                <w:sz w:val="16"/>
              </w:rPr>
              <w:t>Positive (+)</w:t>
            </w:r>
          </w:p>
        </w:tc>
        <w:tc>
          <w:tcPr>
            <w:tcW w:w="1728" w:type="dxa"/>
            <w:shd w:val="clear" w:color="auto" w:fill="EBF0FA"/>
          </w:tcPr>
          <w:p w14:paraId="7B5F9444" w14:textId="77777777" w:rsidR="00536DDA" w:rsidRDefault="00000000">
            <w:pPr>
              <w:jc w:val="center"/>
            </w:pPr>
            <w:r>
              <w:rPr>
                <w:rFonts w:ascii="Times New Roman" w:hAnsi="Times New Roman"/>
                <w:sz w:val="16"/>
              </w:rPr>
              <w:t>Neighborhood</w:t>
            </w:r>
          </w:p>
        </w:tc>
      </w:tr>
      <w:tr w:rsidR="00536DDA" w14:paraId="75364504" w14:textId="77777777">
        <w:trPr>
          <w:jc w:val="center"/>
        </w:trPr>
        <w:tc>
          <w:tcPr>
            <w:tcW w:w="720" w:type="dxa"/>
          </w:tcPr>
          <w:p w14:paraId="3F24ED5B" w14:textId="77777777" w:rsidR="00536DDA" w:rsidRDefault="00000000">
            <w:pPr>
              <w:jc w:val="center"/>
            </w:pPr>
            <w:r>
              <w:rPr>
                <w:rFonts w:ascii="Times New Roman" w:hAnsi="Times New Roman"/>
                <w:sz w:val="16"/>
              </w:rPr>
              <w:t>10</w:t>
            </w:r>
          </w:p>
        </w:tc>
        <w:tc>
          <w:tcPr>
            <w:tcW w:w="3312" w:type="dxa"/>
          </w:tcPr>
          <w:p w14:paraId="06B28831" w14:textId="77777777" w:rsidR="00536DDA" w:rsidRDefault="00000000">
            <w:pPr>
              <w:jc w:val="center"/>
            </w:pPr>
            <w:r>
              <w:rPr>
                <w:rFonts w:ascii="Times New Roman" w:hAnsi="Times New Roman"/>
                <w:sz w:val="16"/>
              </w:rPr>
              <w:t>vacancy_rate</w:t>
            </w:r>
          </w:p>
        </w:tc>
        <w:tc>
          <w:tcPr>
            <w:tcW w:w="1296" w:type="dxa"/>
          </w:tcPr>
          <w:p w14:paraId="0A1F61E6" w14:textId="77777777" w:rsidR="00536DDA" w:rsidRDefault="00000000">
            <w:pPr>
              <w:jc w:val="center"/>
            </w:pPr>
            <w:r>
              <w:rPr>
                <w:rFonts w:ascii="Times New Roman" w:hAnsi="Times New Roman"/>
                <w:sz w:val="16"/>
              </w:rPr>
              <w:t>0.0098</w:t>
            </w:r>
          </w:p>
        </w:tc>
        <w:tc>
          <w:tcPr>
            <w:tcW w:w="1872" w:type="dxa"/>
          </w:tcPr>
          <w:p w14:paraId="70FB5A77" w14:textId="77777777" w:rsidR="00536DDA" w:rsidRDefault="00000000">
            <w:pPr>
              <w:jc w:val="center"/>
            </w:pPr>
            <w:r>
              <w:rPr>
                <w:rFonts w:ascii="Times New Roman" w:hAnsi="Times New Roman"/>
                <w:sz w:val="16"/>
              </w:rPr>
              <w:t>Negative (−)</w:t>
            </w:r>
          </w:p>
        </w:tc>
        <w:tc>
          <w:tcPr>
            <w:tcW w:w="1728" w:type="dxa"/>
          </w:tcPr>
          <w:p w14:paraId="75CA83FC" w14:textId="77777777" w:rsidR="00536DDA" w:rsidRDefault="00000000">
            <w:pPr>
              <w:jc w:val="center"/>
            </w:pPr>
            <w:r>
              <w:rPr>
                <w:rFonts w:ascii="Times New Roman" w:hAnsi="Times New Roman"/>
                <w:sz w:val="16"/>
              </w:rPr>
              <w:t>Housing Stock</w:t>
            </w:r>
          </w:p>
        </w:tc>
      </w:tr>
      <w:tr w:rsidR="00536DDA" w14:paraId="4F23527A" w14:textId="77777777">
        <w:trPr>
          <w:jc w:val="center"/>
        </w:trPr>
        <w:tc>
          <w:tcPr>
            <w:tcW w:w="720" w:type="dxa"/>
            <w:shd w:val="clear" w:color="auto" w:fill="EBF0FA"/>
          </w:tcPr>
          <w:p w14:paraId="3E02AF00" w14:textId="77777777" w:rsidR="00536DDA" w:rsidRDefault="00000000">
            <w:pPr>
              <w:jc w:val="center"/>
            </w:pPr>
            <w:r>
              <w:rPr>
                <w:rFonts w:ascii="Times New Roman" w:hAnsi="Times New Roman"/>
                <w:sz w:val="16"/>
              </w:rPr>
              <w:t>11</w:t>
            </w:r>
          </w:p>
        </w:tc>
        <w:tc>
          <w:tcPr>
            <w:tcW w:w="3312" w:type="dxa"/>
            <w:shd w:val="clear" w:color="auto" w:fill="EBF0FA"/>
          </w:tcPr>
          <w:p w14:paraId="08007948" w14:textId="77777777" w:rsidR="00536DDA" w:rsidRDefault="00000000">
            <w:pPr>
              <w:jc w:val="center"/>
            </w:pPr>
            <w:r>
              <w:rPr>
                <w:rFonts w:ascii="Times New Roman" w:hAnsi="Times New Roman"/>
                <w:sz w:val="16"/>
              </w:rPr>
              <w:t>median_hh_income_lag1</w:t>
            </w:r>
          </w:p>
        </w:tc>
        <w:tc>
          <w:tcPr>
            <w:tcW w:w="1296" w:type="dxa"/>
            <w:shd w:val="clear" w:color="auto" w:fill="EBF0FA"/>
          </w:tcPr>
          <w:p w14:paraId="15397050" w14:textId="77777777" w:rsidR="00536DDA" w:rsidRDefault="00000000">
            <w:pPr>
              <w:jc w:val="center"/>
            </w:pPr>
            <w:r>
              <w:rPr>
                <w:rFonts w:ascii="Times New Roman" w:hAnsi="Times New Roman"/>
                <w:sz w:val="16"/>
              </w:rPr>
              <w:t>0.0089</w:t>
            </w:r>
          </w:p>
        </w:tc>
        <w:tc>
          <w:tcPr>
            <w:tcW w:w="1872" w:type="dxa"/>
            <w:shd w:val="clear" w:color="auto" w:fill="EBF0FA"/>
          </w:tcPr>
          <w:p w14:paraId="57966688" w14:textId="77777777" w:rsidR="00536DDA" w:rsidRDefault="00000000">
            <w:pPr>
              <w:jc w:val="center"/>
            </w:pPr>
            <w:r>
              <w:rPr>
                <w:rFonts w:ascii="Times New Roman" w:hAnsi="Times New Roman"/>
                <w:sz w:val="16"/>
              </w:rPr>
              <w:t>Negative (−)</w:t>
            </w:r>
          </w:p>
        </w:tc>
        <w:tc>
          <w:tcPr>
            <w:tcW w:w="1728" w:type="dxa"/>
            <w:shd w:val="clear" w:color="auto" w:fill="EBF0FA"/>
          </w:tcPr>
          <w:p w14:paraId="3FE85575" w14:textId="77777777" w:rsidR="00536DDA" w:rsidRDefault="00000000">
            <w:pPr>
              <w:jc w:val="center"/>
            </w:pPr>
            <w:r>
              <w:rPr>
                <w:rFonts w:ascii="Times New Roman" w:hAnsi="Times New Roman"/>
                <w:sz w:val="16"/>
              </w:rPr>
              <w:t>Temporal Lag</w:t>
            </w:r>
          </w:p>
        </w:tc>
      </w:tr>
      <w:tr w:rsidR="00536DDA" w14:paraId="4813BB0A" w14:textId="77777777">
        <w:trPr>
          <w:jc w:val="center"/>
        </w:trPr>
        <w:tc>
          <w:tcPr>
            <w:tcW w:w="720" w:type="dxa"/>
          </w:tcPr>
          <w:p w14:paraId="191FFE85" w14:textId="77777777" w:rsidR="00536DDA" w:rsidRDefault="00000000">
            <w:pPr>
              <w:jc w:val="center"/>
            </w:pPr>
            <w:r>
              <w:rPr>
                <w:rFonts w:ascii="Times New Roman" w:hAnsi="Times New Roman"/>
                <w:sz w:val="16"/>
              </w:rPr>
              <w:t>12</w:t>
            </w:r>
          </w:p>
        </w:tc>
        <w:tc>
          <w:tcPr>
            <w:tcW w:w="3312" w:type="dxa"/>
          </w:tcPr>
          <w:p w14:paraId="7B73F2E1" w14:textId="77777777" w:rsidR="00536DDA" w:rsidRDefault="00000000">
            <w:pPr>
              <w:jc w:val="center"/>
            </w:pPr>
            <w:r>
              <w:rPr>
                <w:rFonts w:ascii="Times New Roman" w:hAnsi="Times New Roman"/>
                <w:sz w:val="16"/>
              </w:rPr>
              <w:t>market_tightness</w:t>
            </w:r>
          </w:p>
        </w:tc>
        <w:tc>
          <w:tcPr>
            <w:tcW w:w="1296" w:type="dxa"/>
          </w:tcPr>
          <w:p w14:paraId="2A399548" w14:textId="77777777" w:rsidR="00536DDA" w:rsidRDefault="00000000">
            <w:pPr>
              <w:jc w:val="center"/>
            </w:pPr>
            <w:r>
              <w:rPr>
                <w:rFonts w:ascii="Times New Roman" w:hAnsi="Times New Roman"/>
                <w:sz w:val="16"/>
              </w:rPr>
              <w:t>0.0076</w:t>
            </w:r>
          </w:p>
        </w:tc>
        <w:tc>
          <w:tcPr>
            <w:tcW w:w="1872" w:type="dxa"/>
          </w:tcPr>
          <w:p w14:paraId="7E20A213" w14:textId="77777777" w:rsidR="00536DDA" w:rsidRDefault="00000000">
            <w:pPr>
              <w:jc w:val="center"/>
            </w:pPr>
            <w:r>
              <w:rPr>
                <w:rFonts w:ascii="Times New Roman" w:hAnsi="Times New Roman"/>
                <w:sz w:val="16"/>
              </w:rPr>
              <w:t>Positive (+)</w:t>
            </w:r>
          </w:p>
        </w:tc>
        <w:tc>
          <w:tcPr>
            <w:tcW w:w="1728" w:type="dxa"/>
          </w:tcPr>
          <w:p w14:paraId="44F6B893" w14:textId="77777777" w:rsidR="00536DDA" w:rsidRDefault="00000000">
            <w:pPr>
              <w:jc w:val="center"/>
            </w:pPr>
            <w:r>
              <w:rPr>
                <w:rFonts w:ascii="Times New Roman" w:hAnsi="Times New Roman"/>
                <w:sz w:val="16"/>
              </w:rPr>
              <w:t>Engineered</w:t>
            </w:r>
          </w:p>
        </w:tc>
      </w:tr>
      <w:tr w:rsidR="00536DDA" w14:paraId="6B6A8301" w14:textId="77777777">
        <w:trPr>
          <w:jc w:val="center"/>
        </w:trPr>
        <w:tc>
          <w:tcPr>
            <w:tcW w:w="720" w:type="dxa"/>
            <w:shd w:val="clear" w:color="auto" w:fill="EBF0FA"/>
          </w:tcPr>
          <w:p w14:paraId="37FB4E18" w14:textId="77777777" w:rsidR="00536DDA" w:rsidRDefault="00000000">
            <w:pPr>
              <w:jc w:val="center"/>
            </w:pPr>
            <w:r>
              <w:rPr>
                <w:rFonts w:ascii="Times New Roman" w:hAnsi="Times New Roman"/>
                <w:sz w:val="16"/>
              </w:rPr>
              <w:t>13</w:t>
            </w:r>
          </w:p>
        </w:tc>
        <w:tc>
          <w:tcPr>
            <w:tcW w:w="3312" w:type="dxa"/>
            <w:shd w:val="clear" w:color="auto" w:fill="EBF0FA"/>
          </w:tcPr>
          <w:p w14:paraId="3EEFB1EE" w14:textId="77777777" w:rsidR="00536DDA" w:rsidRDefault="00000000">
            <w:pPr>
              <w:jc w:val="center"/>
            </w:pPr>
            <w:r>
              <w:rPr>
                <w:rFonts w:ascii="Times New Roman" w:hAnsi="Times New Roman"/>
                <w:sz w:val="16"/>
              </w:rPr>
              <w:t>gini_coefficient</w:t>
            </w:r>
          </w:p>
        </w:tc>
        <w:tc>
          <w:tcPr>
            <w:tcW w:w="1296" w:type="dxa"/>
            <w:shd w:val="clear" w:color="auto" w:fill="EBF0FA"/>
          </w:tcPr>
          <w:p w14:paraId="0C89CEAE" w14:textId="77777777" w:rsidR="00536DDA" w:rsidRDefault="00000000">
            <w:pPr>
              <w:jc w:val="center"/>
            </w:pPr>
            <w:r>
              <w:rPr>
                <w:rFonts w:ascii="Times New Roman" w:hAnsi="Times New Roman"/>
                <w:sz w:val="16"/>
              </w:rPr>
              <w:t>0.0071</w:t>
            </w:r>
          </w:p>
        </w:tc>
        <w:tc>
          <w:tcPr>
            <w:tcW w:w="1872" w:type="dxa"/>
            <w:shd w:val="clear" w:color="auto" w:fill="EBF0FA"/>
          </w:tcPr>
          <w:p w14:paraId="1DCAAD2C" w14:textId="77777777" w:rsidR="00536DDA" w:rsidRDefault="00000000">
            <w:pPr>
              <w:jc w:val="center"/>
            </w:pPr>
            <w:r>
              <w:rPr>
                <w:rFonts w:ascii="Times New Roman" w:hAnsi="Times New Roman"/>
                <w:sz w:val="16"/>
              </w:rPr>
              <w:t>Positive (+)</w:t>
            </w:r>
          </w:p>
        </w:tc>
        <w:tc>
          <w:tcPr>
            <w:tcW w:w="1728" w:type="dxa"/>
            <w:shd w:val="clear" w:color="auto" w:fill="EBF0FA"/>
          </w:tcPr>
          <w:p w14:paraId="03624129" w14:textId="77777777" w:rsidR="00536DDA" w:rsidRDefault="00000000">
            <w:pPr>
              <w:jc w:val="center"/>
            </w:pPr>
            <w:r>
              <w:rPr>
                <w:rFonts w:ascii="Times New Roman" w:hAnsi="Times New Roman"/>
                <w:sz w:val="16"/>
              </w:rPr>
              <w:t>Inequality</w:t>
            </w:r>
          </w:p>
        </w:tc>
      </w:tr>
      <w:tr w:rsidR="00536DDA" w14:paraId="5AFD9AD6" w14:textId="77777777">
        <w:trPr>
          <w:jc w:val="center"/>
        </w:trPr>
        <w:tc>
          <w:tcPr>
            <w:tcW w:w="720" w:type="dxa"/>
          </w:tcPr>
          <w:p w14:paraId="7030B7A5" w14:textId="77777777" w:rsidR="00536DDA" w:rsidRDefault="00000000">
            <w:pPr>
              <w:jc w:val="center"/>
            </w:pPr>
            <w:r>
              <w:rPr>
                <w:rFonts w:ascii="Times New Roman" w:hAnsi="Times New Roman"/>
                <w:sz w:val="16"/>
              </w:rPr>
              <w:t>14</w:t>
            </w:r>
          </w:p>
        </w:tc>
        <w:tc>
          <w:tcPr>
            <w:tcW w:w="3312" w:type="dxa"/>
          </w:tcPr>
          <w:p w14:paraId="18021F91" w14:textId="77777777" w:rsidR="00536DDA" w:rsidRDefault="00000000">
            <w:pPr>
              <w:jc w:val="center"/>
            </w:pPr>
            <w:r>
              <w:rPr>
                <w:rFonts w:ascii="Times New Roman" w:hAnsi="Times New Roman"/>
                <w:sz w:val="16"/>
              </w:rPr>
              <w:t>severe_crowding_rate</w:t>
            </w:r>
          </w:p>
        </w:tc>
        <w:tc>
          <w:tcPr>
            <w:tcW w:w="1296" w:type="dxa"/>
          </w:tcPr>
          <w:p w14:paraId="2481C370" w14:textId="77777777" w:rsidR="00536DDA" w:rsidRDefault="00000000">
            <w:pPr>
              <w:jc w:val="center"/>
            </w:pPr>
            <w:r>
              <w:rPr>
                <w:rFonts w:ascii="Times New Roman" w:hAnsi="Times New Roman"/>
                <w:sz w:val="16"/>
              </w:rPr>
              <w:t>0.0064</w:t>
            </w:r>
          </w:p>
        </w:tc>
        <w:tc>
          <w:tcPr>
            <w:tcW w:w="1872" w:type="dxa"/>
          </w:tcPr>
          <w:p w14:paraId="21335749" w14:textId="77777777" w:rsidR="00536DDA" w:rsidRDefault="00000000">
            <w:pPr>
              <w:jc w:val="center"/>
            </w:pPr>
            <w:r>
              <w:rPr>
                <w:rFonts w:ascii="Times New Roman" w:hAnsi="Times New Roman"/>
                <w:sz w:val="16"/>
              </w:rPr>
              <w:t>Positive (+)</w:t>
            </w:r>
          </w:p>
        </w:tc>
        <w:tc>
          <w:tcPr>
            <w:tcW w:w="1728" w:type="dxa"/>
          </w:tcPr>
          <w:p w14:paraId="49A85CD1" w14:textId="77777777" w:rsidR="00536DDA" w:rsidRDefault="00000000">
            <w:pPr>
              <w:jc w:val="center"/>
            </w:pPr>
            <w:r>
              <w:rPr>
                <w:rFonts w:ascii="Times New Roman" w:hAnsi="Times New Roman"/>
                <w:sz w:val="16"/>
              </w:rPr>
              <w:t>Housing Stock</w:t>
            </w:r>
          </w:p>
        </w:tc>
      </w:tr>
      <w:tr w:rsidR="00536DDA" w14:paraId="590CE0B8" w14:textId="77777777">
        <w:trPr>
          <w:jc w:val="center"/>
        </w:trPr>
        <w:tc>
          <w:tcPr>
            <w:tcW w:w="720" w:type="dxa"/>
            <w:shd w:val="clear" w:color="auto" w:fill="EBF0FA"/>
          </w:tcPr>
          <w:p w14:paraId="4E29E692" w14:textId="77777777" w:rsidR="00536DDA" w:rsidRDefault="00000000">
            <w:pPr>
              <w:jc w:val="center"/>
            </w:pPr>
            <w:r>
              <w:rPr>
                <w:rFonts w:ascii="Times New Roman" w:hAnsi="Times New Roman"/>
                <w:sz w:val="16"/>
              </w:rPr>
              <w:t>15</w:t>
            </w:r>
          </w:p>
        </w:tc>
        <w:tc>
          <w:tcPr>
            <w:tcW w:w="3312" w:type="dxa"/>
            <w:shd w:val="clear" w:color="auto" w:fill="EBF0FA"/>
          </w:tcPr>
          <w:p w14:paraId="387F5F48" w14:textId="77777777" w:rsidR="00536DDA" w:rsidRDefault="00000000">
            <w:pPr>
              <w:jc w:val="center"/>
            </w:pPr>
            <w:r>
              <w:rPr>
                <w:rFonts w:ascii="Times New Roman" w:hAnsi="Times New Roman"/>
                <w:sz w:val="16"/>
              </w:rPr>
              <w:t>renter_vulnerability</w:t>
            </w:r>
          </w:p>
        </w:tc>
        <w:tc>
          <w:tcPr>
            <w:tcW w:w="1296" w:type="dxa"/>
            <w:shd w:val="clear" w:color="auto" w:fill="EBF0FA"/>
          </w:tcPr>
          <w:p w14:paraId="09772ABF" w14:textId="77777777" w:rsidR="00536DDA" w:rsidRDefault="00000000">
            <w:pPr>
              <w:jc w:val="center"/>
            </w:pPr>
            <w:r>
              <w:rPr>
                <w:rFonts w:ascii="Times New Roman" w:hAnsi="Times New Roman"/>
                <w:sz w:val="16"/>
              </w:rPr>
              <w:t>0.0058</w:t>
            </w:r>
          </w:p>
        </w:tc>
        <w:tc>
          <w:tcPr>
            <w:tcW w:w="1872" w:type="dxa"/>
            <w:shd w:val="clear" w:color="auto" w:fill="EBF0FA"/>
          </w:tcPr>
          <w:p w14:paraId="3BAF8FD8" w14:textId="77777777" w:rsidR="00536DDA" w:rsidRDefault="00000000">
            <w:pPr>
              <w:jc w:val="center"/>
            </w:pPr>
            <w:r>
              <w:rPr>
                <w:rFonts w:ascii="Times New Roman" w:hAnsi="Times New Roman"/>
                <w:sz w:val="16"/>
              </w:rPr>
              <w:t>Positive (+)</w:t>
            </w:r>
          </w:p>
        </w:tc>
        <w:tc>
          <w:tcPr>
            <w:tcW w:w="1728" w:type="dxa"/>
            <w:shd w:val="clear" w:color="auto" w:fill="EBF0FA"/>
          </w:tcPr>
          <w:p w14:paraId="592E1C9F" w14:textId="77777777" w:rsidR="00536DDA" w:rsidRDefault="00000000">
            <w:pPr>
              <w:jc w:val="center"/>
            </w:pPr>
            <w:r>
              <w:rPr>
                <w:rFonts w:ascii="Times New Roman" w:hAnsi="Times New Roman"/>
                <w:sz w:val="16"/>
              </w:rPr>
              <w:t>Engineered</w:t>
            </w:r>
          </w:p>
        </w:tc>
      </w:tr>
    </w:tbl>
    <w:p w14:paraId="5E15CE54" w14:textId="77777777" w:rsidR="00536DDA" w:rsidRDefault="00536DDA">
      <w:pPr>
        <w:spacing w:after="40"/>
      </w:pPr>
    </w:p>
    <w:p w14:paraId="05996468" w14:textId="77777777" w:rsidR="00536DDA" w:rsidRDefault="00000000">
      <w:pPr>
        <w:spacing w:before="140" w:after="60"/>
      </w:pPr>
      <w:r>
        <w:rPr>
          <w:rFonts w:ascii="Times New Roman" w:hAnsi="Times New Roman"/>
          <w:b/>
          <w:i/>
          <w:sz w:val="20"/>
        </w:rPr>
        <w:t>B. Policy Implications of Feature Attribution</w:t>
      </w:r>
    </w:p>
    <w:p w14:paraId="68AD8EDE" w14:textId="77777777" w:rsidR="00536DDA" w:rsidRDefault="00000000">
      <w:pPr>
        <w:spacing w:after="100"/>
        <w:ind w:firstLine="280"/>
        <w:jc w:val="both"/>
      </w:pPr>
      <w:r>
        <w:rPr>
          <w:rFonts w:ascii="Times New Roman" w:hAnsi="Times New Roman"/>
          <w:sz w:val="20"/>
        </w:rPr>
        <w:t>The SHAP analysis yields three policy-actionable findings. First, the dominance of rent_burden_30plus_pct as the leading predictor supports a 'prevention at the 30% threshold' policy paradigm: emergency rental assistance programs, housing vouchers, and eviction prevention services targeted at moderately cost-burdened households could interrupt the pathway to severe burden before it becomes entrenched. Second, the negative effect of renter_income_ratio and median_hh_income confirms that income-side interventions—minimum wage increases, workforce development programs, and earned income tax credit expansion—directly reduce severe burden risk and should be pursued alongside supply-side policies. Third, the significant positive effect of eviction_rate (Rank 9) suggests that eviction prevention—through legal representation programs, right-to-counsel legislation, and mediation—can reduce downstream burden by preserving housing stability before forced displacement.</w:t>
      </w:r>
    </w:p>
    <w:p w14:paraId="654ED77A" w14:textId="77777777" w:rsidR="00536DDA" w:rsidRDefault="00000000">
      <w:pPr>
        <w:spacing w:before="200" w:after="100"/>
        <w:jc w:val="center"/>
      </w:pPr>
      <w:r>
        <w:rPr>
          <w:rFonts w:ascii="Times New Roman" w:hAnsi="Times New Roman"/>
          <w:b/>
          <w:sz w:val="20"/>
        </w:rPr>
        <w:t>VIII. ABLATION STUDY</w:t>
      </w:r>
    </w:p>
    <w:p w14:paraId="1CAD54B0" w14:textId="77777777" w:rsidR="00536DDA" w:rsidRDefault="00000000">
      <w:pPr>
        <w:spacing w:after="100"/>
        <w:ind w:firstLine="280"/>
        <w:jc w:val="both"/>
      </w:pPr>
      <w:r>
        <w:rPr>
          <w:rFonts w:ascii="Times New Roman" w:hAnsi="Times New Roman"/>
          <w:sz w:val="20"/>
        </w:rPr>
        <w:t>To systematically quantify the predictive contribution of each feature category, we conduct a leave-one-group-out ablation study. For each of six feature groups, we retrain XGBoost from scratch on all remaining features using the same hyperparameters and temporal split protocol, then record the change in test R² relative to the full-feature baseline (R²=0.891). The R² drop, ΔR²=R²_baseline − R²_ablated, quantifies the net predictive contribution of the removed group. Table VII presents results sorted by ΔR² magnitude.</w:t>
      </w:r>
    </w:p>
    <w:p w14:paraId="4096B6F5" w14:textId="77777777" w:rsidR="00536DDA" w:rsidRDefault="00536DDA">
      <w:pPr>
        <w:spacing w:after="40"/>
      </w:pPr>
    </w:p>
    <w:p w14:paraId="70F5B8BB" w14:textId="77777777" w:rsidR="00536DDA" w:rsidRDefault="00000000">
      <w:pPr>
        <w:spacing w:before="140" w:after="40"/>
        <w:jc w:val="center"/>
      </w:pPr>
      <w:r>
        <w:rPr>
          <w:rFonts w:ascii="Times New Roman" w:hAnsi="Times New Roman"/>
          <w:b/>
          <w:sz w:val="18"/>
        </w:rPr>
        <w:t>TABLE VII: ABLATION STUDY — PREDICTIVE CONTRIBUTION BY FEATURE GROUP</w:t>
      </w:r>
    </w:p>
    <w:tbl>
      <w:tblPr>
        <w:tblStyle w:val="TableGrid"/>
        <w:tblW w:w="0" w:type="auto"/>
        <w:jc w:val="center"/>
        <w:tblLook w:val="04A0" w:firstRow="1" w:lastRow="0" w:firstColumn="1" w:lastColumn="0" w:noHBand="0" w:noVBand="1"/>
      </w:tblPr>
      <w:tblGrid>
        <w:gridCol w:w="713"/>
        <w:gridCol w:w="2227"/>
        <w:gridCol w:w="1681"/>
        <w:gridCol w:w="1949"/>
        <w:gridCol w:w="1257"/>
        <w:gridCol w:w="2243"/>
      </w:tblGrid>
      <w:tr w:rsidR="00536DDA" w14:paraId="1567C0DE" w14:textId="77777777">
        <w:trPr>
          <w:jc w:val="center"/>
        </w:trPr>
        <w:tc>
          <w:tcPr>
            <w:tcW w:w="720" w:type="dxa"/>
            <w:shd w:val="clear" w:color="auto" w:fill="1A376C"/>
          </w:tcPr>
          <w:p w14:paraId="1DBCD512" w14:textId="77777777" w:rsidR="00536DDA" w:rsidRDefault="00000000">
            <w:pPr>
              <w:jc w:val="center"/>
            </w:pPr>
            <w:r>
              <w:rPr>
                <w:rFonts w:ascii="Times New Roman" w:hAnsi="Times New Roman"/>
                <w:b/>
                <w:color w:val="FFFFFF"/>
                <w:sz w:val="16"/>
              </w:rPr>
              <w:t>Rank</w:t>
            </w:r>
          </w:p>
        </w:tc>
        <w:tc>
          <w:tcPr>
            <w:tcW w:w="2304" w:type="dxa"/>
            <w:shd w:val="clear" w:color="auto" w:fill="1A376C"/>
          </w:tcPr>
          <w:p w14:paraId="7046E608" w14:textId="77777777" w:rsidR="00536DDA" w:rsidRDefault="00000000">
            <w:pPr>
              <w:jc w:val="center"/>
            </w:pPr>
            <w:r>
              <w:rPr>
                <w:rFonts w:ascii="Times New Roman" w:hAnsi="Times New Roman"/>
                <w:b/>
                <w:color w:val="FFFFFF"/>
                <w:sz w:val="16"/>
              </w:rPr>
              <w:t>Feature Group</w:t>
            </w:r>
          </w:p>
        </w:tc>
        <w:tc>
          <w:tcPr>
            <w:tcW w:w="1728" w:type="dxa"/>
            <w:shd w:val="clear" w:color="auto" w:fill="1A376C"/>
          </w:tcPr>
          <w:p w14:paraId="6AF3C095" w14:textId="77777777" w:rsidR="00536DDA" w:rsidRDefault="00000000">
            <w:pPr>
              <w:jc w:val="center"/>
            </w:pPr>
            <w:r>
              <w:rPr>
                <w:rFonts w:ascii="Times New Roman" w:hAnsi="Times New Roman"/>
                <w:b/>
                <w:color w:val="FFFFFF"/>
                <w:sz w:val="16"/>
              </w:rPr>
              <w:t>Features Removed</w:t>
            </w:r>
          </w:p>
        </w:tc>
        <w:tc>
          <w:tcPr>
            <w:tcW w:w="2016" w:type="dxa"/>
            <w:shd w:val="clear" w:color="auto" w:fill="1A376C"/>
          </w:tcPr>
          <w:p w14:paraId="243001C0" w14:textId="77777777" w:rsidR="00536DDA" w:rsidRDefault="00000000">
            <w:pPr>
              <w:jc w:val="center"/>
            </w:pPr>
            <w:r>
              <w:rPr>
                <w:rFonts w:ascii="Times New Roman" w:hAnsi="Times New Roman"/>
                <w:b/>
                <w:color w:val="FFFFFF"/>
                <w:sz w:val="16"/>
              </w:rPr>
              <w:t>R² Without Group</w:t>
            </w:r>
          </w:p>
        </w:tc>
        <w:tc>
          <w:tcPr>
            <w:tcW w:w="1296" w:type="dxa"/>
            <w:shd w:val="clear" w:color="auto" w:fill="1A376C"/>
          </w:tcPr>
          <w:p w14:paraId="60BFF2B2" w14:textId="77777777" w:rsidR="00536DDA" w:rsidRDefault="00000000">
            <w:pPr>
              <w:jc w:val="center"/>
            </w:pPr>
            <w:r>
              <w:rPr>
                <w:rFonts w:ascii="Times New Roman" w:hAnsi="Times New Roman"/>
                <w:b/>
                <w:color w:val="FFFFFF"/>
                <w:sz w:val="16"/>
              </w:rPr>
              <w:t>ΔR² Drop</w:t>
            </w:r>
          </w:p>
        </w:tc>
        <w:tc>
          <w:tcPr>
            <w:tcW w:w="2304" w:type="dxa"/>
            <w:shd w:val="clear" w:color="auto" w:fill="1A376C"/>
          </w:tcPr>
          <w:p w14:paraId="3ECE8F99" w14:textId="77777777" w:rsidR="00536DDA" w:rsidRDefault="00000000">
            <w:pPr>
              <w:jc w:val="center"/>
            </w:pPr>
            <w:r>
              <w:rPr>
                <w:rFonts w:ascii="Times New Roman" w:hAnsi="Times New Roman"/>
                <w:b/>
                <w:color w:val="FFFFFF"/>
                <w:sz w:val="16"/>
              </w:rPr>
              <w:t>Relative Contribution</w:t>
            </w:r>
          </w:p>
        </w:tc>
      </w:tr>
      <w:tr w:rsidR="00536DDA" w14:paraId="573DE3A7" w14:textId="77777777">
        <w:trPr>
          <w:jc w:val="center"/>
        </w:trPr>
        <w:tc>
          <w:tcPr>
            <w:tcW w:w="720" w:type="dxa"/>
            <w:shd w:val="clear" w:color="auto" w:fill="EBF0FA"/>
          </w:tcPr>
          <w:p w14:paraId="485EC7C9" w14:textId="77777777" w:rsidR="00536DDA" w:rsidRDefault="00000000">
            <w:pPr>
              <w:jc w:val="center"/>
            </w:pPr>
            <w:r>
              <w:rPr>
                <w:rFonts w:ascii="Times New Roman" w:hAnsi="Times New Roman"/>
                <w:sz w:val="16"/>
              </w:rPr>
              <w:t>1</w:t>
            </w:r>
          </w:p>
        </w:tc>
        <w:tc>
          <w:tcPr>
            <w:tcW w:w="2304" w:type="dxa"/>
            <w:shd w:val="clear" w:color="auto" w:fill="EBF0FA"/>
          </w:tcPr>
          <w:p w14:paraId="77233A44" w14:textId="77777777" w:rsidR="00536DDA" w:rsidRDefault="00000000">
            <w:pPr>
              <w:jc w:val="center"/>
            </w:pPr>
            <w:r>
              <w:rPr>
                <w:rFonts w:ascii="Times New Roman" w:hAnsi="Times New Roman"/>
                <w:sz w:val="16"/>
              </w:rPr>
              <w:t>Rental Market</w:t>
            </w:r>
          </w:p>
        </w:tc>
        <w:tc>
          <w:tcPr>
            <w:tcW w:w="1728" w:type="dxa"/>
            <w:shd w:val="clear" w:color="auto" w:fill="EBF0FA"/>
          </w:tcPr>
          <w:p w14:paraId="1D7F3126" w14:textId="77777777" w:rsidR="00536DDA" w:rsidRDefault="00000000">
            <w:pPr>
              <w:jc w:val="center"/>
            </w:pPr>
            <w:r>
              <w:rPr>
                <w:rFonts w:ascii="Times New Roman" w:hAnsi="Times New Roman"/>
                <w:sz w:val="16"/>
              </w:rPr>
              <w:t>7</w:t>
            </w:r>
          </w:p>
        </w:tc>
        <w:tc>
          <w:tcPr>
            <w:tcW w:w="2016" w:type="dxa"/>
            <w:shd w:val="clear" w:color="auto" w:fill="EBF0FA"/>
          </w:tcPr>
          <w:p w14:paraId="338D4E9B" w14:textId="77777777" w:rsidR="00536DDA" w:rsidRDefault="00000000">
            <w:pPr>
              <w:jc w:val="center"/>
            </w:pPr>
            <w:r>
              <w:rPr>
                <w:rFonts w:ascii="Times New Roman" w:hAnsi="Times New Roman"/>
                <w:sz w:val="16"/>
              </w:rPr>
              <w:t>0.739</w:t>
            </w:r>
          </w:p>
        </w:tc>
        <w:tc>
          <w:tcPr>
            <w:tcW w:w="1296" w:type="dxa"/>
            <w:shd w:val="clear" w:color="auto" w:fill="EBF0FA"/>
          </w:tcPr>
          <w:p w14:paraId="4F0D54F1" w14:textId="77777777" w:rsidR="00536DDA" w:rsidRDefault="00000000">
            <w:pPr>
              <w:jc w:val="center"/>
            </w:pPr>
            <w:r>
              <w:rPr>
                <w:rFonts w:ascii="Times New Roman" w:hAnsi="Times New Roman"/>
                <w:sz w:val="16"/>
              </w:rPr>
              <w:t>0.152</w:t>
            </w:r>
          </w:p>
        </w:tc>
        <w:tc>
          <w:tcPr>
            <w:tcW w:w="2304" w:type="dxa"/>
            <w:shd w:val="clear" w:color="auto" w:fill="EBF0FA"/>
          </w:tcPr>
          <w:p w14:paraId="4D808A13" w14:textId="77777777" w:rsidR="00536DDA" w:rsidRDefault="00000000">
            <w:pPr>
              <w:jc w:val="center"/>
            </w:pPr>
            <w:r>
              <w:rPr>
                <w:rFonts w:ascii="Times New Roman" w:hAnsi="Times New Roman"/>
                <w:sz w:val="16"/>
              </w:rPr>
              <w:t>Highest — Critical</w:t>
            </w:r>
          </w:p>
        </w:tc>
      </w:tr>
      <w:tr w:rsidR="00536DDA" w14:paraId="3CD8AEB1" w14:textId="77777777">
        <w:trPr>
          <w:jc w:val="center"/>
        </w:trPr>
        <w:tc>
          <w:tcPr>
            <w:tcW w:w="720" w:type="dxa"/>
          </w:tcPr>
          <w:p w14:paraId="7C5354F5" w14:textId="77777777" w:rsidR="00536DDA" w:rsidRDefault="00000000">
            <w:pPr>
              <w:jc w:val="center"/>
            </w:pPr>
            <w:r>
              <w:rPr>
                <w:rFonts w:ascii="Times New Roman" w:hAnsi="Times New Roman"/>
                <w:sz w:val="16"/>
              </w:rPr>
              <w:t>2</w:t>
            </w:r>
          </w:p>
        </w:tc>
        <w:tc>
          <w:tcPr>
            <w:tcW w:w="2304" w:type="dxa"/>
          </w:tcPr>
          <w:p w14:paraId="23EF2C4C" w14:textId="77777777" w:rsidR="00536DDA" w:rsidRDefault="00000000">
            <w:pPr>
              <w:jc w:val="center"/>
            </w:pPr>
            <w:r>
              <w:rPr>
                <w:rFonts w:ascii="Times New Roman" w:hAnsi="Times New Roman"/>
                <w:sz w:val="16"/>
              </w:rPr>
              <w:t>Income Features</w:t>
            </w:r>
          </w:p>
        </w:tc>
        <w:tc>
          <w:tcPr>
            <w:tcW w:w="1728" w:type="dxa"/>
          </w:tcPr>
          <w:p w14:paraId="29832BAA" w14:textId="77777777" w:rsidR="00536DDA" w:rsidRDefault="00000000">
            <w:pPr>
              <w:jc w:val="center"/>
            </w:pPr>
            <w:r>
              <w:rPr>
                <w:rFonts w:ascii="Times New Roman" w:hAnsi="Times New Roman"/>
                <w:sz w:val="16"/>
              </w:rPr>
              <w:t>7</w:t>
            </w:r>
          </w:p>
        </w:tc>
        <w:tc>
          <w:tcPr>
            <w:tcW w:w="2016" w:type="dxa"/>
          </w:tcPr>
          <w:p w14:paraId="282EDA3F" w14:textId="77777777" w:rsidR="00536DDA" w:rsidRDefault="00000000">
            <w:pPr>
              <w:jc w:val="center"/>
            </w:pPr>
            <w:r>
              <w:rPr>
                <w:rFonts w:ascii="Times New Roman" w:hAnsi="Times New Roman"/>
                <w:sz w:val="16"/>
              </w:rPr>
              <w:t>0.769</w:t>
            </w:r>
          </w:p>
        </w:tc>
        <w:tc>
          <w:tcPr>
            <w:tcW w:w="1296" w:type="dxa"/>
          </w:tcPr>
          <w:p w14:paraId="28777349" w14:textId="77777777" w:rsidR="00536DDA" w:rsidRDefault="00000000">
            <w:pPr>
              <w:jc w:val="center"/>
            </w:pPr>
            <w:r>
              <w:rPr>
                <w:rFonts w:ascii="Times New Roman" w:hAnsi="Times New Roman"/>
                <w:sz w:val="16"/>
              </w:rPr>
              <w:t>0.122</w:t>
            </w:r>
          </w:p>
        </w:tc>
        <w:tc>
          <w:tcPr>
            <w:tcW w:w="2304" w:type="dxa"/>
          </w:tcPr>
          <w:p w14:paraId="098E8D8A" w14:textId="77777777" w:rsidR="00536DDA" w:rsidRDefault="00000000">
            <w:pPr>
              <w:jc w:val="center"/>
            </w:pPr>
            <w:r>
              <w:rPr>
                <w:rFonts w:ascii="Times New Roman" w:hAnsi="Times New Roman"/>
                <w:sz w:val="16"/>
              </w:rPr>
              <w:t>Very High — Essential</w:t>
            </w:r>
          </w:p>
        </w:tc>
      </w:tr>
      <w:tr w:rsidR="00536DDA" w14:paraId="7C1A717B" w14:textId="77777777">
        <w:trPr>
          <w:jc w:val="center"/>
        </w:trPr>
        <w:tc>
          <w:tcPr>
            <w:tcW w:w="720" w:type="dxa"/>
            <w:shd w:val="clear" w:color="auto" w:fill="EBF0FA"/>
          </w:tcPr>
          <w:p w14:paraId="5FB281AF" w14:textId="77777777" w:rsidR="00536DDA" w:rsidRDefault="00000000">
            <w:pPr>
              <w:jc w:val="center"/>
            </w:pPr>
            <w:r>
              <w:rPr>
                <w:rFonts w:ascii="Times New Roman" w:hAnsi="Times New Roman"/>
                <w:sz w:val="16"/>
              </w:rPr>
              <w:t>3</w:t>
            </w:r>
          </w:p>
        </w:tc>
        <w:tc>
          <w:tcPr>
            <w:tcW w:w="2304" w:type="dxa"/>
            <w:shd w:val="clear" w:color="auto" w:fill="EBF0FA"/>
          </w:tcPr>
          <w:p w14:paraId="5E25F80E" w14:textId="77777777" w:rsidR="00536DDA" w:rsidRDefault="00000000">
            <w:pPr>
              <w:jc w:val="center"/>
            </w:pPr>
            <w:r>
              <w:rPr>
                <w:rFonts w:ascii="Times New Roman" w:hAnsi="Times New Roman"/>
                <w:sz w:val="16"/>
              </w:rPr>
              <w:t>Temporal Lags</w:t>
            </w:r>
          </w:p>
        </w:tc>
        <w:tc>
          <w:tcPr>
            <w:tcW w:w="1728" w:type="dxa"/>
            <w:shd w:val="clear" w:color="auto" w:fill="EBF0FA"/>
          </w:tcPr>
          <w:p w14:paraId="71AA16FC" w14:textId="77777777" w:rsidR="00536DDA" w:rsidRDefault="00000000">
            <w:pPr>
              <w:jc w:val="center"/>
            </w:pPr>
            <w:r>
              <w:rPr>
                <w:rFonts w:ascii="Times New Roman" w:hAnsi="Times New Roman"/>
                <w:sz w:val="16"/>
              </w:rPr>
              <w:t>6</w:t>
            </w:r>
          </w:p>
        </w:tc>
        <w:tc>
          <w:tcPr>
            <w:tcW w:w="2016" w:type="dxa"/>
            <w:shd w:val="clear" w:color="auto" w:fill="EBF0FA"/>
          </w:tcPr>
          <w:p w14:paraId="2540C2F3" w14:textId="77777777" w:rsidR="00536DDA" w:rsidRDefault="00000000">
            <w:pPr>
              <w:jc w:val="center"/>
            </w:pPr>
            <w:r>
              <w:rPr>
                <w:rFonts w:ascii="Times New Roman" w:hAnsi="Times New Roman"/>
                <w:sz w:val="16"/>
              </w:rPr>
              <w:t>0.798</w:t>
            </w:r>
          </w:p>
        </w:tc>
        <w:tc>
          <w:tcPr>
            <w:tcW w:w="1296" w:type="dxa"/>
            <w:shd w:val="clear" w:color="auto" w:fill="EBF0FA"/>
          </w:tcPr>
          <w:p w14:paraId="4083B26E" w14:textId="77777777" w:rsidR="00536DDA" w:rsidRDefault="00000000">
            <w:pPr>
              <w:jc w:val="center"/>
            </w:pPr>
            <w:r>
              <w:rPr>
                <w:rFonts w:ascii="Times New Roman" w:hAnsi="Times New Roman"/>
                <w:sz w:val="16"/>
              </w:rPr>
              <w:t>0.093</w:t>
            </w:r>
          </w:p>
        </w:tc>
        <w:tc>
          <w:tcPr>
            <w:tcW w:w="2304" w:type="dxa"/>
            <w:shd w:val="clear" w:color="auto" w:fill="EBF0FA"/>
          </w:tcPr>
          <w:p w14:paraId="1760EABF" w14:textId="77777777" w:rsidR="00536DDA" w:rsidRDefault="00000000">
            <w:pPr>
              <w:jc w:val="center"/>
            </w:pPr>
            <w:r>
              <w:rPr>
                <w:rFonts w:ascii="Times New Roman" w:hAnsi="Times New Roman"/>
                <w:sz w:val="16"/>
              </w:rPr>
              <w:t>High — Important</w:t>
            </w:r>
          </w:p>
        </w:tc>
      </w:tr>
      <w:tr w:rsidR="00536DDA" w14:paraId="7D2D5F3B" w14:textId="77777777">
        <w:trPr>
          <w:jc w:val="center"/>
        </w:trPr>
        <w:tc>
          <w:tcPr>
            <w:tcW w:w="720" w:type="dxa"/>
          </w:tcPr>
          <w:p w14:paraId="1D80828F" w14:textId="77777777" w:rsidR="00536DDA" w:rsidRDefault="00000000">
            <w:pPr>
              <w:jc w:val="center"/>
            </w:pPr>
            <w:r>
              <w:rPr>
                <w:rFonts w:ascii="Times New Roman" w:hAnsi="Times New Roman"/>
                <w:sz w:val="16"/>
              </w:rPr>
              <w:t>4</w:t>
            </w:r>
          </w:p>
        </w:tc>
        <w:tc>
          <w:tcPr>
            <w:tcW w:w="2304" w:type="dxa"/>
          </w:tcPr>
          <w:p w14:paraId="661D59A0" w14:textId="77777777" w:rsidR="00536DDA" w:rsidRDefault="00000000">
            <w:pPr>
              <w:jc w:val="center"/>
            </w:pPr>
            <w:r>
              <w:rPr>
                <w:rFonts w:ascii="Times New Roman" w:hAnsi="Times New Roman"/>
                <w:sz w:val="16"/>
              </w:rPr>
              <w:t>Housing Stock</w:t>
            </w:r>
          </w:p>
        </w:tc>
        <w:tc>
          <w:tcPr>
            <w:tcW w:w="1728" w:type="dxa"/>
          </w:tcPr>
          <w:p w14:paraId="0F043960" w14:textId="77777777" w:rsidR="00536DDA" w:rsidRDefault="00000000">
            <w:pPr>
              <w:jc w:val="center"/>
            </w:pPr>
            <w:r>
              <w:rPr>
                <w:rFonts w:ascii="Times New Roman" w:hAnsi="Times New Roman"/>
                <w:sz w:val="16"/>
              </w:rPr>
              <w:t>7</w:t>
            </w:r>
          </w:p>
        </w:tc>
        <w:tc>
          <w:tcPr>
            <w:tcW w:w="2016" w:type="dxa"/>
          </w:tcPr>
          <w:p w14:paraId="3019E115" w14:textId="77777777" w:rsidR="00536DDA" w:rsidRDefault="00000000">
            <w:pPr>
              <w:jc w:val="center"/>
            </w:pPr>
            <w:r>
              <w:rPr>
                <w:rFonts w:ascii="Times New Roman" w:hAnsi="Times New Roman"/>
                <w:sz w:val="16"/>
              </w:rPr>
              <w:t>0.831</w:t>
            </w:r>
          </w:p>
        </w:tc>
        <w:tc>
          <w:tcPr>
            <w:tcW w:w="1296" w:type="dxa"/>
          </w:tcPr>
          <w:p w14:paraId="6BDCA7DC" w14:textId="77777777" w:rsidR="00536DDA" w:rsidRDefault="00000000">
            <w:pPr>
              <w:jc w:val="center"/>
            </w:pPr>
            <w:r>
              <w:rPr>
                <w:rFonts w:ascii="Times New Roman" w:hAnsi="Times New Roman"/>
                <w:sz w:val="16"/>
              </w:rPr>
              <w:t>0.060</w:t>
            </w:r>
          </w:p>
        </w:tc>
        <w:tc>
          <w:tcPr>
            <w:tcW w:w="2304" w:type="dxa"/>
          </w:tcPr>
          <w:p w14:paraId="0B209CD5" w14:textId="77777777" w:rsidR="00536DDA" w:rsidRDefault="00000000">
            <w:pPr>
              <w:jc w:val="center"/>
            </w:pPr>
            <w:r>
              <w:rPr>
                <w:rFonts w:ascii="Times New Roman" w:hAnsi="Times New Roman"/>
                <w:sz w:val="16"/>
              </w:rPr>
              <w:t>Moderate — Useful</w:t>
            </w:r>
          </w:p>
        </w:tc>
      </w:tr>
      <w:tr w:rsidR="00536DDA" w14:paraId="59E8A187" w14:textId="77777777">
        <w:trPr>
          <w:jc w:val="center"/>
        </w:trPr>
        <w:tc>
          <w:tcPr>
            <w:tcW w:w="720" w:type="dxa"/>
            <w:shd w:val="clear" w:color="auto" w:fill="EBF0FA"/>
          </w:tcPr>
          <w:p w14:paraId="50AB620E" w14:textId="77777777" w:rsidR="00536DDA" w:rsidRDefault="00000000">
            <w:pPr>
              <w:jc w:val="center"/>
            </w:pPr>
            <w:r>
              <w:rPr>
                <w:rFonts w:ascii="Times New Roman" w:hAnsi="Times New Roman"/>
                <w:sz w:val="16"/>
              </w:rPr>
              <w:t>5</w:t>
            </w:r>
          </w:p>
        </w:tc>
        <w:tc>
          <w:tcPr>
            <w:tcW w:w="2304" w:type="dxa"/>
            <w:shd w:val="clear" w:color="auto" w:fill="EBF0FA"/>
          </w:tcPr>
          <w:p w14:paraId="59DD8415" w14:textId="77777777" w:rsidR="00536DDA" w:rsidRDefault="00000000">
            <w:pPr>
              <w:jc w:val="center"/>
            </w:pPr>
            <w:r>
              <w:rPr>
                <w:rFonts w:ascii="Times New Roman" w:hAnsi="Times New Roman"/>
                <w:sz w:val="16"/>
              </w:rPr>
              <w:t>Labor Market</w:t>
            </w:r>
          </w:p>
        </w:tc>
        <w:tc>
          <w:tcPr>
            <w:tcW w:w="1728" w:type="dxa"/>
            <w:shd w:val="clear" w:color="auto" w:fill="EBF0FA"/>
          </w:tcPr>
          <w:p w14:paraId="22210108" w14:textId="77777777" w:rsidR="00536DDA" w:rsidRDefault="00000000">
            <w:pPr>
              <w:jc w:val="center"/>
            </w:pPr>
            <w:r>
              <w:rPr>
                <w:rFonts w:ascii="Times New Roman" w:hAnsi="Times New Roman"/>
                <w:sz w:val="16"/>
              </w:rPr>
              <w:t>3</w:t>
            </w:r>
          </w:p>
        </w:tc>
        <w:tc>
          <w:tcPr>
            <w:tcW w:w="2016" w:type="dxa"/>
            <w:shd w:val="clear" w:color="auto" w:fill="EBF0FA"/>
          </w:tcPr>
          <w:p w14:paraId="67315CDB" w14:textId="77777777" w:rsidR="00536DDA" w:rsidRDefault="00000000">
            <w:pPr>
              <w:jc w:val="center"/>
            </w:pPr>
            <w:r>
              <w:rPr>
                <w:rFonts w:ascii="Times New Roman" w:hAnsi="Times New Roman"/>
                <w:sz w:val="16"/>
              </w:rPr>
              <w:t>0.852</w:t>
            </w:r>
          </w:p>
        </w:tc>
        <w:tc>
          <w:tcPr>
            <w:tcW w:w="1296" w:type="dxa"/>
            <w:shd w:val="clear" w:color="auto" w:fill="EBF0FA"/>
          </w:tcPr>
          <w:p w14:paraId="6BC42C4D" w14:textId="77777777" w:rsidR="00536DDA" w:rsidRDefault="00000000">
            <w:pPr>
              <w:jc w:val="center"/>
            </w:pPr>
            <w:r>
              <w:rPr>
                <w:rFonts w:ascii="Times New Roman" w:hAnsi="Times New Roman"/>
                <w:sz w:val="16"/>
              </w:rPr>
              <w:t>0.039</w:t>
            </w:r>
          </w:p>
        </w:tc>
        <w:tc>
          <w:tcPr>
            <w:tcW w:w="2304" w:type="dxa"/>
            <w:shd w:val="clear" w:color="auto" w:fill="EBF0FA"/>
          </w:tcPr>
          <w:p w14:paraId="5FE471A5" w14:textId="77777777" w:rsidR="00536DDA" w:rsidRDefault="00000000">
            <w:pPr>
              <w:jc w:val="center"/>
            </w:pPr>
            <w:r>
              <w:rPr>
                <w:rFonts w:ascii="Times New Roman" w:hAnsi="Times New Roman"/>
                <w:sz w:val="16"/>
              </w:rPr>
              <w:t>Low — Supplementary</w:t>
            </w:r>
          </w:p>
        </w:tc>
      </w:tr>
      <w:tr w:rsidR="00536DDA" w14:paraId="5E3FD70B" w14:textId="77777777">
        <w:trPr>
          <w:jc w:val="center"/>
        </w:trPr>
        <w:tc>
          <w:tcPr>
            <w:tcW w:w="720" w:type="dxa"/>
          </w:tcPr>
          <w:p w14:paraId="4C89A909" w14:textId="77777777" w:rsidR="00536DDA" w:rsidRDefault="00000000">
            <w:pPr>
              <w:jc w:val="center"/>
            </w:pPr>
            <w:r>
              <w:rPr>
                <w:rFonts w:ascii="Times New Roman" w:hAnsi="Times New Roman"/>
                <w:sz w:val="16"/>
              </w:rPr>
              <w:t>6</w:t>
            </w:r>
          </w:p>
        </w:tc>
        <w:tc>
          <w:tcPr>
            <w:tcW w:w="2304" w:type="dxa"/>
          </w:tcPr>
          <w:p w14:paraId="582694D0" w14:textId="77777777" w:rsidR="00536DDA" w:rsidRDefault="00000000">
            <w:pPr>
              <w:jc w:val="center"/>
            </w:pPr>
            <w:r>
              <w:rPr>
                <w:rFonts w:ascii="Times New Roman" w:hAnsi="Times New Roman"/>
                <w:sz w:val="16"/>
              </w:rPr>
              <w:t>Spatial Identifiers</w:t>
            </w:r>
          </w:p>
        </w:tc>
        <w:tc>
          <w:tcPr>
            <w:tcW w:w="1728" w:type="dxa"/>
          </w:tcPr>
          <w:p w14:paraId="5B27C188" w14:textId="77777777" w:rsidR="00536DDA" w:rsidRDefault="00000000">
            <w:pPr>
              <w:jc w:val="center"/>
            </w:pPr>
            <w:r>
              <w:rPr>
                <w:rFonts w:ascii="Times New Roman" w:hAnsi="Times New Roman"/>
                <w:sz w:val="16"/>
              </w:rPr>
              <w:t>3</w:t>
            </w:r>
          </w:p>
        </w:tc>
        <w:tc>
          <w:tcPr>
            <w:tcW w:w="2016" w:type="dxa"/>
          </w:tcPr>
          <w:p w14:paraId="1F3873AC" w14:textId="77777777" w:rsidR="00536DDA" w:rsidRDefault="00000000">
            <w:pPr>
              <w:jc w:val="center"/>
            </w:pPr>
            <w:r>
              <w:rPr>
                <w:rFonts w:ascii="Times New Roman" w:hAnsi="Times New Roman"/>
                <w:sz w:val="16"/>
              </w:rPr>
              <w:t>0.874</w:t>
            </w:r>
          </w:p>
        </w:tc>
        <w:tc>
          <w:tcPr>
            <w:tcW w:w="1296" w:type="dxa"/>
          </w:tcPr>
          <w:p w14:paraId="53BA4B39" w14:textId="77777777" w:rsidR="00536DDA" w:rsidRDefault="00000000">
            <w:pPr>
              <w:jc w:val="center"/>
            </w:pPr>
            <w:r>
              <w:rPr>
                <w:rFonts w:ascii="Times New Roman" w:hAnsi="Times New Roman"/>
                <w:sz w:val="16"/>
              </w:rPr>
              <w:t>0.017</w:t>
            </w:r>
          </w:p>
        </w:tc>
        <w:tc>
          <w:tcPr>
            <w:tcW w:w="2304" w:type="dxa"/>
          </w:tcPr>
          <w:p w14:paraId="2CE4BD53" w14:textId="77777777" w:rsidR="00536DDA" w:rsidRDefault="00000000">
            <w:pPr>
              <w:jc w:val="center"/>
            </w:pPr>
            <w:r>
              <w:rPr>
                <w:rFonts w:ascii="Times New Roman" w:hAnsi="Times New Roman"/>
                <w:sz w:val="16"/>
              </w:rPr>
              <w:t>Minimal — Marginal</w:t>
            </w:r>
          </w:p>
        </w:tc>
      </w:tr>
    </w:tbl>
    <w:p w14:paraId="52299C2F" w14:textId="77777777" w:rsidR="00536DDA" w:rsidRDefault="00536DDA">
      <w:pPr>
        <w:spacing w:after="40"/>
      </w:pPr>
    </w:p>
    <w:p w14:paraId="21599317" w14:textId="77777777" w:rsidR="00536DDA" w:rsidRDefault="00000000">
      <w:pPr>
        <w:spacing w:after="100"/>
        <w:ind w:firstLine="280"/>
        <w:jc w:val="both"/>
      </w:pPr>
      <w:r>
        <w:rPr>
          <w:rFonts w:ascii="Times New Roman" w:hAnsi="Times New Roman"/>
          <w:sz w:val="20"/>
        </w:rPr>
        <w:lastRenderedPageBreak/>
        <w:t>The rental market group (median gross rent, contract rent, rent burden at 30%, rent-to-income ratio, rent growth rate, and their one-year lags) produces the largest R² drop of 0.152 upon removal—reducing predictive accuracy by 17.1% relative to the full-feature model. This result provides quantitative evidence that supply-side rent dynamics are the primary determinant of severe rent burden at the neighborhood level, reinforcing the theoretical argument for supply-side housing policy interventions (upzoning, inclusionary zoning, affordable housing construction).</w:t>
      </w:r>
    </w:p>
    <w:p w14:paraId="046C8EEF" w14:textId="77777777" w:rsidR="00536DDA" w:rsidRDefault="00000000">
      <w:pPr>
        <w:spacing w:after="100"/>
        <w:ind w:firstLine="280"/>
        <w:jc w:val="both"/>
      </w:pPr>
      <w:r>
        <w:rPr>
          <w:rFonts w:ascii="Times New Roman" w:hAnsi="Times New Roman"/>
          <w:sz w:val="20"/>
        </w:rPr>
        <w:t>Income features contribute the second-largest ΔR²=0.122, confirming that the rent-income gap—not rent levels alone—drives severe burden. The substantial contribution of temporal lag features (ΔR²=0.093) validates the autoregressive design choice and confirms that housing cost stress is a highly persistent condition: prior-year neighborhood conditions remain powerful predictors even after controlling for contemporaneous economic variables. Spatial identifiers contribute minimally (ΔR²=0.017), indicating that the economic feature set largely subsumes borough-level and temporal fixed effects.</w:t>
      </w:r>
    </w:p>
    <w:p w14:paraId="53B4156E" w14:textId="77777777" w:rsidR="00536DDA" w:rsidRDefault="00000000">
      <w:pPr>
        <w:spacing w:before="200" w:after="100"/>
        <w:jc w:val="center"/>
      </w:pPr>
      <w:r>
        <w:rPr>
          <w:rFonts w:ascii="Times New Roman" w:hAnsi="Times New Roman"/>
          <w:b/>
          <w:sz w:val="20"/>
        </w:rPr>
        <w:t>IX. SPATIAL AUTOCORRELATION ANALYSIS — MORAN'S I</w:t>
      </w:r>
    </w:p>
    <w:p w14:paraId="3EA6F60D" w14:textId="77777777" w:rsidR="00536DDA" w:rsidRDefault="00000000">
      <w:pPr>
        <w:spacing w:after="100"/>
        <w:ind w:firstLine="280"/>
        <w:jc w:val="both"/>
      </w:pPr>
      <w:r>
        <w:rPr>
          <w:rFonts w:ascii="Times New Roman" w:hAnsi="Times New Roman"/>
          <w:sz w:val="20"/>
        </w:rPr>
        <w:t>Spatial autocorrelation in regression residuals is a critical diagnostic for model misspecification: if residuals are spatially clustered, omitted spatially correlated variables (amenity quality, transit access, gentrification spillovers) may be confounding predictions, and prediction uncertainty will be understated for geographically clustered NTAs.</w:t>
      </w:r>
    </w:p>
    <w:p w14:paraId="263A2971" w14:textId="77777777" w:rsidR="00536DDA" w:rsidRDefault="00000000">
      <w:pPr>
        <w:spacing w:after="100"/>
        <w:ind w:firstLine="280"/>
        <w:jc w:val="both"/>
      </w:pPr>
      <w:r>
        <w:rPr>
          <w:rFonts w:ascii="Times New Roman" w:hAnsi="Times New Roman"/>
          <w:sz w:val="20"/>
        </w:rPr>
        <w:t>We compute Moran's I on borough-aggregated XGBoost residuals (mean residual per borough) from the 2021–2022 test set. Moran's I is defined as: I = (n / W_sum) × (z'Wz / z'z), where z = (residuals − mean_residual) is the mean-centered residual vector, W is the row-normalized spatial weight matrix, and W_sum = Σᵢ Σⱼ wᵢⱼ. The contiguity weight matrix W is constructed based on physical borough adjacency (Bronx–Manhattan, Bronx–Queens, Brooklyn–Manhattan, Brooklyn–Queens, Manhattan–Queens), row-normalized so that each row sums to 1.0.</w:t>
      </w:r>
    </w:p>
    <w:p w14:paraId="205489ED" w14:textId="77777777" w:rsidR="00536DDA" w:rsidRDefault="00000000">
      <w:pPr>
        <w:spacing w:after="100"/>
        <w:ind w:firstLine="280"/>
        <w:jc w:val="both"/>
      </w:pPr>
      <w:r>
        <w:rPr>
          <w:rFonts w:ascii="Times New Roman" w:hAnsi="Times New Roman"/>
          <w:sz w:val="20"/>
        </w:rPr>
        <w:t>The test yields Moran's I=0.241 against an expected value under the null hypothesis of spatial randomness of E[I]=−1/(n−1)=−0.333. The positive deviation (I=0.241 &gt;&gt; E[I]=−0.333) indicates statistically significant positive spatial autocorrelation (p&lt;0.05), meaning that boroughs with above-average positive residuals (model under-predictions) tend to be adjacent to other under-predicted boroughs, and vice versa. This suggests the presence of spatially correlated omitted variables not fully captured by our current feature set—most likely neighborhood amenity gradients, transit investment patterns, or gentrification spillover dynamics that cross borough boundaries.</w:t>
      </w:r>
    </w:p>
    <w:p w14:paraId="663C1393" w14:textId="77777777" w:rsidR="00536DDA" w:rsidRDefault="00536DDA">
      <w:pPr>
        <w:spacing w:after="40"/>
      </w:pPr>
    </w:p>
    <w:p w14:paraId="29C7DD5F" w14:textId="77777777" w:rsidR="00536DDA" w:rsidRDefault="00000000">
      <w:pPr>
        <w:spacing w:before="140" w:after="40"/>
        <w:jc w:val="center"/>
      </w:pPr>
      <w:r>
        <w:rPr>
          <w:rFonts w:ascii="Times New Roman" w:hAnsi="Times New Roman"/>
          <w:b/>
          <w:sz w:val="18"/>
        </w:rPr>
        <w:t>TABLE VIII: MORAN'S I SPATIAL AUTOCORRELATION DIAGNOSTIC RESULTS</w:t>
      </w:r>
    </w:p>
    <w:tbl>
      <w:tblPr>
        <w:tblStyle w:val="TableGrid"/>
        <w:tblW w:w="0" w:type="auto"/>
        <w:jc w:val="center"/>
        <w:tblLook w:val="04A0" w:firstRow="1" w:lastRow="0" w:firstColumn="1" w:lastColumn="0" w:noHBand="0" w:noVBand="1"/>
      </w:tblPr>
      <w:tblGrid>
        <w:gridCol w:w="2839"/>
        <w:gridCol w:w="2560"/>
        <w:gridCol w:w="4671"/>
      </w:tblGrid>
      <w:tr w:rsidR="00536DDA" w14:paraId="61EFD93E" w14:textId="77777777">
        <w:trPr>
          <w:jc w:val="center"/>
        </w:trPr>
        <w:tc>
          <w:tcPr>
            <w:tcW w:w="2880" w:type="dxa"/>
            <w:shd w:val="clear" w:color="auto" w:fill="1A376C"/>
          </w:tcPr>
          <w:p w14:paraId="73845FB9" w14:textId="77777777" w:rsidR="00536DDA" w:rsidRDefault="00000000">
            <w:pPr>
              <w:jc w:val="center"/>
            </w:pPr>
            <w:r>
              <w:rPr>
                <w:rFonts w:ascii="Times New Roman" w:hAnsi="Times New Roman"/>
                <w:b/>
                <w:color w:val="FFFFFF"/>
                <w:sz w:val="16"/>
              </w:rPr>
              <w:t>Statistic</w:t>
            </w:r>
          </w:p>
        </w:tc>
        <w:tc>
          <w:tcPr>
            <w:tcW w:w="2592" w:type="dxa"/>
            <w:shd w:val="clear" w:color="auto" w:fill="1A376C"/>
          </w:tcPr>
          <w:p w14:paraId="385930B9" w14:textId="77777777" w:rsidR="00536DDA" w:rsidRDefault="00000000">
            <w:pPr>
              <w:jc w:val="center"/>
            </w:pPr>
            <w:r>
              <w:rPr>
                <w:rFonts w:ascii="Times New Roman" w:hAnsi="Times New Roman"/>
                <w:b/>
                <w:color w:val="FFFFFF"/>
                <w:sz w:val="16"/>
              </w:rPr>
              <w:t>Value</w:t>
            </w:r>
          </w:p>
        </w:tc>
        <w:tc>
          <w:tcPr>
            <w:tcW w:w="4752" w:type="dxa"/>
            <w:shd w:val="clear" w:color="auto" w:fill="1A376C"/>
          </w:tcPr>
          <w:p w14:paraId="50AEEE11" w14:textId="77777777" w:rsidR="00536DDA" w:rsidRDefault="00000000">
            <w:pPr>
              <w:jc w:val="center"/>
            </w:pPr>
            <w:r>
              <w:rPr>
                <w:rFonts w:ascii="Times New Roman" w:hAnsi="Times New Roman"/>
                <w:b/>
                <w:color w:val="FFFFFF"/>
                <w:sz w:val="16"/>
              </w:rPr>
              <w:t>Interpretation</w:t>
            </w:r>
          </w:p>
        </w:tc>
      </w:tr>
      <w:tr w:rsidR="00536DDA" w14:paraId="03ED6951" w14:textId="77777777">
        <w:trPr>
          <w:jc w:val="center"/>
        </w:trPr>
        <w:tc>
          <w:tcPr>
            <w:tcW w:w="2880" w:type="dxa"/>
            <w:shd w:val="clear" w:color="auto" w:fill="EBF0FA"/>
          </w:tcPr>
          <w:p w14:paraId="496DFBE9" w14:textId="77777777" w:rsidR="00536DDA" w:rsidRDefault="00000000">
            <w:pPr>
              <w:jc w:val="center"/>
            </w:pPr>
            <w:r>
              <w:rPr>
                <w:rFonts w:ascii="Times New Roman" w:hAnsi="Times New Roman"/>
                <w:sz w:val="16"/>
              </w:rPr>
              <w:t>Moran's I</w:t>
            </w:r>
          </w:p>
        </w:tc>
        <w:tc>
          <w:tcPr>
            <w:tcW w:w="2592" w:type="dxa"/>
            <w:shd w:val="clear" w:color="auto" w:fill="EBF0FA"/>
          </w:tcPr>
          <w:p w14:paraId="1B65F210" w14:textId="77777777" w:rsidR="00536DDA" w:rsidRDefault="00000000">
            <w:pPr>
              <w:jc w:val="center"/>
            </w:pPr>
            <w:r>
              <w:rPr>
                <w:rFonts w:ascii="Times New Roman" w:hAnsi="Times New Roman"/>
                <w:sz w:val="16"/>
              </w:rPr>
              <w:t>0.241</w:t>
            </w:r>
          </w:p>
        </w:tc>
        <w:tc>
          <w:tcPr>
            <w:tcW w:w="4752" w:type="dxa"/>
            <w:shd w:val="clear" w:color="auto" w:fill="EBF0FA"/>
          </w:tcPr>
          <w:p w14:paraId="3104102D" w14:textId="77777777" w:rsidR="00536DDA" w:rsidRDefault="00000000">
            <w:pPr>
              <w:jc w:val="center"/>
            </w:pPr>
            <w:r>
              <w:rPr>
                <w:rFonts w:ascii="Times New Roman" w:hAnsi="Times New Roman"/>
                <w:sz w:val="16"/>
              </w:rPr>
              <w:t>Positive spatial autocorrelation</w:t>
            </w:r>
          </w:p>
        </w:tc>
      </w:tr>
      <w:tr w:rsidR="00536DDA" w14:paraId="5B7E4C6B" w14:textId="77777777">
        <w:trPr>
          <w:jc w:val="center"/>
        </w:trPr>
        <w:tc>
          <w:tcPr>
            <w:tcW w:w="2880" w:type="dxa"/>
          </w:tcPr>
          <w:p w14:paraId="45EDE92B" w14:textId="77777777" w:rsidR="00536DDA" w:rsidRDefault="00000000">
            <w:pPr>
              <w:jc w:val="center"/>
            </w:pPr>
            <w:r>
              <w:rPr>
                <w:rFonts w:ascii="Times New Roman" w:hAnsi="Times New Roman"/>
                <w:sz w:val="16"/>
              </w:rPr>
              <w:t>Expected I (null)</w:t>
            </w:r>
          </w:p>
        </w:tc>
        <w:tc>
          <w:tcPr>
            <w:tcW w:w="2592" w:type="dxa"/>
          </w:tcPr>
          <w:p w14:paraId="5316FEEC" w14:textId="77777777" w:rsidR="00536DDA" w:rsidRDefault="00000000">
            <w:pPr>
              <w:jc w:val="center"/>
            </w:pPr>
            <w:r>
              <w:rPr>
                <w:rFonts w:ascii="Times New Roman" w:hAnsi="Times New Roman"/>
                <w:sz w:val="16"/>
              </w:rPr>
              <w:t>−0.333</w:t>
            </w:r>
          </w:p>
        </w:tc>
        <w:tc>
          <w:tcPr>
            <w:tcW w:w="4752" w:type="dxa"/>
          </w:tcPr>
          <w:p w14:paraId="343E7795" w14:textId="77777777" w:rsidR="00536DDA" w:rsidRDefault="00000000">
            <w:pPr>
              <w:jc w:val="center"/>
            </w:pPr>
            <w:r>
              <w:rPr>
                <w:rFonts w:ascii="Times New Roman" w:hAnsi="Times New Roman"/>
                <w:sz w:val="16"/>
              </w:rPr>
              <w:t>Expected under spatial randomness (n=4)</w:t>
            </w:r>
          </w:p>
        </w:tc>
      </w:tr>
      <w:tr w:rsidR="00536DDA" w14:paraId="2C634195" w14:textId="77777777">
        <w:trPr>
          <w:jc w:val="center"/>
        </w:trPr>
        <w:tc>
          <w:tcPr>
            <w:tcW w:w="2880" w:type="dxa"/>
            <w:shd w:val="clear" w:color="auto" w:fill="EBF0FA"/>
          </w:tcPr>
          <w:p w14:paraId="1746950B" w14:textId="77777777" w:rsidR="00536DDA" w:rsidRDefault="00000000">
            <w:pPr>
              <w:jc w:val="center"/>
            </w:pPr>
            <w:r>
              <w:rPr>
                <w:rFonts w:ascii="Times New Roman" w:hAnsi="Times New Roman"/>
                <w:sz w:val="16"/>
              </w:rPr>
              <w:t>Observed − Expected</w:t>
            </w:r>
          </w:p>
        </w:tc>
        <w:tc>
          <w:tcPr>
            <w:tcW w:w="2592" w:type="dxa"/>
            <w:shd w:val="clear" w:color="auto" w:fill="EBF0FA"/>
          </w:tcPr>
          <w:p w14:paraId="09D07741" w14:textId="77777777" w:rsidR="00536DDA" w:rsidRDefault="00000000">
            <w:pPr>
              <w:jc w:val="center"/>
            </w:pPr>
            <w:r>
              <w:rPr>
                <w:rFonts w:ascii="Times New Roman" w:hAnsi="Times New Roman"/>
                <w:sz w:val="16"/>
              </w:rPr>
              <w:t>+0.574</w:t>
            </w:r>
          </w:p>
        </w:tc>
        <w:tc>
          <w:tcPr>
            <w:tcW w:w="4752" w:type="dxa"/>
            <w:shd w:val="clear" w:color="auto" w:fill="EBF0FA"/>
          </w:tcPr>
          <w:p w14:paraId="1D7BAB31" w14:textId="77777777" w:rsidR="00536DDA" w:rsidRDefault="00000000">
            <w:pPr>
              <w:jc w:val="center"/>
            </w:pPr>
            <w:r>
              <w:rPr>
                <w:rFonts w:ascii="Times New Roman" w:hAnsi="Times New Roman"/>
                <w:sz w:val="16"/>
              </w:rPr>
              <w:t>Substantial positive deviation</w:t>
            </w:r>
          </w:p>
        </w:tc>
      </w:tr>
      <w:tr w:rsidR="00536DDA" w14:paraId="6512076B" w14:textId="77777777">
        <w:trPr>
          <w:jc w:val="center"/>
        </w:trPr>
        <w:tc>
          <w:tcPr>
            <w:tcW w:w="2880" w:type="dxa"/>
          </w:tcPr>
          <w:p w14:paraId="76D7AF3E" w14:textId="77777777" w:rsidR="00536DDA" w:rsidRDefault="00000000">
            <w:pPr>
              <w:jc w:val="center"/>
            </w:pPr>
            <w:r>
              <w:rPr>
                <w:rFonts w:ascii="Times New Roman" w:hAnsi="Times New Roman"/>
                <w:sz w:val="16"/>
              </w:rPr>
              <w:t>p-value (permutation test)</w:t>
            </w:r>
          </w:p>
        </w:tc>
        <w:tc>
          <w:tcPr>
            <w:tcW w:w="2592" w:type="dxa"/>
          </w:tcPr>
          <w:p w14:paraId="4B6ACD9E" w14:textId="77777777" w:rsidR="00536DDA" w:rsidRDefault="00000000">
            <w:pPr>
              <w:jc w:val="center"/>
            </w:pPr>
            <w:r>
              <w:rPr>
                <w:rFonts w:ascii="Times New Roman" w:hAnsi="Times New Roman"/>
                <w:sz w:val="16"/>
              </w:rPr>
              <w:t>&lt; 0.05</w:t>
            </w:r>
          </w:p>
        </w:tc>
        <w:tc>
          <w:tcPr>
            <w:tcW w:w="4752" w:type="dxa"/>
          </w:tcPr>
          <w:p w14:paraId="5B5EF60C" w14:textId="77777777" w:rsidR="00536DDA" w:rsidRDefault="00000000">
            <w:pPr>
              <w:jc w:val="center"/>
            </w:pPr>
            <w:r>
              <w:rPr>
                <w:rFonts w:ascii="Times New Roman" w:hAnsi="Times New Roman"/>
                <w:sz w:val="16"/>
              </w:rPr>
              <w:t>Statistically significant at 5% level</w:t>
            </w:r>
          </w:p>
        </w:tc>
      </w:tr>
      <w:tr w:rsidR="00536DDA" w14:paraId="689E6E33" w14:textId="77777777">
        <w:trPr>
          <w:jc w:val="center"/>
        </w:trPr>
        <w:tc>
          <w:tcPr>
            <w:tcW w:w="2880" w:type="dxa"/>
            <w:shd w:val="clear" w:color="auto" w:fill="EBF0FA"/>
          </w:tcPr>
          <w:p w14:paraId="7FB384A2" w14:textId="77777777" w:rsidR="00536DDA" w:rsidRDefault="00000000">
            <w:pPr>
              <w:jc w:val="center"/>
            </w:pPr>
            <w:r>
              <w:rPr>
                <w:rFonts w:ascii="Times New Roman" w:hAnsi="Times New Roman"/>
                <w:sz w:val="16"/>
              </w:rPr>
              <w:t>Spatial units</w:t>
            </w:r>
          </w:p>
        </w:tc>
        <w:tc>
          <w:tcPr>
            <w:tcW w:w="2592" w:type="dxa"/>
            <w:shd w:val="clear" w:color="auto" w:fill="EBF0FA"/>
          </w:tcPr>
          <w:p w14:paraId="24F44938" w14:textId="77777777" w:rsidR="00536DDA" w:rsidRDefault="00000000">
            <w:pPr>
              <w:jc w:val="center"/>
            </w:pPr>
            <w:r>
              <w:rPr>
                <w:rFonts w:ascii="Times New Roman" w:hAnsi="Times New Roman"/>
                <w:sz w:val="16"/>
              </w:rPr>
              <w:t>4 boroughs</w:t>
            </w:r>
          </w:p>
        </w:tc>
        <w:tc>
          <w:tcPr>
            <w:tcW w:w="4752" w:type="dxa"/>
            <w:shd w:val="clear" w:color="auto" w:fill="EBF0FA"/>
          </w:tcPr>
          <w:p w14:paraId="4AA9A151" w14:textId="77777777" w:rsidR="00536DDA" w:rsidRDefault="00000000">
            <w:pPr>
              <w:jc w:val="center"/>
            </w:pPr>
            <w:r>
              <w:rPr>
                <w:rFonts w:ascii="Times New Roman" w:hAnsi="Times New Roman"/>
                <w:sz w:val="16"/>
              </w:rPr>
              <w:t>Bronx, Brooklyn, Manhattan, Queens</w:t>
            </w:r>
          </w:p>
        </w:tc>
      </w:tr>
      <w:tr w:rsidR="00536DDA" w14:paraId="6C4009CE" w14:textId="77777777">
        <w:trPr>
          <w:jc w:val="center"/>
        </w:trPr>
        <w:tc>
          <w:tcPr>
            <w:tcW w:w="2880" w:type="dxa"/>
          </w:tcPr>
          <w:p w14:paraId="20F68933" w14:textId="77777777" w:rsidR="00536DDA" w:rsidRDefault="00000000">
            <w:pPr>
              <w:jc w:val="center"/>
            </w:pPr>
            <w:r>
              <w:rPr>
                <w:rFonts w:ascii="Times New Roman" w:hAnsi="Times New Roman"/>
                <w:sz w:val="16"/>
              </w:rPr>
              <w:t>Weight matrix type</w:t>
            </w:r>
          </w:p>
        </w:tc>
        <w:tc>
          <w:tcPr>
            <w:tcW w:w="2592" w:type="dxa"/>
          </w:tcPr>
          <w:p w14:paraId="2CFA27DF" w14:textId="77777777" w:rsidR="00536DDA" w:rsidRDefault="00000000">
            <w:pPr>
              <w:jc w:val="center"/>
            </w:pPr>
            <w:r>
              <w:rPr>
                <w:rFonts w:ascii="Times New Roman" w:hAnsi="Times New Roman"/>
                <w:sz w:val="16"/>
              </w:rPr>
              <w:t>Contiguity, row-normalized</w:t>
            </w:r>
          </w:p>
        </w:tc>
        <w:tc>
          <w:tcPr>
            <w:tcW w:w="4752" w:type="dxa"/>
          </w:tcPr>
          <w:p w14:paraId="13D84E49" w14:textId="77777777" w:rsidR="00536DDA" w:rsidRDefault="00000000">
            <w:pPr>
              <w:jc w:val="center"/>
            </w:pPr>
            <w:r>
              <w:rPr>
                <w:rFonts w:ascii="Times New Roman" w:hAnsi="Times New Roman"/>
                <w:sz w:val="16"/>
              </w:rPr>
              <w:t>Based on physical adjacency</w:t>
            </w:r>
          </w:p>
        </w:tc>
      </w:tr>
      <w:tr w:rsidR="00536DDA" w14:paraId="4A5FCD93" w14:textId="77777777">
        <w:trPr>
          <w:jc w:val="center"/>
        </w:trPr>
        <w:tc>
          <w:tcPr>
            <w:tcW w:w="2880" w:type="dxa"/>
            <w:shd w:val="clear" w:color="auto" w:fill="EBF0FA"/>
          </w:tcPr>
          <w:p w14:paraId="6FC50205" w14:textId="77777777" w:rsidR="00536DDA" w:rsidRDefault="00000000">
            <w:pPr>
              <w:jc w:val="center"/>
            </w:pPr>
            <w:r>
              <w:rPr>
                <w:rFonts w:ascii="Times New Roman" w:hAnsi="Times New Roman"/>
                <w:sz w:val="16"/>
              </w:rPr>
              <w:t>Residual pattern</w:t>
            </w:r>
          </w:p>
        </w:tc>
        <w:tc>
          <w:tcPr>
            <w:tcW w:w="2592" w:type="dxa"/>
            <w:shd w:val="clear" w:color="auto" w:fill="EBF0FA"/>
          </w:tcPr>
          <w:p w14:paraId="73EB6017" w14:textId="77777777" w:rsidR="00536DDA" w:rsidRDefault="00000000">
            <w:pPr>
              <w:jc w:val="center"/>
            </w:pPr>
            <w:r>
              <w:rPr>
                <w:rFonts w:ascii="Times New Roman" w:hAnsi="Times New Roman"/>
                <w:sz w:val="16"/>
              </w:rPr>
              <w:t>Bronx/Queens: under-predicted; Manhattan: over-predicted</w:t>
            </w:r>
          </w:p>
        </w:tc>
        <w:tc>
          <w:tcPr>
            <w:tcW w:w="4752" w:type="dxa"/>
            <w:shd w:val="clear" w:color="auto" w:fill="EBF0FA"/>
          </w:tcPr>
          <w:p w14:paraId="27D25050" w14:textId="77777777" w:rsidR="00536DDA" w:rsidRDefault="00000000">
            <w:pPr>
              <w:jc w:val="center"/>
            </w:pPr>
            <w:r>
              <w:rPr>
                <w:rFonts w:ascii="Times New Roman" w:hAnsi="Times New Roman"/>
                <w:sz w:val="16"/>
              </w:rPr>
              <w:t>Indicates spatially varying model bias</w:t>
            </w:r>
          </w:p>
        </w:tc>
      </w:tr>
    </w:tbl>
    <w:p w14:paraId="585E694D" w14:textId="77777777" w:rsidR="00536DDA" w:rsidRDefault="00536DDA">
      <w:pPr>
        <w:spacing w:after="40"/>
      </w:pPr>
    </w:p>
    <w:p w14:paraId="38FA9434" w14:textId="77777777" w:rsidR="00536DDA" w:rsidRDefault="00000000">
      <w:pPr>
        <w:spacing w:after="100"/>
        <w:ind w:firstLine="280"/>
        <w:jc w:val="both"/>
      </w:pPr>
      <w:r>
        <w:rPr>
          <w:rFonts w:ascii="Times New Roman" w:hAnsi="Times New Roman"/>
          <w:sz w:val="20"/>
        </w:rPr>
        <w:t>The Moran's I finding has two practical implications. First, the current model systematically under-predicts severe rent burden in the Bronx and Queens, and over-predicts in Manhattan, suggesting that borough-specific calibration (or separate borough-level models) could improve forecast accuracy for policy planning purposes. Second, future model development should incorporate spatially explicit features—such as distance to the nearest subway station, park access indices, or school quality ratings—or adopt spatially-explicit model architectures such as Geographically Weighted Regression or spatial lag XGBoost.</w:t>
      </w:r>
    </w:p>
    <w:p w14:paraId="00145195" w14:textId="77777777" w:rsidR="00536DDA" w:rsidRDefault="00000000">
      <w:pPr>
        <w:spacing w:before="200" w:after="100"/>
        <w:jc w:val="center"/>
      </w:pPr>
      <w:r>
        <w:rPr>
          <w:rFonts w:ascii="Times New Roman" w:hAnsi="Times New Roman"/>
          <w:b/>
          <w:sz w:val="20"/>
        </w:rPr>
        <w:t>X. BOROUGH-LEVEL FORECASTING (2023–2025)</w:t>
      </w:r>
    </w:p>
    <w:p w14:paraId="268A6792" w14:textId="77777777" w:rsidR="00536DDA" w:rsidRDefault="00000000">
      <w:pPr>
        <w:spacing w:before="140" w:after="60"/>
      </w:pPr>
      <w:r>
        <w:rPr>
          <w:rFonts w:ascii="Times New Roman" w:hAnsi="Times New Roman"/>
          <w:b/>
          <w:i/>
          <w:sz w:val="20"/>
        </w:rPr>
        <w:t>A. Forecast Methodology</w:t>
      </w:r>
    </w:p>
    <w:p w14:paraId="26B4067D" w14:textId="77777777" w:rsidR="00536DDA" w:rsidRDefault="00000000">
      <w:pPr>
        <w:spacing w:after="100"/>
        <w:ind w:firstLine="280"/>
        <w:jc w:val="both"/>
      </w:pPr>
      <w:r>
        <w:rPr>
          <w:rFonts w:ascii="Times New Roman" w:hAnsi="Times New Roman"/>
          <w:sz w:val="20"/>
        </w:rPr>
        <w:lastRenderedPageBreak/>
        <w:t>We generate iterative three-year forecasts (2023, 2024, 2025) at the borough level using the trained XGBoost model. Starting from NTA-level 2022 medians stratified by borough, we construct synthetic future feature vectors by applying annual growth adjustments calibrated to recent NYC market trends: (1) median household income: +2.5% per year, reflecting BLS Employment Cost Index projections for the New York metro area; (2) renter median income: +2.0% per year, reflecting slower wage growth for renter-income quartiles relative to overall household income; (3) median gross rent: +3.0% per year, consistent with post-pandemic rent appreciation observed in ZORI data for NYC ZIP codes (2021–2023); (4) unemployment rate: held constant at 2022 levels (no recession scenario assumed). Temporal lag features are updated iteratively at each forecast step using the predicted feature values from the prior year. The forecasts represent a baseline (no-policy-change) scenario.</w:t>
      </w:r>
    </w:p>
    <w:p w14:paraId="63699E3C" w14:textId="77777777" w:rsidR="00536DDA" w:rsidRDefault="00000000">
      <w:pPr>
        <w:spacing w:before="140" w:after="60"/>
      </w:pPr>
      <w:r>
        <w:rPr>
          <w:rFonts w:ascii="Times New Roman" w:hAnsi="Times New Roman"/>
          <w:b/>
          <w:i/>
          <w:sz w:val="20"/>
        </w:rPr>
        <w:t>B. Forecast Results and Policy Implications</w:t>
      </w:r>
    </w:p>
    <w:p w14:paraId="65E83FCF" w14:textId="77777777" w:rsidR="00536DDA" w:rsidRDefault="00000000">
      <w:pPr>
        <w:spacing w:after="100"/>
        <w:ind w:firstLine="280"/>
        <w:jc w:val="both"/>
      </w:pPr>
      <w:r>
        <w:rPr>
          <w:rFonts w:ascii="Times New Roman" w:hAnsi="Times New Roman"/>
          <w:sz w:val="20"/>
        </w:rPr>
        <w:t>Table IX presents projected severe rent burden by borough under the baseline growth assumptions. The Bronx is projected to experience the largest absolute increase in severe burden (27.4% → 29.1%, +6.2%), driven by the highest rent-to-income growth differential among the four boroughs. Brooklyn follows closely (26.1% → 27.6%, +5.7%). Queens, despite lower baseline burden than the Bronx, shows the highest relative rate of increase (+6.7%), driven by accelerating rent growth in neighborhoods such as Astoria, Jackson Heights, and Woodside. Manhattan shows the most moderate deterioration (19.6% → 20.4%, +4.1%) due to its substantially higher baseline household incomes.</w:t>
      </w:r>
    </w:p>
    <w:p w14:paraId="19E4C424" w14:textId="77777777" w:rsidR="00536DDA" w:rsidRDefault="00536DDA">
      <w:pPr>
        <w:spacing w:after="40"/>
      </w:pPr>
    </w:p>
    <w:p w14:paraId="784547AE" w14:textId="77777777" w:rsidR="00536DDA" w:rsidRDefault="00000000">
      <w:pPr>
        <w:spacing w:before="140" w:after="40"/>
        <w:jc w:val="center"/>
      </w:pPr>
      <w:r>
        <w:rPr>
          <w:rFonts w:ascii="Times New Roman" w:hAnsi="Times New Roman"/>
          <w:b/>
          <w:sz w:val="18"/>
        </w:rPr>
        <w:t>TABLE IX: PROJECTED SEVERE RENT BURDEN BY BOROUGH — BASELINE SCENARIO (2023–2025)</w:t>
      </w:r>
    </w:p>
    <w:tbl>
      <w:tblPr>
        <w:tblStyle w:val="TableGrid"/>
        <w:tblW w:w="0" w:type="auto"/>
        <w:jc w:val="center"/>
        <w:tblLook w:val="04A0" w:firstRow="1" w:lastRow="0" w:firstColumn="1" w:lastColumn="0" w:noHBand="0" w:noVBand="1"/>
      </w:tblPr>
      <w:tblGrid>
        <w:gridCol w:w="1358"/>
        <w:gridCol w:w="1272"/>
        <w:gridCol w:w="1413"/>
        <w:gridCol w:w="1413"/>
        <w:gridCol w:w="1413"/>
        <w:gridCol w:w="1083"/>
        <w:gridCol w:w="994"/>
        <w:gridCol w:w="1124"/>
      </w:tblGrid>
      <w:tr w:rsidR="00536DDA" w14:paraId="1043C809" w14:textId="77777777">
        <w:trPr>
          <w:jc w:val="center"/>
        </w:trPr>
        <w:tc>
          <w:tcPr>
            <w:tcW w:w="1512" w:type="dxa"/>
            <w:shd w:val="clear" w:color="auto" w:fill="1A376C"/>
          </w:tcPr>
          <w:p w14:paraId="14DBDDAB" w14:textId="77777777" w:rsidR="00536DDA" w:rsidRDefault="00000000">
            <w:pPr>
              <w:jc w:val="center"/>
            </w:pPr>
            <w:r>
              <w:rPr>
                <w:rFonts w:ascii="Times New Roman" w:hAnsi="Times New Roman"/>
                <w:b/>
                <w:color w:val="FFFFFF"/>
                <w:sz w:val="16"/>
              </w:rPr>
              <w:t>Borough</w:t>
            </w:r>
          </w:p>
        </w:tc>
        <w:tc>
          <w:tcPr>
            <w:tcW w:w="1440" w:type="dxa"/>
            <w:shd w:val="clear" w:color="auto" w:fill="1A376C"/>
          </w:tcPr>
          <w:p w14:paraId="51D39B8C" w14:textId="77777777" w:rsidR="00536DDA" w:rsidRDefault="00000000">
            <w:pPr>
              <w:jc w:val="center"/>
            </w:pPr>
            <w:r>
              <w:rPr>
                <w:rFonts w:ascii="Times New Roman" w:hAnsi="Times New Roman"/>
                <w:b/>
                <w:color w:val="FFFFFF"/>
                <w:sz w:val="16"/>
              </w:rPr>
              <w:t>2022 (Actual)</w:t>
            </w:r>
          </w:p>
        </w:tc>
        <w:tc>
          <w:tcPr>
            <w:tcW w:w="1584" w:type="dxa"/>
            <w:shd w:val="clear" w:color="auto" w:fill="1A376C"/>
          </w:tcPr>
          <w:p w14:paraId="3E032D11" w14:textId="77777777" w:rsidR="00536DDA" w:rsidRDefault="00000000">
            <w:pPr>
              <w:jc w:val="center"/>
            </w:pPr>
            <w:r>
              <w:rPr>
                <w:rFonts w:ascii="Times New Roman" w:hAnsi="Times New Roman"/>
                <w:b/>
                <w:color w:val="FFFFFF"/>
                <w:sz w:val="16"/>
              </w:rPr>
              <w:t>2023 (Forecast)</w:t>
            </w:r>
          </w:p>
        </w:tc>
        <w:tc>
          <w:tcPr>
            <w:tcW w:w="1584" w:type="dxa"/>
            <w:shd w:val="clear" w:color="auto" w:fill="1A376C"/>
          </w:tcPr>
          <w:p w14:paraId="1AE4AB89" w14:textId="77777777" w:rsidR="00536DDA" w:rsidRDefault="00000000">
            <w:pPr>
              <w:jc w:val="center"/>
            </w:pPr>
            <w:r>
              <w:rPr>
                <w:rFonts w:ascii="Times New Roman" w:hAnsi="Times New Roman"/>
                <w:b/>
                <w:color w:val="FFFFFF"/>
                <w:sz w:val="16"/>
              </w:rPr>
              <w:t>2024 (Forecast)</w:t>
            </w:r>
          </w:p>
        </w:tc>
        <w:tc>
          <w:tcPr>
            <w:tcW w:w="1584" w:type="dxa"/>
            <w:shd w:val="clear" w:color="auto" w:fill="1A376C"/>
          </w:tcPr>
          <w:p w14:paraId="51956FC0" w14:textId="77777777" w:rsidR="00536DDA" w:rsidRDefault="00000000">
            <w:pPr>
              <w:jc w:val="center"/>
            </w:pPr>
            <w:r>
              <w:rPr>
                <w:rFonts w:ascii="Times New Roman" w:hAnsi="Times New Roman"/>
                <w:b/>
                <w:color w:val="FFFFFF"/>
                <w:sz w:val="16"/>
              </w:rPr>
              <w:t>2025 (Forecast)</w:t>
            </w:r>
          </w:p>
        </w:tc>
        <w:tc>
          <w:tcPr>
            <w:tcW w:w="1224" w:type="dxa"/>
            <w:shd w:val="clear" w:color="auto" w:fill="1A376C"/>
          </w:tcPr>
          <w:p w14:paraId="6CECEF71" w14:textId="77777777" w:rsidR="00536DDA" w:rsidRDefault="00000000">
            <w:pPr>
              <w:jc w:val="center"/>
            </w:pPr>
            <w:r>
              <w:rPr>
                <w:rFonts w:ascii="Times New Roman" w:hAnsi="Times New Roman"/>
                <w:b/>
                <w:color w:val="FFFFFF"/>
                <w:sz w:val="16"/>
              </w:rPr>
              <w:t>Δ 2022–2025</w:t>
            </w:r>
          </w:p>
        </w:tc>
        <w:tc>
          <w:tcPr>
            <w:tcW w:w="1080" w:type="dxa"/>
            <w:shd w:val="clear" w:color="auto" w:fill="1A376C"/>
          </w:tcPr>
          <w:p w14:paraId="58AAA1F5" w14:textId="77777777" w:rsidR="00536DDA" w:rsidRDefault="00000000">
            <w:pPr>
              <w:jc w:val="center"/>
            </w:pPr>
            <w:r>
              <w:rPr>
                <w:rFonts w:ascii="Times New Roman" w:hAnsi="Times New Roman"/>
                <w:b/>
                <w:color w:val="FFFFFF"/>
                <w:sz w:val="16"/>
              </w:rPr>
              <w:t>% Change</w:t>
            </w:r>
          </w:p>
        </w:tc>
        <w:tc>
          <w:tcPr>
            <w:tcW w:w="1224" w:type="dxa"/>
            <w:shd w:val="clear" w:color="auto" w:fill="1A376C"/>
          </w:tcPr>
          <w:p w14:paraId="25142107" w14:textId="77777777" w:rsidR="00536DDA" w:rsidRDefault="00000000">
            <w:pPr>
              <w:jc w:val="center"/>
            </w:pPr>
            <w:r>
              <w:rPr>
                <w:rFonts w:ascii="Times New Roman" w:hAnsi="Times New Roman"/>
                <w:b/>
                <w:color w:val="FFFFFF"/>
                <w:sz w:val="16"/>
              </w:rPr>
              <w:t>Priority Level</w:t>
            </w:r>
          </w:p>
        </w:tc>
      </w:tr>
      <w:tr w:rsidR="00536DDA" w14:paraId="6E9A0200" w14:textId="77777777">
        <w:trPr>
          <w:jc w:val="center"/>
        </w:trPr>
        <w:tc>
          <w:tcPr>
            <w:tcW w:w="1512" w:type="dxa"/>
            <w:shd w:val="clear" w:color="auto" w:fill="EBF0FA"/>
          </w:tcPr>
          <w:p w14:paraId="135DC77B" w14:textId="77777777" w:rsidR="00536DDA" w:rsidRDefault="00000000">
            <w:pPr>
              <w:jc w:val="center"/>
            </w:pPr>
            <w:r>
              <w:rPr>
                <w:rFonts w:ascii="Times New Roman" w:hAnsi="Times New Roman"/>
                <w:sz w:val="16"/>
              </w:rPr>
              <w:t>Bronx</w:t>
            </w:r>
          </w:p>
        </w:tc>
        <w:tc>
          <w:tcPr>
            <w:tcW w:w="1440" w:type="dxa"/>
            <w:shd w:val="clear" w:color="auto" w:fill="EBF0FA"/>
          </w:tcPr>
          <w:p w14:paraId="0FBA74BB" w14:textId="77777777" w:rsidR="00536DDA" w:rsidRDefault="00000000">
            <w:pPr>
              <w:jc w:val="center"/>
            </w:pPr>
            <w:r>
              <w:rPr>
                <w:rFonts w:ascii="Times New Roman" w:hAnsi="Times New Roman"/>
                <w:sz w:val="16"/>
              </w:rPr>
              <w:t>0.274</w:t>
            </w:r>
          </w:p>
        </w:tc>
        <w:tc>
          <w:tcPr>
            <w:tcW w:w="1584" w:type="dxa"/>
            <w:shd w:val="clear" w:color="auto" w:fill="EBF0FA"/>
          </w:tcPr>
          <w:p w14:paraId="7F1CE280" w14:textId="77777777" w:rsidR="00536DDA" w:rsidRDefault="00000000">
            <w:pPr>
              <w:jc w:val="center"/>
            </w:pPr>
            <w:r>
              <w:rPr>
                <w:rFonts w:ascii="Times New Roman" w:hAnsi="Times New Roman"/>
                <w:sz w:val="16"/>
              </w:rPr>
              <w:t>0.281</w:t>
            </w:r>
          </w:p>
        </w:tc>
        <w:tc>
          <w:tcPr>
            <w:tcW w:w="1584" w:type="dxa"/>
            <w:shd w:val="clear" w:color="auto" w:fill="EBF0FA"/>
          </w:tcPr>
          <w:p w14:paraId="122A4E06" w14:textId="77777777" w:rsidR="00536DDA" w:rsidRDefault="00000000">
            <w:pPr>
              <w:jc w:val="center"/>
            </w:pPr>
            <w:r>
              <w:rPr>
                <w:rFonts w:ascii="Times New Roman" w:hAnsi="Times New Roman"/>
                <w:sz w:val="16"/>
              </w:rPr>
              <w:t>0.286</w:t>
            </w:r>
          </w:p>
        </w:tc>
        <w:tc>
          <w:tcPr>
            <w:tcW w:w="1584" w:type="dxa"/>
            <w:shd w:val="clear" w:color="auto" w:fill="EBF0FA"/>
          </w:tcPr>
          <w:p w14:paraId="7C0009E1" w14:textId="77777777" w:rsidR="00536DDA" w:rsidRDefault="00000000">
            <w:pPr>
              <w:jc w:val="center"/>
            </w:pPr>
            <w:r>
              <w:rPr>
                <w:rFonts w:ascii="Times New Roman" w:hAnsi="Times New Roman"/>
                <w:sz w:val="16"/>
              </w:rPr>
              <w:t>0.291</w:t>
            </w:r>
          </w:p>
        </w:tc>
        <w:tc>
          <w:tcPr>
            <w:tcW w:w="1224" w:type="dxa"/>
            <w:shd w:val="clear" w:color="auto" w:fill="EBF0FA"/>
          </w:tcPr>
          <w:p w14:paraId="2887E471" w14:textId="77777777" w:rsidR="00536DDA" w:rsidRDefault="00000000">
            <w:pPr>
              <w:jc w:val="center"/>
            </w:pPr>
            <w:r>
              <w:rPr>
                <w:rFonts w:ascii="Times New Roman" w:hAnsi="Times New Roman"/>
                <w:sz w:val="16"/>
              </w:rPr>
              <w:t>+0.017</w:t>
            </w:r>
          </w:p>
        </w:tc>
        <w:tc>
          <w:tcPr>
            <w:tcW w:w="1080" w:type="dxa"/>
            <w:shd w:val="clear" w:color="auto" w:fill="EBF0FA"/>
          </w:tcPr>
          <w:p w14:paraId="00538584" w14:textId="77777777" w:rsidR="00536DDA" w:rsidRDefault="00000000">
            <w:pPr>
              <w:jc w:val="center"/>
            </w:pPr>
            <w:r>
              <w:rPr>
                <w:rFonts w:ascii="Times New Roman" w:hAnsi="Times New Roman"/>
                <w:sz w:val="16"/>
              </w:rPr>
              <w:t>+6.2%</w:t>
            </w:r>
          </w:p>
        </w:tc>
        <w:tc>
          <w:tcPr>
            <w:tcW w:w="1224" w:type="dxa"/>
            <w:shd w:val="clear" w:color="auto" w:fill="EBF0FA"/>
          </w:tcPr>
          <w:p w14:paraId="1F35D0DA" w14:textId="77777777" w:rsidR="00536DDA" w:rsidRDefault="00000000">
            <w:pPr>
              <w:jc w:val="center"/>
            </w:pPr>
            <w:r>
              <w:rPr>
                <w:rFonts w:ascii="Times New Roman" w:hAnsi="Times New Roman"/>
                <w:sz w:val="16"/>
              </w:rPr>
              <w:t>Critical</w:t>
            </w:r>
          </w:p>
        </w:tc>
      </w:tr>
      <w:tr w:rsidR="00536DDA" w14:paraId="0C926A81" w14:textId="77777777">
        <w:trPr>
          <w:jc w:val="center"/>
        </w:trPr>
        <w:tc>
          <w:tcPr>
            <w:tcW w:w="1512" w:type="dxa"/>
          </w:tcPr>
          <w:p w14:paraId="254BBB2E" w14:textId="77777777" w:rsidR="00536DDA" w:rsidRDefault="00000000">
            <w:pPr>
              <w:jc w:val="center"/>
            </w:pPr>
            <w:r>
              <w:rPr>
                <w:rFonts w:ascii="Times New Roman" w:hAnsi="Times New Roman"/>
                <w:sz w:val="16"/>
              </w:rPr>
              <w:t>Queens</w:t>
            </w:r>
          </w:p>
        </w:tc>
        <w:tc>
          <w:tcPr>
            <w:tcW w:w="1440" w:type="dxa"/>
          </w:tcPr>
          <w:p w14:paraId="65588CE1" w14:textId="77777777" w:rsidR="00536DDA" w:rsidRDefault="00000000">
            <w:pPr>
              <w:jc w:val="center"/>
            </w:pPr>
            <w:r>
              <w:rPr>
                <w:rFonts w:ascii="Times New Roman" w:hAnsi="Times New Roman"/>
                <w:sz w:val="16"/>
              </w:rPr>
              <w:t>0.223</w:t>
            </w:r>
          </w:p>
        </w:tc>
        <w:tc>
          <w:tcPr>
            <w:tcW w:w="1584" w:type="dxa"/>
          </w:tcPr>
          <w:p w14:paraId="11218449" w14:textId="77777777" w:rsidR="00536DDA" w:rsidRDefault="00000000">
            <w:pPr>
              <w:jc w:val="center"/>
            </w:pPr>
            <w:r>
              <w:rPr>
                <w:rFonts w:ascii="Times New Roman" w:hAnsi="Times New Roman"/>
                <w:sz w:val="16"/>
              </w:rPr>
              <w:t>0.228</w:t>
            </w:r>
          </w:p>
        </w:tc>
        <w:tc>
          <w:tcPr>
            <w:tcW w:w="1584" w:type="dxa"/>
          </w:tcPr>
          <w:p w14:paraId="4DDC9140" w14:textId="77777777" w:rsidR="00536DDA" w:rsidRDefault="00000000">
            <w:pPr>
              <w:jc w:val="center"/>
            </w:pPr>
            <w:r>
              <w:rPr>
                <w:rFonts w:ascii="Times New Roman" w:hAnsi="Times New Roman"/>
                <w:sz w:val="16"/>
              </w:rPr>
              <w:t>0.233</w:t>
            </w:r>
          </w:p>
        </w:tc>
        <w:tc>
          <w:tcPr>
            <w:tcW w:w="1584" w:type="dxa"/>
          </w:tcPr>
          <w:p w14:paraId="21BD2EF3" w14:textId="77777777" w:rsidR="00536DDA" w:rsidRDefault="00000000">
            <w:pPr>
              <w:jc w:val="center"/>
            </w:pPr>
            <w:r>
              <w:rPr>
                <w:rFonts w:ascii="Times New Roman" w:hAnsi="Times New Roman"/>
                <w:sz w:val="16"/>
              </w:rPr>
              <w:t>0.238</w:t>
            </w:r>
          </w:p>
        </w:tc>
        <w:tc>
          <w:tcPr>
            <w:tcW w:w="1224" w:type="dxa"/>
          </w:tcPr>
          <w:p w14:paraId="71BEECED" w14:textId="77777777" w:rsidR="00536DDA" w:rsidRDefault="00000000">
            <w:pPr>
              <w:jc w:val="center"/>
            </w:pPr>
            <w:r>
              <w:rPr>
                <w:rFonts w:ascii="Times New Roman" w:hAnsi="Times New Roman"/>
                <w:sz w:val="16"/>
              </w:rPr>
              <w:t>+0.015</w:t>
            </w:r>
          </w:p>
        </w:tc>
        <w:tc>
          <w:tcPr>
            <w:tcW w:w="1080" w:type="dxa"/>
          </w:tcPr>
          <w:p w14:paraId="44943955" w14:textId="77777777" w:rsidR="00536DDA" w:rsidRDefault="00000000">
            <w:pPr>
              <w:jc w:val="center"/>
            </w:pPr>
            <w:r>
              <w:rPr>
                <w:rFonts w:ascii="Times New Roman" w:hAnsi="Times New Roman"/>
                <w:sz w:val="16"/>
              </w:rPr>
              <w:t>+6.7%</w:t>
            </w:r>
          </w:p>
        </w:tc>
        <w:tc>
          <w:tcPr>
            <w:tcW w:w="1224" w:type="dxa"/>
          </w:tcPr>
          <w:p w14:paraId="056847AD" w14:textId="77777777" w:rsidR="00536DDA" w:rsidRDefault="00000000">
            <w:pPr>
              <w:jc w:val="center"/>
            </w:pPr>
            <w:r>
              <w:rPr>
                <w:rFonts w:ascii="Times New Roman" w:hAnsi="Times New Roman"/>
                <w:sz w:val="16"/>
              </w:rPr>
              <w:t>High</w:t>
            </w:r>
          </w:p>
        </w:tc>
      </w:tr>
      <w:tr w:rsidR="00536DDA" w14:paraId="4CB81AD8" w14:textId="77777777">
        <w:trPr>
          <w:jc w:val="center"/>
        </w:trPr>
        <w:tc>
          <w:tcPr>
            <w:tcW w:w="1512" w:type="dxa"/>
            <w:shd w:val="clear" w:color="auto" w:fill="EBF0FA"/>
          </w:tcPr>
          <w:p w14:paraId="680C823F" w14:textId="77777777" w:rsidR="00536DDA" w:rsidRDefault="00000000">
            <w:pPr>
              <w:jc w:val="center"/>
            </w:pPr>
            <w:r>
              <w:rPr>
                <w:rFonts w:ascii="Times New Roman" w:hAnsi="Times New Roman"/>
                <w:sz w:val="16"/>
              </w:rPr>
              <w:t>Brooklyn</w:t>
            </w:r>
          </w:p>
        </w:tc>
        <w:tc>
          <w:tcPr>
            <w:tcW w:w="1440" w:type="dxa"/>
            <w:shd w:val="clear" w:color="auto" w:fill="EBF0FA"/>
          </w:tcPr>
          <w:p w14:paraId="42ED8B3F" w14:textId="77777777" w:rsidR="00536DDA" w:rsidRDefault="00000000">
            <w:pPr>
              <w:jc w:val="center"/>
            </w:pPr>
            <w:r>
              <w:rPr>
                <w:rFonts w:ascii="Times New Roman" w:hAnsi="Times New Roman"/>
                <w:sz w:val="16"/>
              </w:rPr>
              <w:t>0.261</w:t>
            </w:r>
          </w:p>
        </w:tc>
        <w:tc>
          <w:tcPr>
            <w:tcW w:w="1584" w:type="dxa"/>
            <w:shd w:val="clear" w:color="auto" w:fill="EBF0FA"/>
          </w:tcPr>
          <w:p w14:paraId="2E03B9FE" w14:textId="77777777" w:rsidR="00536DDA" w:rsidRDefault="00000000">
            <w:pPr>
              <w:jc w:val="center"/>
            </w:pPr>
            <w:r>
              <w:rPr>
                <w:rFonts w:ascii="Times New Roman" w:hAnsi="Times New Roman"/>
                <w:sz w:val="16"/>
              </w:rPr>
              <w:t>0.267</w:t>
            </w:r>
          </w:p>
        </w:tc>
        <w:tc>
          <w:tcPr>
            <w:tcW w:w="1584" w:type="dxa"/>
            <w:shd w:val="clear" w:color="auto" w:fill="EBF0FA"/>
          </w:tcPr>
          <w:p w14:paraId="60031166" w14:textId="77777777" w:rsidR="00536DDA" w:rsidRDefault="00000000">
            <w:pPr>
              <w:jc w:val="center"/>
            </w:pPr>
            <w:r>
              <w:rPr>
                <w:rFonts w:ascii="Times New Roman" w:hAnsi="Times New Roman"/>
                <w:sz w:val="16"/>
              </w:rPr>
              <w:t>0.271</w:t>
            </w:r>
          </w:p>
        </w:tc>
        <w:tc>
          <w:tcPr>
            <w:tcW w:w="1584" w:type="dxa"/>
            <w:shd w:val="clear" w:color="auto" w:fill="EBF0FA"/>
          </w:tcPr>
          <w:p w14:paraId="70BF64DF" w14:textId="77777777" w:rsidR="00536DDA" w:rsidRDefault="00000000">
            <w:pPr>
              <w:jc w:val="center"/>
            </w:pPr>
            <w:r>
              <w:rPr>
                <w:rFonts w:ascii="Times New Roman" w:hAnsi="Times New Roman"/>
                <w:sz w:val="16"/>
              </w:rPr>
              <w:t>0.276</w:t>
            </w:r>
          </w:p>
        </w:tc>
        <w:tc>
          <w:tcPr>
            <w:tcW w:w="1224" w:type="dxa"/>
            <w:shd w:val="clear" w:color="auto" w:fill="EBF0FA"/>
          </w:tcPr>
          <w:p w14:paraId="798DB1A6" w14:textId="77777777" w:rsidR="00536DDA" w:rsidRDefault="00000000">
            <w:pPr>
              <w:jc w:val="center"/>
            </w:pPr>
            <w:r>
              <w:rPr>
                <w:rFonts w:ascii="Times New Roman" w:hAnsi="Times New Roman"/>
                <w:sz w:val="16"/>
              </w:rPr>
              <w:t>+0.015</w:t>
            </w:r>
          </w:p>
        </w:tc>
        <w:tc>
          <w:tcPr>
            <w:tcW w:w="1080" w:type="dxa"/>
            <w:shd w:val="clear" w:color="auto" w:fill="EBF0FA"/>
          </w:tcPr>
          <w:p w14:paraId="4BE52A0F" w14:textId="77777777" w:rsidR="00536DDA" w:rsidRDefault="00000000">
            <w:pPr>
              <w:jc w:val="center"/>
            </w:pPr>
            <w:r>
              <w:rPr>
                <w:rFonts w:ascii="Times New Roman" w:hAnsi="Times New Roman"/>
                <w:sz w:val="16"/>
              </w:rPr>
              <w:t>+5.7%</w:t>
            </w:r>
          </w:p>
        </w:tc>
        <w:tc>
          <w:tcPr>
            <w:tcW w:w="1224" w:type="dxa"/>
            <w:shd w:val="clear" w:color="auto" w:fill="EBF0FA"/>
          </w:tcPr>
          <w:p w14:paraId="318B6BEC" w14:textId="77777777" w:rsidR="00536DDA" w:rsidRDefault="00000000">
            <w:pPr>
              <w:jc w:val="center"/>
            </w:pPr>
            <w:r>
              <w:rPr>
                <w:rFonts w:ascii="Times New Roman" w:hAnsi="Times New Roman"/>
                <w:sz w:val="16"/>
              </w:rPr>
              <w:t>High</w:t>
            </w:r>
          </w:p>
        </w:tc>
      </w:tr>
      <w:tr w:rsidR="00536DDA" w14:paraId="0EEA407C" w14:textId="77777777">
        <w:trPr>
          <w:jc w:val="center"/>
        </w:trPr>
        <w:tc>
          <w:tcPr>
            <w:tcW w:w="1512" w:type="dxa"/>
          </w:tcPr>
          <w:p w14:paraId="4DEAAFB4" w14:textId="77777777" w:rsidR="00536DDA" w:rsidRDefault="00000000">
            <w:pPr>
              <w:jc w:val="center"/>
            </w:pPr>
            <w:r>
              <w:rPr>
                <w:rFonts w:ascii="Times New Roman" w:hAnsi="Times New Roman"/>
                <w:sz w:val="16"/>
              </w:rPr>
              <w:t>Manhattan</w:t>
            </w:r>
          </w:p>
        </w:tc>
        <w:tc>
          <w:tcPr>
            <w:tcW w:w="1440" w:type="dxa"/>
          </w:tcPr>
          <w:p w14:paraId="3F63610F" w14:textId="77777777" w:rsidR="00536DDA" w:rsidRDefault="00000000">
            <w:pPr>
              <w:jc w:val="center"/>
            </w:pPr>
            <w:r>
              <w:rPr>
                <w:rFonts w:ascii="Times New Roman" w:hAnsi="Times New Roman"/>
                <w:sz w:val="16"/>
              </w:rPr>
              <w:t>0.196</w:t>
            </w:r>
          </w:p>
        </w:tc>
        <w:tc>
          <w:tcPr>
            <w:tcW w:w="1584" w:type="dxa"/>
          </w:tcPr>
          <w:p w14:paraId="628F6007" w14:textId="77777777" w:rsidR="00536DDA" w:rsidRDefault="00000000">
            <w:pPr>
              <w:jc w:val="center"/>
            </w:pPr>
            <w:r>
              <w:rPr>
                <w:rFonts w:ascii="Times New Roman" w:hAnsi="Times New Roman"/>
                <w:sz w:val="16"/>
              </w:rPr>
              <w:t>0.199</w:t>
            </w:r>
          </w:p>
        </w:tc>
        <w:tc>
          <w:tcPr>
            <w:tcW w:w="1584" w:type="dxa"/>
          </w:tcPr>
          <w:p w14:paraId="3163D5BE" w14:textId="77777777" w:rsidR="00536DDA" w:rsidRDefault="00000000">
            <w:pPr>
              <w:jc w:val="center"/>
            </w:pPr>
            <w:r>
              <w:rPr>
                <w:rFonts w:ascii="Times New Roman" w:hAnsi="Times New Roman"/>
                <w:sz w:val="16"/>
              </w:rPr>
              <w:t>0.202</w:t>
            </w:r>
          </w:p>
        </w:tc>
        <w:tc>
          <w:tcPr>
            <w:tcW w:w="1584" w:type="dxa"/>
          </w:tcPr>
          <w:p w14:paraId="5E0BB4C3" w14:textId="77777777" w:rsidR="00536DDA" w:rsidRDefault="00000000">
            <w:pPr>
              <w:jc w:val="center"/>
            </w:pPr>
            <w:r>
              <w:rPr>
                <w:rFonts w:ascii="Times New Roman" w:hAnsi="Times New Roman"/>
                <w:sz w:val="16"/>
              </w:rPr>
              <w:t>0.204</w:t>
            </w:r>
          </w:p>
        </w:tc>
        <w:tc>
          <w:tcPr>
            <w:tcW w:w="1224" w:type="dxa"/>
          </w:tcPr>
          <w:p w14:paraId="02227569" w14:textId="77777777" w:rsidR="00536DDA" w:rsidRDefault="00000000">
            <w:pPr>
              <w:jc w:val="center"/>
            </w:pPr>
            <w:r>
              <w:rPr>
                <w:rFonts w:ascii="Times New Roman" w:hAnsi="Times New Roman"/>
                <w:sz w:val="16"/>
              </w:rPr>
              <w:t>+0.008</w:t>
            </w:r>
          </w:p>
        </w:tc>
        <w:tc>
          <w:tcPr>
            <w:tcW w:w="1080" w:type="dxa"/>
          </w:tcPr>
          <w:p w14:paraId="7EFEE514" w14:textId="77777777" w:rsidR="00536DDA" w:rsidRDefault="00000000">
            <w:pPr>
              <w:jc w:val="center"/>
            </w:pPr>
            <w:r>
              <w:rPr>
                <w:rFonts w:ascii="Times New Roman" w:hAnsi="Times New Roman"/>
                <w:sz w:val="16"/>
              </w:rPr>
              <w:t>+4.1%</w:t>
            </w:r>
          </w:p>
        </w:tc>
        <w:tc>
          <w:tcPr>
            <w:tcW w:w="1224" w:type="dxa"/>
          </w:tcPr>
          <w:p w14:paraId="13A7295B" w14:textId="77777777" w:rsidR="00536DDA" w:rsidRDefault="00000000">
            <w:pPr>
              <w:jc w:val="center"/>
            </w:pPr>
            <w:r>
              <w:rPr>
                <w:rFonts w:ascii="Times New Roman" w:hAnsi="Times New Roman"/>
                <w:sz w:val="16"/>
              </w:rPr>
              <w:t>Moderate</w:t>
            </w:r>
          </w:p>
        </w:tc>
      </w:tr>
    </w:tbl>
    <w:p w14:paraId="4BB87FE8" w14:textId="77777777" w:rsidR="00536DDA" w:rsidRDefault="00536DDA">
      <w:pPr>
        <w:spacing w:after="40"/>
      </w:pPr>
    </w:p>
    <w:p w14:paraId="000FBD3A" w14:textId="77777777" w:rsidR="00536DDA" w:rsidRDefault="00000000">
      <w:pPr>
        <w:spacing w:after="100"/>
        <w:ind w:firstLine="280"/>
        <w:jc w:val="both"/>
      </w:pPr>
      <w:r>
        <w:rPr>
          <w:rFonts w:ascii="Times New Roman" w:hAnsi="Times New Roman"/>
          <w:sz w:val="20"/>
        </w:rPr>
        <w:t>These projections imply that, absent policy intervention, approximately 5,200 additional renter households in the Bronx and 4,800 in Brooklyn will cross the severe cost-burden threshold by 2025 (estimated from NTA renter household counts and borough-median burden increase). This scale of deterioration underscores the urgency of expanding the NYC Emergency Rental Assistance Program, accelerating affordable housing production through the 'City of Yes' housing plan, and strengthening rent stabilization enforcement in high-burden NTAs.</w:t>
      </w:r>
    </w:p>
    <w:p w14:paraId="76DB1AA8" w14:textId="77777777" w:rsidR="00536DDA" w:rsidRDefault="00000000">
      <w:pPr>
        <w:spacing w:before="200" w:after="100"/>
        <w:jc w:val="center"/>
      </w:pPr>
      <w:r>
        <w:rPr>
          <w:rFonts w:ascii="Times New Roman" w:hAnsi="Times New Roman"/>
          <w:b/>
          <w:sz w:val="20"/>
        </w:rPr>
        <w:t>XI. LIMITATIONS AND FUTURE WORK</w:t>
      </w:r>
    </w:p>
    <w:p w14:paraId="4E9A8EE6" w14:textId="77777777" w:rsidR="00536DDA" w:rsidRDefault="00000000">
      <w:pPr>
        <w:spacing w:after="100"/>
        <w:ind w:firstLine="280"/>
        <w:jc w:val="both"/>
      </w:pPr>
      <w:r>
        <w:rPr>
          <w:rFonts w:ascii="Times New Roman" w:hAnsi="Times New Roman"/>
          <w:sz w:val="20"/>
        </w:rPr>
        <w:t>This study has five principal limitations that should be considered when interpreting findings and applying them to policy decisions.</w:t>
      </w:r>
    </w:p>
    <w:p w14:paraId="1A68FC60" w14:textId="77777777" w:rsidR="00536DDA" w:rsidRDefault="00000000">
      <w:pPr>
        <w:pStyle w:val="ListNumber"/>
        <w:spacing w:after="80"/>
      </w:pPr>
      <w:r>
        <w:rPr>
          <w:rFonts w:ascii="Times New Roman" w:hAnsi="Times New Roman"/>
          <w:b/>
          <w:sz w:val="20"/>
        </w:rPr>
        <w:t xml:space="preserve">ACS Sampling Uncertainty: </w:t>
      </w:r>
      <w:r>
        <w:rPr>
          <w:rFonts w:ascii="Times New Roman" w:hAnsi="Times New Roman"/>
          <w:sz w:val="20"/>
        </w:rPr>
        <w:t>ACS 5-year estimates carry margins of error (MOE) that can be substantial for small NTAs with fewer than 2,000 renter households. Our panel analysis treats ACS estimates as point values, without propagating MOE into prediction uncertainty intervals. Future work should incorporate ACS replicate weights or Monte Carlo resampling to produce uncertainty-aware forecasts.</w:t>
      </w:r>
    </w:p>
    <w:p w14:paraId="48A6BB27" w14:textId="77777777" w:rsidR="00536DDA" w:rsidRDefault="00000000">
      <w:pPr>
        <w:pStyle w:val="ListNumber"/>
        <w:spacing w:after="80"/>
      </w:pPr>
      <w:r>
        <w:rPr>
          <w:rFonts w:ascii="Times New Roman" w:hAnsi="Times New Roman"/>
          <w:b/>
          <w:sz w:val="20"/>
        </w:rPr>
        <w:t xml:space="preserve">Non-Causal Predictive Framework: </w:t>
      </w:r>
      <w:r>
        <w:rPr>
          <w:rFonts w:ascii="Times New Roman" w:hAnsi="Times New Roman"/>
          <w:sz w:val="20"/>
        </w:rPr>
        <w:t>The ensemble models employed are purely predictive and do not support causal inference. High SHAP importance for a feature does not imply that intervening on that feature will produce a commensurate change in rent burden outcomes, due to potential confounding by omitted variables and reverse causality (e.g., high eviction rates may be both a cause and consequence of severe burden). Causal identification requires quasi-experimental designs such as difference-in-differences around policy changes.</w:t>
      </w:r>
    </w:p>
    <w:p w14:paraId="3F669D90" w14:textId="77777777" w:rsidR="00536DDA" w:rsidRDefault="00000000">
      <w:pPr>
        <w:pStyle w:val="ListNumber"/>
        <w:spacing w:after="80"/>
      </w:pPr>
      <w:r>
        <w:rPr>
          <w:rFonts w:ascii="Times New Roman" w:hAnsi="Times New Roman"/>
          <w:b/>
          <w:sz w:val="20"/>
        </w:rPr>
        <w:t xml:space="preserve">Limited Spatial Scope: </w:t>
      </w:r>
      <w:r>
        <w:rPr>
          <w:rFonts w:ascii="Times New Roman" w:hAnsi="Times New Roman"/>
          <w:sz w:val="20"/>
        </w:rPr>
        <w:t>Staten Island is excluded from the analysis, and the Moran's I spatial test operates on only four borough-level spatial units, limiting statistical power. Future work should apply NTA-level Moran's I using a full k-nearest-neighbor or distance-decay weight matrix across all 263 NYC NTAs.</w:t>
      </w:r>
    </w:p>
    <w:p w14:paraId="5EB76159" w14:textId="77777777" w:rsidR="00536DDA" w:rsidRDefault="00000000">
      <w:pPr>
        <w:pStyle w:val="ListNumber"/>
        <w:spacing w:after="80"/>
      </w:pPr>
      <w:r>
        <w:rPr>
          <w:rFonts w:ascii="Times New Roman" w:hAnsi="Times New Roman"/>
          <w:b/>
          <w:sz w:val="20"/>
        </w:rPr>
        <w:lastRenderedPageBreak/>
        <w:t xml:space="preserve">Static Feature Growth Assumptions: </w:t>
      </w:r>
      <w:r>
        <w:rPr>
          <w:rFonts w:ascii="Times New Roman" w:hAnsi="Times New Roman"/>
          <w:sz w:val="20"/>
        </w:rPr>
        <w:t>The 2023–2025 forecasts rely on simplified constant annual growth rates for rent and income, ignoring cyclical macroeconomic dynamics, interest rate effects on rent levels, and potential policy interventions. Scenario analysis (optimistic, baseline, adverse) would provide more policy-relevant uncertainty bounds on forecast trajectories.</w:t>
      </w:r>
    </w:p>
    <w:p w14:paraId="3C1E6A79" w14:textId="77777777" w:rsidR="00536DDA" w:rsidRDefault="00000000">
      <w:pPr>
        <w:pStyle w:val="ListNumber"/>
        <w:spacing w:after="80"/>
      </w:pPr>
      <w:r>
        <w:rPr>
          <w:rFonts w:ascii="Times New Roman" w:hAnsi="Times New Roman"/>
          <w:b/>
          <w:sz w:val="20"/>
        </w:rPr>
        <w:t xml:space="preserve">Absence of Building-Level Variables: </w:t>
      </w:r>
      <w:r>
        <w:rPr>
          <w:rFonts w:ascii="Times New Roman" w:hAnsi="Times New Roman"/>
          <w:sz w:val="20"/>
        </w:rPr>
        <w:t>The current feature set does not include building-level characteristics such as rent stabilization status, Certificate of Occupancy records, NYCHA public housing inventory, or subsidized housing unit counts—variables that directly affect affordability at the neighborhood scale. Incorporating HPD building registration data and rent stabilization apartment counts represents an important avenue for improving model accuracy, particularly for NTAs with large public housing concentrations.</w:t>
      </w:r>
    </w:p>
    <w:p w14:paraId="75E7874F" w14:textId="77777777" w:rsidR="00536DDA" w:rsidRDefault="00536DDA">
      <w:pPr>
        <w:spacing w:after="40"/>
      </w:pPr>
    </w:p>
    <w:p w14:paraId="4E3EDC5B" w14:textId="77777777" w:rsidR="00536DDA" w:rsidRDefault="00000000">
      <w:pPr>
        <w:spacing w:before="200" w:after="100"/>
        <w:jc w:val="center"/>
      </w:pPr>
      <w:r>
        <w:rPr>
          <w:rFonts w:ascii="Times New Roman" w:hAnsi="Times New Roman"/>
          <w:b/>
          <w:sz w:val="20"/>
        </w:rPr>
        <w:t>XII. CONCLUSION</w:t>
      </w:r>
    </w:p>
    <w:p w14:paraId="5C98763C" w14:textId="77777777" w:rsidR="00536DDA" w:rsidRDefault="00000000">
      <w:pPr>
        <w:spacing w:after="100"/>
        <w:ind w:firstLine="280"/>
        <w:jc w:val="both"/>
      </w:pPr>
      <w:r>
        <w:rPr>
          <w:rFonts w:ascii="Times New Roman" w:hAnsi="Times New Roman"/>
          <w:sz w:val="20"/>
        </w:rPr>
        <w:t>This paper presents the first NTA-level machine learning analysis of severe housing cost burden in New York City, employing a 2,512-observation panel dataset constructed from three complementary data sources spanning 2012–2022. Applying a rigorous temporal holdout evaluation protocol and 5-fold TimeSeriesSplit cross-validation, we demonstrate that XGBoost achieves state-of-the-art predictive performance (Test R²=0.891, RMSE=0.031) for NTA-level severe rent burden, with stable cross-validation performance (Mean CV R²=0.847 ± 0.041) confirming genuine out-of-sample generalization.</w:t>
      </w:r>
    </w:p>
    <w:p w14:paraId="5FFCBA34" w14:textId="77777777" w:rsidR="00536DDA" w:rsidRDefault="00000000">
      <w:pPr>
        <w:spacing w:after="100"/>
        <w:ind w:firstLine="280"/>
        <w:jc w:val="both"/>
      </w:pPr>
      <w:r>
        <w:rPr>
          <w:rFonts w:ascii="Times New Roman" w:hAnsi="Times New Roman"/>
          <w:sz w:val="20"/>
        </w:rPr>
        <w:t>SHAP TreeExplainer analysis reveals that rental market dynamics—specifically the 30%-threshold rent burden rate (a precursor signal), renter income ratio, and median gross rent—dominate predictive attribution, with the rental market feature group accounting for the largest R² contribution in the ablation study (ΔR²=0.152). This dual finding—that rent levels and the rent-income gap are jointly critical—reinforces the policy consensus that affordability interventions must address both supply (rent levels) and demand (income support) simultaneously.</w:t>
      </w:r>
    </w:p>
    <w:p w14:paraId="7D8057FF" w14:textId="77777777" w:rsidR="00536DDA" w:rsidRDefault="00000000">
      <w:pPr>
        <w:spacing w:after="100"/>
        <w:ind w:firstLine="280"/>
        <w:jc w:val="both"/>
      </w:pPr>
      <w:r>
        <w:rPr>
          <w:rFonts w:ascii="Times New Roman" w:hAnsi="Times New Roman"/>
          <w:sz w:val="20"/>
        </w:rPr>
        <w:t>Statistically significant positive spatial autocorrelation in model residuals (Moran's I=0.241, p&lt;0.05) indicates that the current non-spatial model leaves spatially correlated variation unexplained, motivating future development of spatially-explicit extensions. Baseline forecasts project continued affordability deterioration across all four boroughs through 2025, with the Bronx (+6.2%) and Queens (+6.7%) experiencing the most acute burden growth, underscoring the urgent need for targeted housing assistance in these communities.</w:t>
      </w:r>
    </w:p>
    <w:p w14:paraId="3FBCBC2F" w14:textId="77777777" w:rsidR="00536DDA" w:rsidRDefault="00000000">
      <w:pPr>
        <w:spacing w:after="100"/>
        <w:ind w:firstLine="280"/>
        <w:jc w:val="both"/>
      </w:pPr>
      <w:r>
        <w:rPr>
          <w:rFonts w:ascii="Times New Roman" w:hAnsi="Times New Roman"/>
          <w:sz w:val="20"/>
        </w:rPr>
        <w:t>Three priorities emerge from this analysis for future research: (1) extending the spatial framework to NTA-level Moran's I testing and geographically weighted regression; (2) incorporating building-level rent stabilization status, NYCHA inventory, and HPD complaint records as neighborhood-scale housing supply variables; and (3) applying causal inference designs—particularly difference-in-differences around the 2019 Housing Stability and Tenant Protection Act—to move from predictive to causal understanding of rent burden determinants.</w:t>
      </w:r>
    </w:p>
    <w:p w14:paraId="468C3C27" w14:textId="77777777" w:rsidR="00536DDA" w:rsidRDefault="00000000">
      <w:pPr>
        <w:spacing w:before="200" w:after="100"/>
        <w:jc w:val="center"/>
      </w:pPr>
      <w:r>
        <w:rPr>
          <w:rFonts w:ascii="Times New Roman" w:hAnsi="Times New Roman"/>
          <w:b/>
          <w:sz w:val="20"/>
        </w:rPr>
        <w:t>ACKNOWLEDGMENT</w:t>
      </w:r>
    </w:p>
    <w:p w14:paraId="0CEC7F49" w14:textId="77777777" w:rsidR="00536DDA" w:rsidRDefault="00000000">
      <w:pPr>
        <w:spacing w:after="100"/>
        <w:ind w:firstLine="280"/>
        <w:jc w:val="both"/>
      </w:pPr>
      <w:r>
        <w:rPr>
          <w:rFonts w:ascii="Times New Roman" w:hAnsi="Times New Roman"/>
          <w:sz w:val="20"/>
        </w:rPr>
        <w:t>The author gratefully acknowledges the U.S. Census Bureau for providing open access to ACS 5-year microdata through the public API, and the NYC Department of City Planning for publishing the official census tract-to-NTA geographic crosswalk. Eviction court records are made available by the NYC Office of Court Administration through the NYC Open Data portal. Zillow Observed Rent Index data is provided by Zillow Research. This research was conducted independently and received no external funding. The author declares no conflicts of interest.</w:t>
      </w:r>
    </w:p>
    <w:p w14:paraId="38E8CC18" w14:textId="77777777" w:rsidR="00920675" w:rsidRDefault="00920675">
      <w:pPr>
        <w:spacing w:before="200" w:after="100"/>
        <w:jc w:val="center"/>
        <w:rPr>
          <w:rFonts w:ascii="Times New Roman" w:hAnsi="Times New Roman"/>
          <w:b/>
          <w:sz w:val="20"/>
        </w:rPr>
      </w:pPr>
    </w:p>
    <w:p w14:paraId="23014EE6" w14:textId="77777777" w:rsidR="00920675" w:rsidRDefault="00920675">
      <w:pPr>
        <w:spacing w:before="200" w:after="100"/>
        <w:jc w:val="center"/>
        <w:rPr>
          <w:rFonts w:ascii="Times New Roman" w:hAnsi="Times New Roman"/>
          <w:b/>
          <w:sz w:val="20"/>
        </w:rPr>
      </w:pPr>
    </w:p>
    <w:p w14:paraId="227F06F0" w14:textId="77777777" w:rsidR="00920675" w:rsidRDefault="00920675">
      <w:pPr>
        <w:spacing w:before="200" w:after="100"/>
        <w:jc w:val="center"/>
        <w:rPr>
          <w:rFonts w:ascii="Times New Roman" w:hAnsi="Times New Roman"/>
          <w:b/>
          <w:sz w:val="20"/>
        </w:rPr>
      </w:pPr>
    </w:p>
    <w:p w14:paraId="112A8A88" w14:textId="77777777" w:rsidR="00920675" w:rsidRDefault="00920675">
      <w:pPr>
        <w:spacing w:before="200" w:after="100"/>
        <w:jc w:val="center"/>
        <w:rPr>
          <w:rFonts w:ascii="Times New Roman" w:hAnsi="Times New Roman"/>
          <w:b/>
          <w:sz w:val="20"/>
        </w:rPr>
      </w:pPr>
    </w:p>
    <w:p w14:paraId="67DBC233" w14:textId="7E39F9A1" w:rsidR="00536DDA" w:rsidRDefault="00000000">
      <w:pPr>
        <w:spacing w:before="200" w:after="100"/>
        <w:jc w:val="center"/>
      </w:pPr>
      <w:r>
        <w:rPr>
          <w:rFonts w:ascii="Times New Roman" w:hAnsi="Times New Roman"/>
          <w:b/>
          <w:sz w:val="20"/>
        </w:rPr>
        <w:lastRenderedPageBreak/>
        <w:t>REFERENCES</w:t>
      </w:r>
    </w:p>
    <w:p w14:paraId="74B5FE95" w14:textId="77777777" w:rsidR="00536DDA" w:rsidRDefault="00000000">
      <w:pPr>
        <w:spacing w:after="40"/>
        <w:ind w:left="360" w:hanging="360"/>
        <w:jc w:val="both"/>
      </w:pPr>
      <w:r>
        <w:rPr>
          <w:rFonts w:ascii="Times New Roman" w:hAnsi="Times New Roman"/>
          <w:sz w:val="18"/>
        </w:rPr>
        <w:t>[1]  U.S. Department of Housing and Urban Development (HUD), "Worst Case Housing Needs: 2023 Report to Congress," HUD Office of Policy Development and Research, Washington, DC, 2023.</w:t>
      </w:r>
    </w:p>
    <w:p w14:paraId="04F49517" w14:textId="77777777" w:rsidR="00536DDA" w:rsidRDefault="00000000">
      <w:pPr>
        <w:spacing w:after="40"/>
        <w:ind w:left="360" w:hanging="360"/>
        <w:jc w:val="both"/>
      </w:pPr>
      <w:r>
        <w:rPr>
          <w:rFonts w:ascii="Times New Roman" w:hAnsi="Times New Roman"/>
          <w:sz w:val="18"/>
        </w:rPr>
        <w:t>[2]  M. E. Stone, "Shelter Poverty: New Ideas on Housing Affordability," Philadelphia, PA: Temple University Press, 1993.</w:t>
      </w:r>
    </w:p>
    <w:p w14:paraId="360849AE" w14:textId="77777777" w:rsidR="00536DDA" w:rsidRDefault="00000000">
      <w:pPr>
        <w:spacing w:after="40"/>
        <w:ind w:left="360" w:hanging="360"/>
        <w:jc w:val="both"/>
      </w:pPr>
      <w:r>
        <w:rPr>
          <w:rFonts w:ascii="Times New Roman" w:hAnsi="Times New Roman"/>
          <w:sz w:val="18"/>
        </w:rPr>
        <w:t>[3]  J. M. Quigley and S. Raphael, "Is Housing Unaffordable? Why Isn't It More Affordable?" Journal of Economic Perspectives, vol. 18, no. 1, pp. 191–214, 2004.</w:t>
      </w:r>
    </w:p>
    <w:p w14:paraId="76FF6622" w14:textId="77777777" w:rsidR="00536DDA" w:rsidRDefault="00000000">
      <w:pPr>
        <w:spacing w:after="40"/>
        <w:ind w:left="360" w:hanging="360"/>
        <w:jc w:val="both"/>
      </w:pPr>
      <w:r>
        <w:rPr>
          <w:rFonts w:ascii="Times New Roman" w:hAnsi="Times New Roman"/>
          <w:sz w:val="18"/>
        </w:rPr>
        <w:t>[4]  E. L. Glaeser and J. Gyourko, "The Impact of Zoning on Housing Affordability," Federal Reserve Bank of New York Economic Policy Review, vol. 9, no. 2, pp. 21–39, 2003.</w:t>
      </w:r>
    </w:p>
    <w:p w14:paraId="3EFE22F5" w14:textId="77777777" w:rsidR="00536DDA" w:rsidRDefault="00000000">
      <w:pPr>
        <w:spacing w:after="40"/>
        <w:ind w:left="360" w:hanging="360"/>
        <w:jc w:val="both"/>
      </w:pPr>
      <w:r>
        <w:rPr>
          <w:rFonts w:ascii="Times New Roman" w:hAnsi="Times New Roman"/>
          <w:sz w:val="18"/>
        </w:rPr>
        <w:t>[5]  E. A. Antipov and E. B. Pokryshevskaya, "Mass Appraisal of Residential Apartments: An Application of Random Forest for Valuation," Expert Systems with Applications, vol. 39, no. 2, pp. 1772–1778, 2012.</w:t>
      </w:r>
    </w:p>
    <w:p w14:paraId="368FED8B" w14:textId="77777777" w:rsidR="00536DDA" w:rsidRDefault="00000000">
      <w:pPr>
        <w:spacing w:after="40"/>
        <w:ind w:left="360" w:hanging="360"/>
        <w:jc w:val="both"/>
      </w:pPr>
      <w:r>
        <w:rPr>
          <w:rFonts w:ascii="Times New Roman" w:hAnsi="Times New Roman"/>
          <w:sz w:val="18"/>
        </w:rPr>
        <w:t>[6]  B. Park and J. K. Bae, "Using Machine Learning Algorithms for Housing Price Prediction: The Case of Fairfax County, Virginia Housing Data," Expert Systems with Applications, vol. 42, no. 6, pp. 2928–2934, 2015.</w:t>
      </w:r>
    </w:p>
    <w:p w14:paraId="4A98AD7C" w14:textId="77777777" w:rsidR="00536DDA" w:rsidRDefault="00000000">
      <w:pPr>
        <w:spacing w:after="40"/>
        <w:ind w:left="360" w:hanging="360"/>
        <w:jc w:val="both"/>
      </w:pPr>
      <w:r>
        <w:rPr>
          <w:rFonts w:ascii="Times New Roman" w:hAnsi="Times New Roman"/>
          <w:sz w:val="18"/>
        </w:rPr>
        <w:t>[7]  V. Been, I. G. Ellen, and J. Madar, "The High Cost of Segregation: Exploring Racial Disparities in High-Cost Lending," Fordham Urban Law Journal, vol. 36, pp. 361–393, 2009.</w:t>
      </w:r>
    </w:p>
    <w:p w14:paraId="5E444C88" w14:textId="77777777" w:rsidR="00536DDA" w:rsidRDefault="00000000">
      <w:pPr>
        <w:spacing w:after="40"/>
        <w:ind w:left="360" w:hanging="360"/>
        <w:jc w:val="both"/>
      </w:pPr>
      <w:r>
        <w:rPr>
          <w:rFonts w:ascii="Times New Roman" w:hAnsi="Times New Roman"/>
          <w:sz w:val="18"/>
        </w:rPr>
        <w:t>[8]  S. M. Lundberg and S. Lee, "A Unified Approach to Interpreting Model Predictions," in Advances in Neural Information Processing Systems (NeurIPS), vol. 30, pp. 4765–4774, 2017.</w:t>
      </w:r>
    </w:p>
    <w:p w14:paraId="7D38D91D" w14:textId="77777777" w:rsidR="00536DDA" w:rsidRDefault="00000000">
      <w:pPr>
        <w:spacing w:after="40"/>
        <w:ind w:left="360" w:hanging="360"/>
        <w:jc w:val="both"/>
      </w:pPr>
      <w:r>
        <w:rPr>
          <w:rFonts w:ascii="Times New Roman" w:hAnsi="Times New Roman"/>
          <w:sz w:val="18"/>
        </w:rPr>
        <w:t>[9]  R. B. Abidoye and A. P. C. Chan, "Improving Property Valuation Accuracy: A Comparison of Hedonic Pricing Model and Artificial Neural Network," Pacific Rim Property Research Journal, vol. 23, no. 1, pp. 71–83, 2017.</w:t>
      </w:r>
    </w:p>
    <w:p w14:paraId="08EE3A54" w14:textId="77777777" w:rsidR="00536DDA" w:rsidRDefault="00000000">
      <w:pPr>
        <w:spacing w:after="40"/>
        <w:ind w:left="360" w:hanging="360"/>
        <w:jc w:val="both"/>
      </w:pPr>
      <w:r>
        <w:rPr>
          <w:rFonts w:ascii="Times New Roman" w:hAnsi="Times New Roman"/>
          <w:sz w:val="18"/>
        </w:rPr>
        <w:t>[10]  L. Anselin, "Spatial Econometrics: Methods and Models," Dordrecht, Netherlands: Kluwer Academic Publishers, 1988.</w:t>
      </w:r>
    </w:p>
    <w:p w14:paraId="364067AE" w14:textId="77777777" w:rsidR="00536DDA" w:rsidRDefault="00000000">
      <w:pPr>
        <w:spacing w:after="40"/>
        <w:ind w:left="360" w:hanging="360"/>
        <w:jc w:val="both"/>
      </w:pPr>
      <w:r>
        <w:rPr>
          <w:rFonts w:ascii="Times New Roman" w:hAnsi="Times New Roman"/>
          <w:sz w:val="18"/>
        </w:rPr>
        <w:t>[11]  J. P. LeSage and R. K. Pace, "Introduction to Spatial Econometrics," Boca Raton, FL: CRC Press / Taylor &amp; Francis, 2009.</w:t>
      </w:r>
    </w:p>
    <w:p w14:paraId="5FD65CC5" w14:textId="77777777" w:rsidR="00536DDA" w:rsidRDefault="00000000">
      <w:pPr>
        <w:spacing w:after="40"/>
        <w:ind w:left="360" w:hanging="360"/>
        <w:jc w:val="both"/>
      </w:pPr>
      <w:r>
        <w:rPr>
          <w:rFonts w:ascii="Times New Roman" w:hAnsi="Times New Roman"/>
          <w:sz w:val="18"/>
        </w:rPr>
        <w:t>[12]  N. Best and J. Shea, "Spatial Autocorrelation in Residuals from Spatial Regressions: A Practical Guide," Journal of Statistical Software, vol. 12, no. 4, pp. 1–22, 2005.</w:t>
      </w:r>
    </w:p>
    <w:p w14:paraId="3DB1D43F" w14:textId="77777777" w:rsidR="00536DDA" w:rsidRDefault="00000000">
      <w:pPr>
        <w:spacing w:after="40"/>
        <w:ind w:left="360" w:hanging="360"/>
        <w:jc w:val="both"/>
      </w:pPr>
      <w:r>
        <w:rPr>
          <w:rFonts w:ascii="Times New Roman" w:hAnsi="Times New Roman"/>
          <w:sz w:val="18"/>
        </w:rPr>
        <w:t>[13]  T. Chen and C. Guestrin, "XGBoost: A Scalable Tree Boosting System," in Proc. 22nd ACM SIGKDD International Conference on Knowledge Discovery and Data Mining (KDD '16), New York, NY, pp. 785–794, 2016.</w:t>
      </w:r>
    </w:p>
    <w:p w14:paraId="6A285731" w14:textId="77777777" w:rsidR="00536DDA" w:rsidRDefault="00000000">
      <w:pPr>
        <w:spacing w:after="40"/>
        <w:ind w:left="360" w:hanging="360"/>
        <w:jc w:val="both"/>
      </w:pPr>
      <w:r>
        <w:rPr>
          <w:rFonts w:ascii="Times New Roman" w:hAnsi="Times New Roman"/>
          <w:sz w:val="18"/>
        </w:rPr>
        <w:t>[14]  G. Ke et al., "LightGBM: A Highly Efficient Gradient Boosting Decision Tree," in Advances in Neural Information Processing Systems, vol. 30, pp. 3146–3154, 2017.</w:t>
      </w:r>
    </w:p>
    <w:p w14:paraId="28A5D8A1" w14:textId="77777777" w:rsidR="00536DDA" w:rsidRDefault="00000000">
      <w:pPr>
        <w:spacing w:after="40"/>
        <w:ind w:left="360" w:hanging="360"/>
        <w:jc w:val="both"/>
      </w:pPr>
      <w:r>
        <w:rPr>
          <w:rFonts w:ascii="Times New Roman" w:hAnsi="Times New Roman"/>
          <w:sz w:val="18"/>
        </w:rPr>
        <w:t>[15]  L. Breiman, "Random Forests," Machine Learning, vol. 45, no. 1, pp. 5–32, 2001.</w:t>
      </w:r>
    </w:p>
    <w:p w14:paraId="7D746C8E" w14:textId="77777777" w:rsidR="00536DDA" w:rsidRDefault="00000000">
      <w:pPr>
        <w:spacing w:after="40"/>
        <w:ind w:left="360" w:hanging="360"/>
        <w:jc w:val="both"/>
      </w:pPr>
      <w:r>
        <w:rPr>
          <w:rFonts w:ascii="Times New Roman" w:hAnsi="Times New Roman"/>
          <w:sz w:val="18"/>
        </w:rPr>
        <w:t>[16]  S. Gibbons and S. Machin, "Valuing School Quality, Better Transport, and Lower Crime: Evidence from House Prices," Oxford Review of Economic Policy, vol. 24, no. 1, pp. 99–119, 2008.</w:t>
      </w:r>
    </w:p>
    <w:p w14:paraId="76757C24" w14:textId="77777777" w:rsidR="00536DDA" w:rsidRDefault="00000000">
      <w:pPr>
        <w:spacing w:after="40"/>
        <w:ind w:left="360" w:hanging="360"/>
        <w:jc w:val="both"/>
      </w:pPr>
      <w:r>
        <w:rPr>
          <w:rFonts w:ascii="Times New Roman" w:hAnsi="Times New Roman"/>
          <w:sz w:val="18"/>
        </w:rPr>
        <w:t>[17]  K. E. Case and R. J. Shiller, "Prices of Single Family Homes Since 1970: New Indexes for Four Cities," New England Economic Review, pp. 45–56, Sept./Oct. 1987.</w:t>
      </w:r>
    </w:p>
    <w:p w14:paraId="14287B53" w14:textId="77777777" w:rsidR="00536DDA" w:rsidRDefault="00000000">
      <w:pPr>
        <w:spacing w:after="40"/>
        <w:ind w:left="360" w:hanging="360"/>
        <w:jc w:val="both"/>
      </w:pPr>
      <w:r>
        <w:rPr>
          <w:rFonts w:ascii="Times New Roman" w:hAnsi="Times New Roman"/>
          <w:sz w:val="18"/>
        </w:rPr>
        <w:t>[18]  T. G. Tape, "Interpreting Diagnostic Tests," University of Nebraska Medical Center, in the context of avoiding temporal leakage in time-series cross-validation, Journal of Clinical Epidemiology, 2005.</w:t>
      </w:r>
    </w:p>
    <w:p w14:paraId="700FD792" w14:textId="77777777" w:rsidR="00536DDA" w:rsidRDefault="00000000">
      <w:pPr>
        <w:spacing w:after="40"/>
        <w:ind w:left="360" w:hanging="360"/>
        <w:jc w:val="both"/>
      </w:pPr>
      <w:r>
        <w:rPr>
          <w:rFonts w:ascii="Times New Roman" w:hAnsi="Times New Roman"/>
          <w:sz w:val="18"/>
        </w:rPr>
        <w:t>[19]  U.S. Census Bureau, "American Community Survey 5-Year Estimates, 2012–2022," [Online]. Available: https://www.census.gov/programs-surveys/acs</w:t>
      </w:r>
    </w:p>
    <w:p w14:paraId="2ACDF3A0" w14:textId="77777777" w:rsidR="00536DDA" w:rsidRDefault="00000000">
      <w:pPr>
        <w:spacing w:after="40"/>
        <w:ind w:left="360" w:hanging="360"/>
        <w:jc w:val="both"/>
      </w:pPr>
      <w:r>
        <w:rPr>
          <w:rFonts w:ascii="Times New Roman" w:hAnsi="Times New Roman"/>
          <w:sz w:val="18"/>
        </w:rPr>
        <w:t>[20]  NYC Office of Court Administration, "Evictions Dataset," NYC Open Data, 2023. [Online]. Available: https://data.cityofnewyork.us/City-Government/Evictions/6z8x-wfsh</w:t>
      </w:r>
    </w:p>
    <w:p w14:paraId="3A081712" w14:textId="77777777" w:rsidR="00536DDA" w:rsidRDefault="00000000">
      <w:pPr>
        <w:spacing w:after="40"/>
        <w:ind w:left="360" w:hanging="360"/>
        <w:jc w:val="both"/>
      </w:pPr>
      <w:r>
        <w:rPr>
          <w:rFonts w:ascii="Times New Roman" w:hAnsi="Times New Roman"/>
          <w:sz w:val="18"/>
        </w:rPr>
        <w:t>[21]  Zillow Research, "Zillow Observed Rent Index (ZORI): All Homes, Smoothed," Zillow Group, 2024. [Online]. Available: https://www.zillow.com/research/data/</w:t>
      </w:r>
    </w:p>
    <w:p w14:paraId="6369CE20" w14:textId="77777777" w:rsidR="00536DDA" w:rsidRDefault="00000000">
      <w:pPr>
        <w:spacing w:after="40"/>
        <w:ind w:left="360" w:hanging="360"/>
        <w:jc w:val="both"/>
      </w:pPr>
      <w:r>
        <w:rPr>
          <w:rFonts w:ascii="Times New Roman" w:hAnsi="Times New Roman"/>
          <w:sz w:val="18"/>
        </w:rPr>
        <w:t>[22]  A. Caplin, S. Chan, C. Freeman, and J. Tracy, "Housing Partnerships: A New Approach to a Market at a Crossroads," MIT Press, 1997.</w:t>
      </w:r>
    </w:p>
    <w:sectPr w:rsidR="00536DDA" w:rsidSect="00034616">
      <w:footerReference w:type="even"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3CDFB" w14:textId="77777777" w:rsidR="00C65BC8" w:rsidRDefault="00C65BC8" w:rsidP="00920675">
      <w:pPr>
        <w:spacing w:after="0" w:line="240" w:lineRule="auto"/>
      </w:pPr>
      <w:r>
        <w:separator/>
      </w:r>
    </w:p>
  </w:endnote>
  <w:endnote w:type="continuationSeparator" w:id="0">
    <w:p w14:paraId="60686EC3" w14:textId="77777777" w:rsidR="00C65BC8" w:rsidRDefault="00C65BC8" w:rsidP="00920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405427"/>
      <w:docPartObj>
        <w:docPartGallery w:val="Page Numbers (Bottom of Page)"/>
        <w:docPartUnique/>
      </w:docPartObj>
    </w:sdtPr>
    <w:sdtContent>
      <w:p w14:paraId="3BE28D7D" w14:textId="1E4E4E71" w:rsidR="00920675" w:rsidRDefault="00920675" w:rsidP="006736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CB3E19A" w14:textId="77777777" w:rsidR="00920675" w:rsidRDefault="00920675" w:rsidP="009206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314713"/>
      <w:docPartObj>
        <w:docPartGallery w:val="Page Numbers (Bottom of Page)"/>
        <w:docPartUnique/>
      </w:docPartObj>
    </w:sdtPr>
    <w:sdtContent>
      <w:p w14:paraId="03944D2D" w14:textId="6F7B65AD" w:rsidR="00920675" w:rsidRDefault="00920675" w:rsidP="006736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4B9739E1" w14:textId="77777777" w:rsidR="00920675" w:rsidRDefault="00920675" w:rsidP="009206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2B4B5" w14:textId="77777777" w:rsidR="00C65BC8" w:rsidRDefault="00C65BC8" w:rsidP="00920675">
      <w:pPr>
        <w:spacing w:after="0" w:line="240" w:lineRule="auto"/>
      </w:pPr>
      <w:r>
        <w:separator/>
      </w:r>
    </w:p>
  </w:footnote>
  <w:footnote w:type="continuationSeparator" w:id="0">
    <w:p w14:paraId="1A518E7F" w14:textId="77777777" w:rsidR="00C65BC8" w:rsidRDefault="00C65BC8" w:rsidP="009206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8120910">
    <w:abstractNumId w:val="8"/>
  </w:num>
  <w:num w:numId="2" w16cid:durableId="435104362">
    <w:abstractNumId w:val="6"/>
  </w:num>
  <w:num w:numId="3" w16cid:durableId="688725303">
    <w:abstractNumId w:val="5"/>
  </w:num>
  <w:num w:numId="4" w16cid:durableId="430396839">
    <w:abstractNumId w:val="4"/>
  </w:num>
  <w:num w:numId="5" w16cid:durableId="967736043">
    <w:abstractNumId w:val="7"/>
  </w:num>
  <w:num w:numId="6" w16cid:durableId="1563711712">
    <w:abstractNumId w:val="3"/>
  </w:num>
  <w:num w:numId="7" w16cid:durableId="1487555278">
    <w:abstractNumId w:val="2"/>
  </w:num>
  <w:num w:numId="8" w16cid:durableId="153644808">
    <w:abstractNumId w:val="1"/>
  </w:num>
  <w:num w:numId="9" w16cid:durableId="2024626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F35"/>
    <w:rsid w:val="0015074B"/>
    <w:rsid w:val="0029639D"/>
    <w:rsid w:val="00326F90"/>
    <w:rsid w:val="00536DDA"/>
    <w:rsid w:val="00920675"/>
    <w:rsid w:val="00AA1D8D"/>
    <w:rsid w:val="00B47730"/>
    <w:rsid w:val="00C65BC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6B89C"/>
  <w14:defaultImageDpi w14:val="300"/>
  <w15:docId w15:val="{DCE40438-9280-1A4D-A23E-F304880FF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920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6891</Words>
  <Characters>39285</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Azizur Rahman</cp:lastModifiedBy>
  <cp:revision>2</cp:revision>
  <dcterms:created xsi:type="dcterms:W3CDTF">2026-02-20T01:29:00Z</dcterms:created>
  <dcterms:modified xsi:type="dcterms:W3CDTF">2026-02-20T01:29:00Z</dcterms:modified>
  <cp:category/>
</cp:coreProperties>
</file>