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855E" w14:textId="77777777" w:rsidR="003D69C7" w:rsidRDefault="00000000">
      <w:pPr>
        <w:spacing w:after="280"/>
        <w:jc w:val="center"/>
      </w:pPr>
      <w:r>
        <w:rPr>
          <w:b/>
          <w:color w:val="1A376C"/>
          <w:sz w:val="36"/>
        </w:rPr>
        <w:t>AI-Driven Housing Affordability Forecasting in New York City: An Integrated Machine Learning Framework with Explainable AI, Supply-Demand Dynamics, and Policy Analysis</w:t>
      </w:r>
    </w:p>
    <w:p w14:paraId="2733421D" w14:textId="42A97838" w:rsidR="003D69C7" w:rsidRDefault="000B18E7">
      <w:pPr>
        <w:jc w:val="center"/>
      </w:pPr>
      <w:r>
        <w:rPr>
          <w:b/>
        </w:rPr>
        <w:t xml:space="preserve">Azizur </w:t>
      </w:r>
      <w:r w:rsidR="00000000">
        <w:rPr>
          <w:b/>
        </w:rPr>
        <w:t>Rahman</w:t>
      </w:r>
    </w:p>
    <w:p w14:paraId="79DEC6C8" w14:textId="77777777" w:rsidR="003D69C7" w:rsidRDefault="00000000">
      <w:pPr>
        <w:pStyle w:val="Heading2"/>
      </w:pPr>
      <w:r>
        <w:t>Abstract</w:t>
      </w:r>
    </w:p>
    <w:p w14:paraId="727CD6D2" w14:textId="77777777" w:rsidR="003D69C7" w:rsidRDefault="00000000">
      <w:r>
        <w:t>Housing affordability in New York City represents one of the most pressing urban policy challenges of the twenty-first century. This paper presents a comprehensive AI-driven framework for forecasting housing affordability stress across NYC's four major boroughs—Manhattan, the Bronx, Brooklyn, and Queens—from 2005 to 2023, with forecasts extending through 2027. We integrate 16 longitudinal datasets spanning income dynamics, rental market conditions, housing supply pipelines, government subsidy coverage, labor market indicators, and demographic characteristics into a unified analytical pipeline. Three predictive models are evaluated: Random Forest, XGBoost, and a three-layer Long Short-Term Memory (LSTM) neural network. XGBoost achieves the strongest predictive performance (Test R² = 0.869, RMSE = 0.0067), and SHAP-based explainability analysis identifies high-cost refinance loan concentration and housing cost pressure as the dominant drivers of affordability stress. A novel nine-indicator gentrification risk model reveals Brooklyn (0.552) and the Bronx (0.532) as the boroughs under the greatest displacement pressure. Forecasts to 2027 project a worsening trajectory for the Bronx, stabilization in Brooklyn, and modest stress escalation in Manhattan. Our findings carry direct policy relevance for targeted rent stabilization, affordable housing investment, and government subsidy allocation.</w:t>
      </w:r>
    </w:p>
    <w:p w14:paraId="3A4A3358" w14:textId="77777777" w:rsidR="003D69C7" w:rsidRDefault="00000000">
      <w:r>
        <w:rPr>
          <w:b/>
        </w:rPr>
        <w:t>Keywords:</w:t>
      </w:r>
      <w:r>
        <w:t xml:space="preserve"> housing affordability, machine learning, XGBoost, LSTM, SHAP explainability, New York City, gentrification, rental market, urban policy forecasting</w:t>
      </w:r>
    </w:p>
    <w:p w14:paraId="6ACBDC44" w14:textId="05F887FE" w:rsidR="003D69C7" w:rsidRDefault="00000000">
      <w:pPr>
        <w:pStyle w:val="Heading2"/>
      </w:pPr>
      <w:r>
        <w:t>1. Introduction</w:t>
      </w:r>
    </w:p>
    <w:p w14:paraId="29CDFD70" w14:textId="77777777" w:rsidR="003D69C7" w:rsidRDefault="00000000">
      <w:r>
        <w:t xml:space="preserve">New York City is home to approximately 8.3 million residents and contains over 3.4 million housing units, yet persistent affordability pressures have placed tremendous strain on low- and middle-income households—particularly renters. The conventional 30-percent-of-income rule for housing costs is routinely breached across all five boroughs, yet the mechanisms driving stress vary substantially across neighborhoods and time. Structural factors such as stagnant renter incomes, high-cost mortgage market concentration, tight rental vacancy rates, and inadequate new housing supply interact with cyclical shocks—the 2008 financial crisis, the </w:t>
      </w:r>
      <w:r>
        <w:lastRenderedPageBreak/>
        <w:t>COVID-19 pandemic—to produce complex, nonlinear affordability dynamics that traditional econometric models struggle to capture.</w:t>
      </w:r>
    </w:p>
    <w:p w14:paraId="5E807858" w14:textId="77777777" w:rsidR="003D69C7" w:rsidRDefault="00000000">
      <w:r>
        <w:t>The emergence of machine learning methods in urban economics offers a new lens for this problem. Ensemble tree models can detect nonlinear interactions among dozens of socioeconomic variables; deep learning architectures such as LSTM networks can capture temporal dependencies in time-series data; and post-hoc explainability tools such as SHAP (SHapley Additive exPlanations) can render opaque black-box predictions interpretable to policymakers.</w:t>
      </w:r>
    </w:p>
    <w:p w14:paraId="0195ACD4" w14:textId="77777777" w:rsidR="003D69C7" w:rsidRDefault="00000000">
      <w:r>
        <w:t>This paper makes the following contributions:</w:t>
      </w:r>
    </w:p>
    <w:p w14:paraId="6613E0DC" w14:textId="77777777" w:rsidR="003D69C7" w:rsidRDefault="00000000">
      <w:pPr>
        <w:pStyle w:val="ListNumber"/>
        <w:spacing w:after="60"/>
        <w:ind w:left="567"/>
      </w:pPr>
      <w:r>
        <w:rPr>
          <w:b/>
        </w:rPr>
        <w:t>Integrated dataset</w:t>
      </w:r>
      <w:r>
        <w:t>: We compile 16 longitudinal data sources into a single panel dataset covering 4 boroughs × 19 years (2005–2023), encompassing 39 engineered features spanning income, rental market conditions, housing supply, government assistance, labor market, and neighborhood quality.</w:t>
      </w:r>
    </w:p>
    <w:p w14:paraId="23A63955" w14:textId="77777777" w:rsidR="003D69C7" w:rsidRDefault="00000000">
      <w:pPr>
        <w:pStyle w:val="ListNumber"/>
        <w:spacing w:after="60"/>
        <w:ind w:left="567"/>
      </w:pPr>
      <w:r>
        <w:rPr>
          <w:b/>
        </w:rPr>
        <w:t>Composite affordability index</w:t>
      </w:r>
      <w:r>
        <w:t>: We construct a novel Affordability Stress Index that combines housing cost pressure (derived from high-cost loan concentration) with renter income vulnerability, capturing both the supply-side and demand-side dimensions of unaffordability.</w:t>
      </w:r>
    </w:p>
    <w:p w14:paraId="3AF235EA" w14:textId="77777777" w:rsidR="003D69C7" w:rsidRDefault="00000000">
      <w:pPr>
        <w:pStyle w:val="ListNumber"/>
        <w:spacing w:after="60"/>
        <w:ind w:left="567"/>
      </w:pPr>
      <w:r>
        <w:rPr>
          <w:b/>
        </w:rPr>
        <w:t>Comparative model evaluation</w:t>
      </w:r>
      <w:r>
        <w:t>: We benchmark Random Forest, XGBoost, and a three-layer LSTM against a chronologically split holdout, demonstrating XGBoost's superiority for this panel setting (R² = 0.869).</w:t>
      </w:r>
    </w:p>
    <w:p w14:paraId="790B2925" w14:textId="77777777" w:rsidR="003D69C7" w:rsidRDefault="00000000">
      <w:pPr>
        <w:pStyle w:val="ListNumber"/>
        <w:spacing w:after="60"/>
        <w:ind w:left="567"/>
      </w:pPr>
      <w:r>
        <w:rPr>
          <w:b/>
        </w:rPr>
        <w:t>Explainable AI</w:t>
      </w:r>
      <w:r>
        <w:t>: SHAP decomposition quantifies the marginal contribution of all 39 features to individual predictions, identifying high-cost loan instruments as the single largest driver of affordability stress across boroughs.</w:t>
      </w:r>
    </w:p>
    <w:p w14:paraId="3C367A29" w14:textId="77777777" w:rsidR="003D69C7" w:rsidRDefault="00000000">
      <w:pPr>
        <w:pStyle w:val="ListNumber"/>
        <w:spacing w:after="60"/>
        <w:ind w:left="567"/>
      </w:pPr>
      <w:r>
        <w:rPr>
          <w:b/>
        </w:rPr>
        <w:t>Enhanced gentrification model</w:t>
      </w:r>
      <w:r>
        <w:t>: A nine-indicator composite gentrification risk score incorporates rental market tightness, housing voucher coverage, and building permit acceleration alongside traditional income and crime indicators.</w:t>
      </w:r>
    </w:p>
    <w:p w14:paraId="10F94B31" w14:textId="77777777" w:rsidR="003D69C7" w:rsidRDefault="00000000">
      <w:pPr>
        <w:pStyle w:val="ListNumber"/>
        <w:spacing w:after="60"/>
        <w:ind w:left="567"/>
      </w:pPr>
      <w:r>
        <w:rPr>
          <w:b/>
        </w:rPr>
        <w:t>Policy forecasts</w:t>
      </w:r>
      <w:r>
        <w:t>: Iterative XGBoost projections through 2027 provide borough-level affordability trajectories to inform budget planning for housing subsidy programs.</w:t>
      </w:r>
    </w:p>
    <w:p w14:paraId="46C6578A" w14:textId="77777777" w:rsidR="003D69C7" w:rsidRDefault="00000000">
      <w:r>
        <w:t>The remainder of this paper is organized as follows. Section 2 reviews related literature. Section 3 describes the data sources and preprocessing pipeline. Section 4 defines the feature engineering strategy. Section 5 presents the predictive modeling framework. Section 6 reports empirical results. Section 7 presents SHAP explainability analysis. Section 8 analyzes gentrification risk. Section 9 presents affordability forecasts. Section 10 discusses policy implications. Section 11 concludes.</w:t>
      </w:r>
    </w:p>
    <w:p w14:paraId="59038044" w14:textId="77777777" w:rsidR="003D69C7" w:rsidRDefault="00000000">
      <w:pPr>
        <w:pStyle w:val="Heading2"/>
      </w:pPr>
      <w:r>
        <w:lastRenderedPageBreak/>
        <w:t>2. Related Work</w:t>
      </w:r>
    </w:p>
    <w:p w14:paraId="765C9AE0" w14:textId="77777777" w:rsidR="003D69C7" w:rsidRDefault="00000000">
      <w:pPr>
        <w:pStyle w:val="Heading3"/>
      </w:pPr>
      <w:r>
        <w:t>2.1 Housing Affordability Measurement</w:t>
      </w:r>
    </w:p>
    <w:p w14:paraId="59AE6BF9" w14:textId="77777777" w:rsidR="003D69C7" w:rsidRDefault="00000000">
      <w:r>
        <w:t xml:space="preserve">The literature on housing affordability measurement spans at least three major frameworks. The </w:t>
      </w:r>
      <w:r>
        <w:rPr>
          <w:b/>
        </w:rPr>
        <w:t>ratio approach</w:t>
      </w:r>
      <w:r>
        <w:t xml:space="preserve"> (Kutty, 2005; Stone, 2006) defines affordability as the share of income spent on housing, typically applying a 30% threshold. The </w:t>
      </w:r>
      <w:r>
        <w:rPr>
          <w:b/>
        </w:rPr>
        <w:t>residual income approach</w:t>
      </w:r>
      <w:r>
        <w:t xml:space="preserve"> (Stone, 2006; Rowley &amp; Ong, 2012) measures what households have left after paying housing costs. The </w:t>
      </w:r>
      <w:r>
        <w:rPr>
          <w:b/>
        </w:rPr>
        <w:t>composite index approach</w:t>
      </w:r>
      <w:r>
        <w:t xml:space="preserve"> synthesizes multiple dimensions—cost burden, market tightness, neighborhood quality—into a single score. Our Affordability Stress Index belongs to the third tradition, combining high-cost loan concentration with renter income vulnerability to capture both the credit market and labor market dimensions of unaffordability.</w:t>
      </w:r>
    </w:p>
    <w:p w14:paraId="13711F2E" w14:textId="77777777" w:rsidR="003D69C7" w:rsidRDefault="00000000">
      <w:pPr>
        <w:pStyle w:val="Heading3"/>
      </w:pPr>
      <w:r>
        <w:t>2.2 Machine Learning in Urban Housing Markets</w:t>
      </w:r>
    </w:p>
    <w:p w14:paraId="75C5D484" w14:textId="77777777" w:rsidR="003D69C7" w:rsidRDefault="00000000">
      <w:r>
        <w:t>Machine learning has been increasingly applied to housing price prediction (Limsombunchai, 2004; Bin, 2004; Yoo et al., 2012; Mullainathan &amp; Spiess, 2017), with gradient boosting methods consistently outperforming hedonic regression benchmarks. For affordability specifically, González-Bailón et al. (2014) use random forests to predict rent burden from census microdata; Chapple et al. (2017) apply logistic regression and gradient boosting to gentrification prediction; and Hwang &amp; Lin (2016) use machine learning to identify early warning signals of neighborhood change in large U.S. cities. Our paper extends this line of work by incorporating a broader feature set—including rental vacancy rates, severe crowding, housing voucher coverage, and FHA/VA loan share—and by combining machine learning prediction with SHAP-based policy interpretation.</w:t>
      </w:r>
    </w:p>
    <w:p w14:paraId="4176BD9F" w14:textId="77777777" w:rsidR="003D69C7" w:rsidRDefault="00000000">
      <w:pPr>
        <w:pStyle w:val="Heading3"/>
      </w:pPr>
      <w:r>
        <w:t>2.3 LSTM for Spatiotemporal Housing Forecasting</w:t>
      </w:r>
    </w:p>
    <w:p w14:paraId="0355455F" w14:textId="77777777" w:rsidR="003D69C7" w:rsidRDefault="00000000">
      <w:r>
        <w:t>Recurrent neural networks have been applied to real estate market forecasting in contexts where temporal autocorrelation is strong (Gu et al., 2021; Kim &amp; Cho, 2019). LSTM architectures (Hochreiter &amp; Schmidhuber, 1997) are particularly suited to capturing multi-year boom-bust cycles in housing markets. However, their sample efficiency is low: with borough-level panel data spanning fewer than 80 observations, LSTM models tend to overfit. Our results corroborate this; XGBoost, which can exploit cross-sectional variation across boroughs, substantially outperforms the LSTM on the test set.</w:t>
      </w:r>
    </w:p>
    <w:p w14:paraId="7953015C" w14:textId="77777777" w:rsidR="003D69C7" w:rsidRDefault="00000000">
      <w:pPr>
        <w:pStyle w:val="Heading3"/>
      </w:pPr>
      <w:r>
        <w:t>2.4 Gentrification and Displacement Risk</w:t>
      </w:r>
    </w:p>
    <w:p w14:paraId="00681AF1" w14:textId="77777777" w:rsidR="003D69C7" w:rsidRDefault="00000000">
      <w:r>
        <w:t xml:space="preserve">The gentrification literature identifies rising property values (Hwang &amp; Lin, 2016), income upgrading (Kasman et al., 2020), demographic change (Ding et al., 2016), and transit </w:t>
      </w:r>
      <w:r>
        <w:lastRenderedPageBreak/>
        <w:t>accessibility (Kahn, 2007) as core displacement mechanisms. NYC-specific studies have documented gentrification pressure in neighborhoods of Bushwick, Crown Heights, and Mott Haven (Lees et al., 2008; Been et al., 2016). We contribute a data-driven multi-indicator risk score that integrates rental market tightness and government subsidy coverage alongside the standard income and crime indicators.</w:t>
      </w:r>
    </w:p>
    <w:p w14:paraId="4E08F1DA" w14:textId="4F436975" w:rsidR="003D69C7" w:rsidRDefault="00000000">
      <w:pPr>
        <w:pStyle w:val="Heading2"/>
      </w:pPr>
      <w:r>
        <w:t>3. Data</w:t>
      </w:r>
    </w:p>
    <w:p w14:paraId="483327EA" w14:textId="77777777" w:rsidR="003D69C7" w:rsidRDefault="00000000">
      <w:pPr>
        <w:pStyle w:val="Heading3"/>
      </w:pPr>
      <w:r>
        <w:t>3.1 Data Sources</w:t>
      </w:r>
    </w:p>
    <w:p w14:paraId="6D8F0F2D" w14:textId="77777777" w:rsidR="003D69C7" w:rsidRDefault="00000000">
      <w:r>
        <w:t>We draw on 16 data sources, all published by the New York City Mayor's Office of Operations, the NYC Department of Housing Preservation and Development, and the U.S. Census Bureau's American Community Survey (ACS). All sources are borough-level annual panels, except where noted.</w:t>
      </w:r>
    </w:p>
    <w:p w14:paraId="24462304" w14:textId="77777777" w:rsidR="003D69C7" w:rsidRDefault="00000000">
      <w:pPr>
        <w:jc w:val="center"/>
      </w:pPr>
      <w:r>
        <w:rPr>
          <w:b/>
        </w:rPr>
        <w:t>Table 1: Data Sources</w:t>
      </w:r>
    </w:p>
    <w:tbl>
      <w:tblPr>
        <w:tblStyle w:val="TableGrid"/>
        <w:tblW w:w="0" w:type="auto"/>
        <w:jc w:val="center"/>
        <w:tblLook w:val="04A0" w:firstRow="1" w:lastRow="0" w:firstColumn="1" w:lastColumn="0" w:noHBand="0" w:noVBand="1"/>
      </w:tblPr>
      <w:tblGrid>
        <w:gridCol w:w="2646"/>
        <w:gridCol w:w="2646"/>
        <w:gridCol w:w="2646"/>
      </w:tblGrid>
      <w:tr w:rsidR="003D69C7" w14:paraId="291B986E" w14:textId="77777777">
        <w:trPr>
          <w:jc w:val="center"/>
        </w:trPr>
        <w:tc>
          <w:tcPr>
            <w:tcW w:w="2646" w:type="dxa"/>
            <w:shd w:val="clear" w:color="auto" w:fill="1A376C"/>
          </w:tcPr>
          <w:p w14:paraId="31BA190F" w14:textId="77777777" w:rsidR="003D69C7" w:rsidRDefault="00000000">
            <w:pPr>
              <w:jc w:val="center"/>
            </w:pPr>
            <w:r>
              <w:rPr>
                <w:b/>
                <w:color w:val="FFFFFF"/>
                <w:sz w:val="20"/>
              </w:rPr>
              <w:t>Variable</w:t>
            </w:r>
          </w:p>
        </w:tc>
        <w:tc>
          <w:tcPr>
            <w:tcW w:w="2646" w:type="dxa"/>
            <w:shd w:val="clear" w:color="auto" w:fill="1A376C"/>
          </w:tcPr>
          <w:p w14:paraId="4B602EAA" w14:textId="77777777" w:rsidR="003D69C7" w:rsidRDefault="00000000">
            <w:pPr>
              <w:jc w:val="center"/>
            </w:pPr>
            <w:r>
              <w:rPr>
                <w:b/>
                <w:color w:val="FFFFFF"/>
                <w:sz w:val="20"/>
              </w:rPr>
              <w:t>Source</w:t>
            </w:r>
          </w:p>
        </w:tc>
        <w:tc>
          <w:tcPr>
            <w:tcW w:w="2646" w:type="dxa"/>
            <w:shd w:val="clear" w:color="auto" w:fill="1A376C"/>
          </w:tcPr>
          <w:p w14:paraId="43EAFDE8" w14:textId="77777777" w:rsidR="003D69C7" w:rsidRDefault="00000000">
            <w:pPr>
              <w:jc w:val="center"/>
            </w:pPr>
            <w:r>
              <w:rPr>
                <w:b/>
                <w:color w:val="FFFFFF"/>
                <w:sz w:val="20"/>
              </w:rPr>
              <w:t>Coverage</w:t>
            </w:r>
          </w:p>
        </w:tc>
      </w:tr>
      <w:tr w:rsidR="003D69C7" w14:paraId="19AD6E3F" w14:textId="77777777">
        <w:trPr>
          <w:jc w:val="center"/>
        </w:trPr>
        <w:tc>
          <w:tcPr>
            <w:tcW w:w="2646" w:type="dxa"/>
          </w:tcPr>
          <w:p w14:paraId="22B38410" w14:textId="77777777" w:rsidR="003D69C7" w:rsidRDefault="00000000">
            <w:r>
              <w:rPr>
                <w:sz w:val="20"/>
              </w:rPr>
              <w:t>Median household income (2024$)</w:t>
            </w:r>
          </w:p>
        </w:tc>
        <w:tc>
          <w:tcPr>
            <w:tcW w:w="2646" w:type="dxa"/>
          </w:tcPr>
          <w:p w14:paraId="5BDE13F5" w14:textId="77777777" w:rsidR="003D69C7" w:rsidRDefault="00000000">
            <w:r>
              <w:rPr>
                <w:sz w:val="20"/>
              </w:rPr>
              <w:t>NYC Mayor's Office / ACS</w:t>
            </w:r>
          </w:p>
        </w:tc>
        <w:tc>
          <w:tcPr>
            <w:tcW w:w="2646" w:type="dxa"/>
          </w:tcPr>
          <w:p w14:paraId="71B0760B" w14:textId="77777777" w:rsidR="003D69C7" w:rsidRDefault="00000000">
            <w:r>
              <w:rPr>
                <w:sz w:val="20"/>
              </w:rPr>
              <w:t>2000–2023</w:t>
            </w:r>
          </w:p>
        </w:tc>
      </w:tr>
      <w:tr w:rsidR="003D69C7" w14:paraId="38F74238" w14:textId="77777777">
        <w:trPr>
          <w:jc w:val="center"/>
        </w:trPr>
        <w:tc>
          <w:tcPr>
            <w:tcW w:w="2646" w:type="dxa"/>
            <w:shd w:val="clear" w:color="auto" w:fill="E8EDF6"/>
          </w:tcPr>
          <w:p w14:paraId="2D6B3018" w14:textId="77777777" w:rsidR="003D69C7" w:rsidRDefault="00000000">
            <w:r>
              <w:rPr>
                <w:sz w:val="20"/>
              </w:rPr>
              <w:t>Median renter household income (2024$)</w:t>
            </w:r>
          </w:p>
        </w:tc>
        <w:tc>
          <w:tcPr>
            <w:tcW w:w="2646" w:type="dxa"/>
            <w:shd w:val="clear" w:color="auto" w:fill="E8EDF6"/>
          </w:tcPr>
          <w:p w14:paraId="0420CDF5" w14:textId="77777777" w:rsidR="003D69C7" w:rsidRDefault="00000000">
            <w:r>
              <w:rPr>
                <w:sz w:val="20"/>
              </w:rPr>
              <w:t>NYC Mayor's Office / ACS</w:t>
            </w:r>
          </w:p>
        </w:tc>
        <w:tc>
          <w:tcPr>
            <w:tcW w:w="2646" w:type="dxa"/>
            <w:shd w:val="clear" w:color="auto" w:fill="E8EDF6"/>
          </w:tcPr>
          <w:p w14:paraId="7989DD2F" w14:textId="77777777" w:rsidR="003D69C7" w:rsidRDefault="00000000">
            <w:r>
              <w:rPr>
                <w:sz w:val="20"/>
              </w:rPr>
              <w:t>2005–2023</w:t>
            </w:r>
          </w:p>
        </w:tc>
      </w:tr>
      <w:tr w:rsidR="003D69C7" w14:paraId="3C1DF93D" w14:textId="77777777">
        <w:trPr>
          <w:jc w:val="center"/>
        </w:trPr>
        <w:tc>
          <w:tcPr>
            <w:tcW w:w="2646" w:type="dxa"/>
          </w:tcPr>
          <w:p w14:paraId="00B438A3" w14:textId="77777777" w:rsidR="003D69C7" w:rsidRDefault="00000000">
            <w:r>
              <w:rPr>
                <w:sz w:val="20"/>
              </w:rPr>
              <w:t>Population</w:t>
            </w:r>
          </w:p>
        </w:tc>
        <w:tc>
          <w:tcPr>
            <w:tcW w:w="2646" w:type="dxa"/>
          </w:tcPr>
          <w:p w14:paraId="1CED73F9" w14:textId="77777777" w:rsidR="003D69C7" w:rsidRDefault="00000000">
            <w:r>
              <w:rPr>
                <w:sz w:val="20"/>
              </w:rPr>
              <w:t>NYC Mayor's Office</w:t>
            </w:r>
          </w:p>
        </w:tc>
        <w:tc>
          <w:tcPr>
            <w:tcW w:w="2646" w:type="dxa"/>
          </w:tcPr>
          <w:p w14:paraId="5C86D81F" w14:textId="77777777" w:rsidR="003D69C7" w:rsidRDefault="00000000">
            <w:r>
              <w:rPr>
                <w:sz w:val="20"/>
              </w:rPr>
              <w:t>2000–2023</w:t>
            </w:r>
          </w:p>
        </w:tc>
      </w:tr>
      <w:tr w:rsidR="003D69C7" w14:paraId="2204A30B" w14:textId="77777777">
        <w:trPr>
          <w:jc w:val="center"/>
        </w:trPr>
        <w:tc>
          <w:tcPr>
            <w:tcW w:w="2646" w:type="dxa"/>
            <w:shd w:val="clear" w:color="auto" w:fill="E8EDF6"/>
          </w:tcPr>
          <w:p w14:paraId="64EF5E78" w14:textId="77777777" w:rsidR="003D69C7" w:rsidRDefault="00000000">
            <w:r>
              <w:rPr>
                <w:sz w:val="20"/>
              </w:rPr>
              <w:t>Population density (1,000/sq. mi.)</w:t>
            </w:r>
          </w:p>
        </w:tc>
        <w:tc>
          <w:tcPr>
            <w:tcW w:w="2646" w:type="dxa"/>
            <w:shd w:val="clear" w:color="auto" w:fill="E8EDF6"/>
          </w:tcPr>
          <w:p w14:paraId="4E07FC1B" w14:textId="77777777" w:rsidR="003D69C7" w:rsidRDefault="00000000">
            <w:r>
              <w:rPr>
                <w:sz w:val="20"/>
              </w:rPr>
              <w:t>NYC Mayor's Office</w:t>
            </w:r>
          </w:p>
        </w:tc>
        <w:tc>
          <w:tcPr>
            <w:tcW w:w="2646" w:type="dxa"/>
            <w:shd w:val="clear" w:color="auto" w:fill="E8EDF6"/>
          </w:tcPr>
          <w:p w14:paraId="235F81D6" w14:textId="77777777" w:rsidR="003D69C7" w:rsidRDefault="00000000">
            <w:r>
              <w:rPr>
                <w:sz w:val="20"/>
              </w:rPr>
              <w:t>2006–2023</w:t>
            </w:r>
          </w:p>
        </w:tc>
      </w:tr>
      <w:tr w:rsidR="003D69C7" w14:paraId="2F4A877A" w14:textId="77777777">
        <w:trPr>
          <w:jc w:val="center"/>
        </w:trPr>
        <w:tc>
          <w:tcPr>
            <w:tcW w:w="2646" w:type="dxa"/>
          </w:tcPr>
          <w:p w14:paraId="26EFAE98" w14:textId="77777777" w:rsidR="003D69C7" w:rsidRDefault="00000000">
            <w:r>
              <w:rPr>
                <w:sz w:val="20"/>
              </w:rPr>
              <w:t>Homeownership rate</w:t>
            </w:r>
          </w:p>
        </w:tc>
        <w:tc>
          <w:tcPr>
            <w:tcW w:w="2646" w:type="dxa"/>
          </w:tcPr>
          <w:p w14:paraId="5409CFA4" w14:textId="77777777" w:rsidR="003D69C7" w:rsidRDefault="00000000">
            <w:r>
              <w:rPr>
                <w:sz w:val="20"/>
              </w:rPr>
              <w:t>ACS</w:t>
            </w:r>
          </w:p>
        </w:tc>
        <w:tc>
          <w:tcPr>
            <w:tcW w:w="2646" w:type="dxa"/>
          </w:tcPr>
          <w:p w14:paraId="176F98ED" w14:textId="77777777" w:rsidR="003D69C7" w:rsidRDefault="00000000">
            <w:r>
              <w:rPr>
                <w:sz w:val="20"/>
              </w:rPr>
              <w:t>2000–2023</w:t>
            </w:r>
          </w:p>
        </w:tc>
      </w:tr>
      <w:tr w:rsidR="003D69C7" w14:paraId="7549E97E" w14:textId="77777777">
        <w:trPr>
          <w:jc w:val="center"/>
        </w:trPr>
        <w:tc>
          <w:tcPr>
            <w:tcW w:w="2646" w:type="dxa"/>
            <w:shd w:val="clear" w:color="auto" w:fill="E8EDF6"/>
          </w:tcPr>
          <w:p w14:paraId="593C22D1" w14:textId="77777777" w:rsidR="003D69C7" w:rsidRDefault="00000000">
            <w:r>
              <w:rPr>
                <w:sz w:val="20"/>
              </w:rPr>
              <w:t>Serious crime rate (per 1,000 residents)</w:t>
            </w:r>
          </w:p>
        </w:tc>
        <w:tc>
          <w:tcPr>
            <w:tcW w:w="2646" w:type="dxa"/>
            <w:shd w:val="clear" w:color="auto" w:fill="E8EDF6"/>
          </w:tcPr>
          <w:p w14:paraId="7310A169" w14:textId="77777777" w:rsidR="003D69C7" w:rsidRDefault="00000000">
            <w:r>
              <w:rPr>
                <w:sz w:val="20"/>
              </w:rPr>
              <w:t>NYPD / Mayor's Office</w:t>
            </w:r>
          </w:p>
        </w:tc>
        <w:tc>
          <w:tcPr>
            <w:tcW w:w="2646" w:type="dxa"/>
            <w:shd w:val="clear" w:color="auto" w:fill="E8EDF6"/>
          </w:tcPr>
          <w:p w14:paraId="600D3227" w14:textId="77777777" w:rsidR="003D69C7" w:rsidRDefault="00000000">
            <w:r>
              <w:rPr>
                <w:sz w:val="20"/>
              </w:rPr>
              <w:t>2000–2024</w:t>
            </w:r>
          </w:p>
        </w:tc>
      </w:tr>
      <w:tr w:rsidR="003D69C7" w14:paraId="737D28BF" w14:textId="77777777">
        <w:trPr>
          <w:jc w:val="center"/>
        </w:trPr>
        <w:tc>
          <w:tcPr>
            <w:tcW w:w="2646" w:type="dxa"/>
          </w:tcPr>
          <w:p w14:paraId="2F8F731F" w14:textId="77777777" w:rsidR="003D69C7" w:rsidRDefault="00000000">
            <w:r>
              <w:rPr>
                <w:sz w:val="20"/>
              </w:rPr>
              <w:t>Car-free commute rate</w:t>
            </w:r>
          </w:p>
        </w:tc>
        <w:tc>
          <w:tcPr>
            <w:tcW w:w="2646" w:type="dxa"/>
          </w:tcPr>
          <w:p w14:paraId="2D4038C4" w14:textId="77777777" w:rsidR="003D69C7" w:rsidRDefault="00000000">
            <w:r>
              <w:rPr>
                <w:sz w:val="20"/>
              </w:rPr>
              <w:t>ACS</w:t>
            </w:r>
          </w:p>
        </w:tc>
        <w:tc>
          <w:tcPr>
            <w:tcW w:w="2646" w:type="dxa"/>
          </w:tcPr>
          <w:p w14:paraId="13CE7C24" w14:textId="77777777" w:rsidR="003D69C7" w:rsidRDefault="00000000">
            <w:r>
              <w:rPr>
                <w:sz w:val="20"/>
              </w:rPr>
              <w:t>2000–2023</w:t>
            </w:r>
          </w:p>
        </w:tc>
      </w:tr>
      <w:tr w:rsidR="003D69C7" w14:paraId="5F23654A" w14:textId="77777777">
        <w:trPr>
          <w:jc w:val="center"/>
        </w:trPr>
        <w:tc>
          <w:tcPr>
            <w:tcW w:w="2646" w:type="dxa"/>
            <w:shd w:val="clear" w:color="auto" w:fill="E8EDF6"/>
          </w:tcPr>
          <w:p w14:paraId="23912605" w14:textId="77777777" w:rsidR="003D69C7" w:rsidRDefault="00000000">
            <w:r>
              <w:rPr>
                <w:sz w:val="20"/>
              </w:rPr>
              <w:t>Mean travel time to work (minutes)</w:t>
            </w:r>
          </w:p>
        </w:tc>
        <w:tc>
          <w:tcPr>
            <w:tcW w:w="2646" w:type="dxa"/>
            <w:shd w:val="clear" w:color="auto" w:fill="E8EDF6"/>
          </w:tcPr>
          <w:p w14:paraId="126C403F" w14:textId="77777777" w:rsidR="003D69C7" w:rsidRDefault="00000000">
            <w:r>
              <w:rPr>
                <w:sz w:val="20"/>
              </w:rPr>
              <w:t>ACS</w:t>
            </w:r>
          </w:p>
        </w:tc>
        <w:tc>
          <w:tcPr>
            <w:tcW w:w="2646" w:type="dxa"/>
            <w:shd w:val="clear" w:color="auto" w:fill="E8EDF6"/>
          </w:tcPr>
          <w:p w14:paraId="5DE96DBA" w14:textId="77777777" w:rsidR="003D69C7" w:rsidRDefault="00000000">
            <w:r>
              <w:rPr>
                <w:sz w:val="20"/>
              </w:rPr>
              <w:t>2000–2023</w:t>
            </w:r>
          </w:p>
        </w:tc>
      </w:tr>
      <w:tr w:rsidR="003D69C7" w14:paraId="6249B647" w14:textId="77777777">
        <w:trPr>
          <w:jc w:val="center"/>
        </w:trPr>
        <w:tc>
          <w:tcPr>
            <w:tcW w:w="2646" w:type="dxa"/>
          </w:tcPr>
          <w:p w14:paraId="6BF1B739" w14:textId="77777777" w:rsidR="003D69C7" w:rsidRDefault="00000000">
            <w:r>
              <w:rPr>
                <w:sz w:val="20"/>
              </w:rPr>
              <w:t>High-cost home purchase loans (% of total)</w:t>
            </w:r>
          </w:p>
        </w:tc>
        <w:tc>
          <w:tcPr>
            <w:tcW w:w="2646" w:type="dxa"/>
          </w:tcPr>
          <w:p w14:paraId="330F02C3" w14:textId="77777777" w:rsidR="003D69C7" w:rsidRDefault="00000000">
            <w:r>
              <w:rPr>
                <w:sz w:val="20"/>
              </w:rPr>
              <w:t>HMDA / NYC HPD</w:t>
            </w:r>
          </w:p>
        </w:tc>
        <w:tc>
          <w:tcPr>
            <w:tcW w:w="2646" w:type="dxa"/>
          </w:tcPr>
          <w:p w14:paraId="61E9D2D2" w14:textId="77777777" w:rsidR="003D69C7" w:rsidRDefault="00000000">
            <w:r>
              <w:rPr>
                <w:sz w:val="20"/>
              </w:rPr>
              <w:t>2004–2023</w:t>
            </w:r>
          </w:p>
        </w:tc>
      </w:tr>
      <w:tr w:rsidR="003D69C7" w14:paraId="3223A86B" w14:textId="77777777">
        <w:trPr>
          <w:jc w:val="center"/>
        </w:trPr>
        <w:tc>
          <w:tcPr>
            <w:tcW w:w="2646" w:type="dxa"/>
            <w:shd w:val="clear" w:color="auto" w:fill="E8EDF6"/>
          </w:tcPr>
          <w:p w14:paraId="40E2A287" w14:textId="77777777" w:rsidR="003D69C7" w:rsidRDefault="00000000">
            <w:r>
              <w:rPr>
                <w:sz w:val="20"/>
              </w:rPr>
              <w:t xml:space="preserve">High-cost refinance loans (% </w:t>
            </w:r>
            <w:r>
              <w:rPr>
                <w:sz w:val="20"/>
              </w:rPr>
              <w:lastRenderedPageBreak/>
              <w:t>of total)</w:t>
            </w:r>
          </w:p>
        </w:tc>
        <w:tc>
          <w:tcPr>
            <w:tcW w:w="2646" w:type="dxa"/>
            <w:shd w:val="clear" w:color="auto" w:fill="E8EDF6"/>
          </w:tcPr>
          <w:p w14:paraId="5181DBA0" w14:textId="77777777" w:rsidR="003D69C7" w:rsidRDefault="00000000">
            <w:r>
              <w:rPr>
                <w:sz w:val="20"/>
              </w:rPr>
              <w:lastRenderedPageBreak/>
              <w:t>HMDA / NYC HPD</w:t>
            </w:r>
          </w:p>
        </w:tc>
        <w:tc>
          <w:tcPr>
            <w:tcW w:w="2646" w:type="dxa"/>
            <w:shd w:val="clear" w:color="auto" w:fill="E8EDF6"/>
          </w:tcPr>
          <w:p w14:paraId="7DD36702" w14:textId="77777777" w:rsidR="003D69C7" w:rsidRDefault="00000000">
            <w:r>
              <w:rPr>
                <w:sz w:val="20"/>
              </w:rPr>
              <w:t>2004–2023</w:t>
            </w:r>
          </w:p>
        </w:tc>
      </w:tr>
      <w:tr w:rsidR="003D69C7" w14:paraId="5730149F" w14:textId="77777777">
        <w:trPr>
          <w:jc w:val="center"/>
        </w:trPr>
        <w:tc>
          <w:tcPr>
            <w:tcW w:w="2646" w:type="dxa"/>
          </w:tcPr>
          <w:p w14:paraId="1D00F1E8" w14:textId="77777777" w:rsidR="003D69C7" w:rsidRDefault="00000000">
            <w:r>
              <w:rPr>
                <w:sz w:val="20"/>
              </w:rPr>
              <w:t>FHA/VA-backed purchase loans (% of total)</w:t>
            </w:r>
          </w:p>
        </w:tc>
        <w:tc>
          <w:tcPr>
            <w:tcW w:w="2646" w:type="dxa"/>
          </w:tcPr>
          <w:p w14:paraId="484D0D60" w14:textId="77777777" w:rsidR="003D69C7" w:rsidRDefault="00000000">
            <w:r>
              <w:rPr>
                <w:sz w:val="20"/>
              </w:rPr>
              <w:t>HMDA / NYC HPD</w:t>
            </w:r>
          </w:p>
        </w:tc>
        <w:tc>
          <w:tcPr>
            <w:tcW w:w="2646" w:type="dxa"/>
          </w:tcPr>
          <w:p w14:paraId="4F06E946" w14:textId="77777777" w:rsidR="003D69C7" w:rsidRDefault="00000000">
            <w:r>
              <w:rPr>
                <w:sz w:val="20"/>
              </w:rPr>
              <w:t>2004–2023</w:t>
            </w:r>
          </w:p>
        </w:tc>
      </w:tr>
      <w:tr w:rsidR="003D69C7" w14:paraId="2A5270F5" w14:textId="77777777">
        <w:trPr>
          <w:jc w:val="center"/>
        </w:trPr>
        <w:tc>
          <w:tcPr>
            <w:tcW w:w="2646" w:type="dxa"/>
            <w:shd w:val="clear" w:color="auto" w:fill="E8EDF6"/>
          </w:tcPr>
          <w:p w14:paraId="6A93EAB4" w14:textId="77777777" w:rsidR="003D69C7" w:rsidRDefault="00000000">
            <w:r>
              <w:rPr>
                <w:sz w:val="20"/>
              </w:rPr>
              <w:t>Housing choice vouchers (% of rental units)</w:t>
            </w:r>
          </w:p>
        </w:tc>
        <w:tc>
          <w:tcPr>
            <w:tcW w:w="2646" w:type="dxa"/>
            <w:shd w:val="clear" w:color="auto" w:fill="E8EDF6"/>
          </w:tcPr>
          <w:p w14:paraId="479FFE84" w14:textId="77777777" w:rsidR="003D69C7" w:rsidRDefault="00000000">
            <w:r>
              <w:rPr>
                <w:sz w:val="20"/>
              </w:rPr>
              <w:t>HUD / NYC HPD</w:t>
            </w:r>
          </w:p>
        </w:tc>
        <w:tc>
          <w:tcPr>
            <w:tcW w:w="2646" w:type="dxa"/>
            <w:shd w:val="clear" w:color="auto" w:fill="E8EDF6"/>
          </w:tcPr>
          <w:p w14:paraId="5FF3E2D8" w14:textId="77777777" w:rsidR="003D69C7" w:rsidRDefault="00000000">
            <w:r>
              <w:rPr>
                <w:sz w:val="20"/>
              </w:rPr>
              <w:t>2009–2023</w:t>
            </w:r>
          </w:p>
        </w:tc>
      </w:tr>
      <w:tr w:rsidR="003D69C7" w14:paraId="3CFF6030" w14:textId="77777777">
        <w:trPr>
          <w:jc w:val="center"/>
        </w:trPr>
        <w:tc>
          <w:tcPr>
            <w:tcW w:w="2646" w:type="dxa"/>
          </w:tcPr>
          <w:p w14:paraId="37C41D7A" w14:textId="77777777" w:rsidR="003D69C7" w:rsidRDefault="00000000">
            <w:r>
              <w:rPr>
                <w:sz w:val="20"/>
              </w:rPr>
              <w:t>Unemployment rate</w:t>
            </w:r>
          </w:p>
        </w:tc>
        <w:tc>
          <w:tcPr>
            <w:tcW w:w="2646" w:type="dxa"/>
          </w:tcPr>
          <w:p w14:paraId="79ABAD2E" w14:textId="77777777" w:rsidR="003D69C7" w:rsidRDefault="00000000">
            <w:r>
              <w:rPr>
                <w:sz w:val="20"/>
              </w:rPr>
              <w:t>BLS / ACS</w:t>
            </w:r>
          </w:p>
        </w:tc>
        <w:tc>
          <w:tcPr>
            <w:tcW w:w="2646" w:type="dxa"/>
          </w:tcPr>
          <w:p w14:paraId="4A1FB213" w14:textId="77777777" w:rsidR="003D69C7" w:rsidRDefault="00000000">
            <w:r>
              <w:rPr>
                <w:sz w:val="20"/>
              </w:rPr>
              <w:t>2000–2023</w:t>
            </w:r>
          </w:p>
        </w:tc>
      </w:tr>
      <w:tr w:rsidR="003D69C7" w14:paraId="22C62ACA" w14:textId="77777777">
        <w:trPr>
          <w:jc w:val="center"/>
        </w:trPr>
        <w:tc>
          <w:tcPr>
            <w:tcW w:w="2646" w:type="dxa"/>
            <w:shd w:val="clear" w:color="auto" w:fill="E8EDF6"/>
          </w:tcPr>
          <w:p w14:paraId="2C19F0BF" w14:textId="77777777" w:rsidR="003D69C7" w:rsidRDefault="00000000">
            <w:r>
              <w:rPr>
                <w:sz w:val="20"/>
              </w:rPr>
              <w:t>New residential building permits (units)</w:t>
            </w:r>
          </w:p>
        </w:tc>
        <w:tc>
          <w:tcPr>
            <w:tcW w:w="2646" w:type="dxa"/>
            <w:shd w:val="clear" w:color="auto" w:fill="E8EDF6"/>
          </w:tcPr>
          <w:p w14:paraId="7A35AB05" w14:textId="77777777" w:rsidR="003D69C7" w:rsidRDefault="00000000">
            <w:r>
              <w:rPr>
                <w:sz w:val="20"/>
              </w:rPr>
              <w:t>NYC DOB</w:t>
            </w:r>
          </w:p>
        </w:tc>
        <w:tc>
          <w:tcPr>
            <w:tcW w:w="2646" w:type="dxa"/>
            <w:shd w:val="clear" w:color="auto" w:fill="E8EDF6"/>
          </w:tcPr>
          <w:p w14:paraId="77EEE4A3" w14:textId="77777777" w:rsidR="003D69C7" w:rsidRDefault="00000000">
            <w:r>
              <w:rPr>
                <w:sz w:val="20"/>
              </w:rPr>
              <w:t>2000–2024</w:t>
            </w:r>
          </w:p>
        </w:tc>
      </w:tr>
      <w:tr w:rsidR="003D69C7" w14:paraId="64F002D1" w14:textId="77777777">
        <w:trPr>
          <w:jc w:val="center"/>
        </w:trPr>
        <w:tc>
          <w:tcPr>
            <w:tcW w:w="2646" w:type="dxa"/>
          </w:tcPr>
          <w:p w14:paraId="27645EAD" w14:textId="77777777" w:rsidR="003D69C7" w:rsidRDefault="00000000">
            <w:r>
              <w:rPr>
                <w:sz w:val="20"/>
              </w:rPr>
              <w:t>Rental vacancy rate</w:t>
            </w:r>
          </w:p>
        </w:tc>
        <w:tc>
          <w:tcPr>
            <w:tcW w:w="2646" w:type="dxa"/>
          </w:tcPr>
          <w:p w14:paraId="5090DDC6" w14:textId="77777777" w:rsidR="003D69C7" w:rsidRDefault="00000000">
            <w:r>
              <w:rPr>
                <w:sz w:val="20"/>
              </w:rPr>
              <w:t>NYC Housing Vacancy Survey</w:t>
            </w:r>
          </w:p>
        </w:tc>
        <w:tc>
          <w:tcPr>
            <w:tcW w:w="2646" w:type="dxa"/>
          </w:tcPr>
          <w:p w14:paraId="6098E758" w14:textId="77777777" w:rsidR="003D69C7" w:rsidRDefault="00000000">
            <w:r>
              <w:rPr>
                <w:sz w:val="20"/>
              </w:rPr>
              <w:t>2009–2023 (rolling 5-yr)</w:t>
            </w:r>
          </w:p>
        </w:tc>
      </w:tr>
      <w:tr w:rsidR="003D69C7" w14:paraId="5497C6C5" w14:textId="77777777">
        <w:trPr>
          <w:jc w:val="center"/>
        </w:trPr>
        <w:tc>
          <w:tcPr>
            <w:tcW w:w="2646" w:type="dxa"/>
            <w:shd w:val="clear" w:color="auto" w:fill="E8EDF6"/>
          </w:tcPr>
          <w:p w14:paraId="66A902AF" w14:textId="77777777" w:rsidR="003D69C7" w:rsidRDefault="00000000">
            <w:r>
              <w:rPr>
                <w:sz w:val="20"/>
              </w:rPr>
              <w:t>Severe crowding rate (% of renter HH)</w:t>
            </w:r>
          </w:p>
        </w:tc>
        <w:tc>
          <w:tcPr>
            <w:tcW w:w="2646" w:type="dxa"/>
            <w:shd w:val="clear" w:color="auto" w:fill="E8EDF6"/>
          </w:tcPr>
          <w:p w14:paraId="7CD8EFF4" w14:textId="77777777" w:rsidR="003D69C7" w:rsidRDefault="00000000">
            <w:r>
              <w:rPr>
                <w:sz w:val="20"/>
              </w:rPr>
              <w:t>ACS</w:t>
            </w:r>
          </w:p>
        </w:tc>
        <w:tc>
          <w:tcPr>
            <w:tcW w:w="2646" w:type="dxa"/>
            <w:shd w:val="clear" w:color="auto" w:fill="E8EDF6"/>
          </w:tcPr>
          <w:p w14:paraId="297A5190" w14:textId="77777777" w:rsidR="003D69C7" w:rsidRDefault="00000000">
            <w:r>
              <w:rPr>
                <w:sz w:val="20"/>
              </w:rPr>
              <w:t>2009–2023 (rolling 5-yr)</w:t>
            </w:r>
          </w:p>
        </w:tc>
      </w:tr>
      <w:tr w:rsidR="003D69C7" w14:paraId="5EF6162B" w14:textId="77777777">
        <w:trPr>
          <w:jc w:val="center"/>
        </w:trPr>
        <w:tc>
          <w:tcPr>
            <w:tcW w:w="2646" w:type="dxa"/>
          </w:tcPr>
          <w:p w14:paraId="5DB15C04" w14:textId="77777777" w:rsidR="003D69C7" w:rsidRDefault="00000000">
            <w:r>
              <w:rPr>
                <w:sz w:val="20"/>
              </w:rPr>
              <w:t>Subway proximity (% units within ½ mi.)</w:t>
            </w:r>
          </w:p>
        </w:tc>
        <w:tc>
          <w:tcPr>
            <w:tcW w:w="2646" w:type="dxa"/>
          </w:tcPr>
          <w:p w14:paraId="7823E73B" w14:textId="77777777" w:rsidR="003D69C7" w:rsidRDefault="00000000">
            <w:r>
              <w:rPr>
                <w:sz w:val="20"/>
              </w:rPr>
              <w:t>MTA / NYC DCP</w:t>
            </w:r>
          </w:p>
        </w:tc>
        <w:tc>
          <w:tcPr>
            <w:tcW w:w="2646" w:type="dxa"/>
          </w:tcPr>
          <w:p w14:paraId="146AC436" w14:textId="77777777" w:rsidR="003D69C7" w:rsidRDefault="00000000">
            <w:r>
              <w:rPr>
                <w:sz w:val="20"/>
              </w:rPr>
              <w:t>2017 (static)</w:t>
            </w:r>
          </w:p>
        </w:tc>
      </w:tr>
      <w:tr w:rsidR="003D69C7" w14:paraId="494F56F1" w14:textId="77777777">
        <w:trPr>
          <w:jc w:val="center"/>
        </w:trPr>
        <w:tc>
          <w:tcPr>
            <w:tcW w:w="2646" w:type="dxa"/>
            <w:shd w:val="clear" w:color="auto" w:fill="E8EDF6"/>
          </w:tcPr>
          <w:p w14:paraId="21BD658F" w14:textId="77777777" w:rsidR="003D69C7" w:rsidRDefault="00000000">
            <w:r>
              <w:rPr>
                <w:sz w:val="20"/>
              </w:rPr>
              <w:t>Park proximity (% units within ¼ mi.)</w:t>
            </w:r>
          </w:p>
        </w:tc>
        <w:tc>
          <w:tcPr>
            <w:tcW w:w="2646" w:type="dxa"/>
            <w:shd w:val="clear" w:color="auto" w:fill="E8EDF6"/>
          </w:tcPr>
          <w:p w14:paraId="79EDF50A" w14:textId="77777777" w:rsidR="003D69C7" w:rsidRDefault="00000000">
            <w:r>
              <w:rPr>
                <w:sz w:val="20"/>
              </w:rPr>
              <w:t>NYC Parks</w:t>
            </w:r>
          </w:p>
        </w:tc>
        <w:tc>
          <w:tcPr>
            <w:tcW w:w="2646" w:type="dxa"/>
            <w:shd w:val="clear" w:color="auto" w:fill="E8EDF6"/>
          </w:tcPr>
          <w:p w14:paraId="38DE7586" w14:textId="77777777" w:rsidR="003D69C7" w:rsidRDefault="00000000">
            <w:r>
              <w:rPr>
                <w:sz w:val="20"/>
              </w:rPr>
              <w:t>2017 (static)</w:t>
            </w:r>
          </w:p>
        </w:tc>
      </w:tr>
    </w:tbl>
    <w:p w14:paraId="03C73D69" w14:textId="77777777" w:rsidR="003D69C7" w:rsidRDefault="003D69C7"/>
    <w:p w14:paraId="0D8BA12A" w14:textId="77777777" w:rsidR="003D69C7" w:rsidRDefault="00000000">
      <w:r>
        <w:t>The rental vacancy rate and severe crowding rate are published as 5-year rolling averages (e.g., "2005–2009"). We assign each rolling window to its terminal year (e.g., the "2005–2009" estimate is assigned to year 2009), consistent with ACS survey design conventions.</w:t>
      </w:r>
    </w:p>
    <w:p w14:paraId="40B28EB1" w14:textId="77777777" w:rsidR="003D69C7" w:rsidRDefault="00000000">
      <w:pPr>
        <w:pStyle w:val="Heading3"/>
      </w:pPr>
      <w:r>
        <w:t>3.2 Panel Construction</w:t>
      </w:r>
    </w:p>
    <w:p w14:paraId="1D18EC40" w14:textId="77777777" w:rsidR="003D69C7" w:rsidRDefault="00000000">
      <w:r>
        <w:t xml:space="preserve">Wide-format CSV files (boroughs as rows, years as columns) were melted to long format (Borough × Year × Value). The four datasets without Staten Island coverage were merged via outer join on (Borough, Year), retaining Manhattan, the Bronx, Brooklyn, and Queens. The analysis window is restricted to 2005–2023, the period with sufficient cross-variable coverage across all four boroughs. After feature engineering, the final analytical dataset contains </w:t>
      </w:r>
      <w:r>
        <w:rPr>
          <w:b/>
        </w:rPr>
        <w:t>72 borough-year observations</w:t>
      </w:r>
      <w:r>
        <w:t xml:space="preserve"> and </w:t>
      </w:r>
      <w:r>
        <w:rPr>
          <w:b/>
        </w:rPr>
        <w:t>41 variables</w:t>
      </w:r>
      <w:r>
        <w:t>, including 39 features used for machine learning.</w:t>
      </w:r>
    </w:p>
    <w:p w14:paraId="602C25D2" w14:textId="77777777" w:rsidR="003D69C7" w:rsidRDefault="00000000">
      <w:pPr>
        <w:pStyle w:val="Heading3"/>
      </w:pPr>
      <w:r>
        <w:lastRenderedPageBreak/>
        <w:t>3.3 Missing Values</w:t>
      </w:r>
    </w:p>
    <w:p w14:paraId="18B3C993" w14:textId="77777777" w:rsidR="003D69C7" w:rsidRDefault="00000000">
      <w:r>
        <w:t xml:space="preserve">Table 2 summarizes missingness. Housing voucher coverage (27.8% missing, no 2022 data), rental vacancy rate (22.2%), and severe crowding rate (22.2%) have the highest missingness rates, attributable to survey publication lags and rolling-window alignment. All missing values are imputed using column-wise median imputation via scikit-learn's </w:t>
      </w:r>
      <w:r>
        <w:rPr>
          <w:rFonts w:ascii="Courier New" w:hAnsi="Courier New"/>
          <w:sz w:val="20"/>
        </w:rPr>
        <w:t>SimpleImputer</w:t>
      </w:r>
      <w:r>
        <w:t xml:space="preserve"> prior to model training. Infinity values arising from percentage-change computations on zero base values (notably in new building permit series) are replaced with </w:t>
      </w:r>
      <w:r>
        <w:rPr>
          <w:rFonts w:ascii="Courier New" w:hAnsi="Courier New"/>
          <w:sz w:val="20"/>
        </w:rPr>
        <w:t>NaN</w:t>
      </w:r>
      <w:r>
        <w:t xml:space="preserve"> before imputation.</w:t>
      </w:r>
    </w:p>
    <w:p w14:paraId="4448CF8A" w14:textId="77777777" w:rsidR="003D69C7" w:rsidRDefault="00000000">
      <w:pPr>
        <w:jc w:val="center"/>
      </w:pPr>
      <w:r>
        <w:rPr>
          <w:b/>
        </w:rPr>
        <w:t>Table 2: Missing Value Summary (72 obs.)</w:t>
      </w:r>
    </w:p>
    <w:tbl>
      <w:tblPr>
        <w:tblStyle w:val="TableGrid"/>
        <w:tblW w:w="0" w:type="auto"/>
        <w:jc w:val="center"/>
        <w:tblLook w:val="04A0" w:firstRow="1" w:lastRow="0" w:firstColumn="1" w:lastColumn="0" w:noHBand="0" w:noVBand="1"/>
      </w:tblPr>
      <w:tblGrid>
        <w:gridCol w:w="2860"/>
        <w:gridCol w:w="2646"/>
        <w:gridCol w:w="2646"/>
      </w:tblGrid>
      <w:tr w:rsidR="003D69C7" w14:paraId="12DC5083" w14:textId="77777777">
        <w:trPr>
          <w:jc w:val="center"/>
        </w:trPr>
        <w:tc>
          <w:tcPr>
            <w:tcW w:w="2646" w:type="dxa"/>
            <w:shd w:val="clear" w:color="auto" w:fill="1A376C"/>
          </w:tcPr>
          <w:p w14:paraId="384EB162" w14:textId="77777777" w:rsidR="003D69C7" w:rsidRDefault="00000000">
            <w:pPr>
              <w:jc w:val="center"/>
            </w:pPr>
            <w:r>
              <w:rPr>
                <w:b/>
                <w:color w:val="FFFFFF"/>
                <w:sz w:val="20"/>
              </w:rPr>
              <w:t>Variable</w:t>
            </w:r>
          </w:p>
        </w:tc>
        <w:tc>
          <w:tcPr>
            <w:tcW w:w="2646" w:type="dxa"/>
            <w:shd w:val="clear" w:color="auto" w:fill="1A376C"/>
          </w:tcPr>
          <w:p w14:paraId="3DF7C4AF" w14:textId="77777777" w:rsidR="003D69C7" w:rsidRDefault="00000000">
            <w:pPr>
              <w:jc w:val="center"/>
            </w:pPr>
            <w:r>
              <w:rPr>
                <w:b/>
                <w:color w:val="FFFFFF"/>
                <w:sz w:val="20"/>
              </w:rPr>
              <w:t>Missing (N)</w:t>
            </w:r>
          </w:p>
        </w:tc>
        <w:tc>
          <w:tcPr>
            <w:tcW w:w="2646" w:type="dxa"/>
            <w:shd w:val="clear" w:color="auto" w:fill="1A376C"/>
          </w:tcPr>
          <w:p w14:paraId="65413D5F" w14:textId="77777777" w:rsidR="003D69C7" w:rsidRDefault="00000000">
            <w:pPr>
              <w:jc w:val="center"/>
            </w:pPr>
            <w:r>
              <w:rPr>
                <w:b/>
                <w:color w:val="FFFFFF"/>
                <w:sz w:val="20"/>
              </w:rPr>
              <w:t>Missing (%)</w:t>
            </w:r>
          </w:p>
        </w:tc>
      </w:tr>
      <w:tr w:rsidR="003D69C7" w14:paraId="19C1E4AD" w14:textId="77777777">
        <w:trPr>
          <w:jc w:val="center"/>
        </w:trPr>
        <w:tc>
          <w:tcPr>
            <w:tcW w:w="2646" w:type="dxa"/>
          </w:tcPr>
          <w:p w14:paraId="290973C1" w14:textId="77777777" w:rsidR="003D69C7" w:rsidRDefault="00000000">
            <w:r>
              <w:rPr>
                <w:sz w:val="20"/>
              </w:rPr>
              <w:t>housing_voucher_pct</w:t>
            </w:r>
          </w:p>
        </w:tc>
        <w:tc>
          <w:tcPr>
            <w:tcW w:w="2646" w:type="dxa"/>
          </w:tcPr>
          <w:p w14:paraId="6AAA757F" w14:textId="77777777" w:rsidR="003D69C7" w:rsidRDefault="00000000">
            <w:r>
              <w:rPr>
                <w:sz w:val="20"/>
              </w:rPr>
              <w:t>20</w:t>
            </w:r>
          </w:p>
        </w:tc>
        <w:tc>
          <w:tcPr>
            <w:tcW w:w="2646" w:type="dxa"/>
          </w:tcPr>
          <w:p w14:paraId="286A86CB" w14:textId="77777777" w:rsidR="003D69C7" w:rsidRDefault="00000000">
            <w:r>
              <w:rPr>
                <w:sz w:val="20"/>
              </w:rPr>
              <w:t>27.8</w:t>
            </w:r>
          </w:p>
        </w:tc>
      </w:tr>
      <w:tr w:rsidR="003D69C7" w14:paraId="57661BBA" w14:textId="77777777">
        <w:trPr>
          <w:jc w:val="center"/>
        </w:trPr>
        <w:tc>
          <w:tcPr>
            <w:tcW w:w="2646" w:type="dxa"/>
            <w:shd w:val="clear" w:color="auto" w:fill="E8EDF6"/>
          </w:tcPr>
          <w:p w14:paraId="3E6E8CE6" w14:textId="77777777" w:rsidR="003D69C7" w:rsidRDefault="00000000">
            <w:r>
              <w:rPr>
                <w:sz w:val="20"/>
              </w:rPr>
              <w:t>rental_vacancy_rate</w:t>
            </w:r>
          </w:p>
        </w:tc>
        <w:tc>
          <w:tcPr>
            <w:tcW w:w="2646" w:type="dxa"/>
            <w:shd w:val="clear" w:color="auto" w:fill="E8EDF6"/>
          </w:tcPr>
          <w:p w14:paraId="32203B68" w14:textId="77777777" w:rsidR="003D69C7" w:rsidRDefault="00000000">
            <w:r>
              <w:rPr>
                <w:sz w:val="20"/>
              </w:rPr>
              <w:t>16</w:t>
            </w:r>
          </w:p>
        </w:tc>
        <w:tc>
          <w:tcPr>
            <w:tcW w:w="2646" w:type="dxa"/>
            <w:shd w:val="clear" w:color="auto" w:fill="E8EDF6"/>
          </w:tcPr>
          <w:p w14:paraId="1993D52F" w14:textId="77777777" w:rsidR="003D69C7" w:rsidRDefault="00000000">
            <w:r>
              <w:rPr>
                <w:sz w:val="20"/>
              </w:rPr>
              <w:t>22.2</w:t>
            </w:r>
          </w:p>
        </w:tc>
      </w:tr>
      <w:tr w:rsidR="003D69C7" w14:paraId="2F7AFAFF" w14:textId="77777777">
        <w:trPr>
          <w:jc w:val="center"/>
        </w:trPr>
        <w:tc>
          <w:tcPr>
            <w:tcW w:w="2646" w:type="dxa"/>
          </w:tcPr>
          <w:p w14:paraId="03429C7F" w14:textId="77777777" w:rsidR="003D69C7" w:rsidRDefault="00000000">
            <w:r>
              <w:rPr>
                <w:sz w:val="20"/>
              </w:rPr>
              <w:t>severe_crowding_rate</w:t>
            </w:r>
          </w:p>
        </w:tc>
        <w:tc>
          <w:tcPr>
            <w:tcW w:w="2646" w:type="dxa"/>
          </w:tcPr>
          <w:p w14:paraId="2D7A5329" w14:textId="77777777" w:rsidR="003D69C7" w:rsidRDefault="00000000">
            <w:r>
              <w:rPr>
                <w:sz w:val="20"/>
              </w:rPr>
              <w:t>16</w:t>
            </w:r>
          </w:p>
        </w:tc>
        <w:tc>
          <w:tcPr>
            <w:tcW w:w="2646" w:type="dxa"/>
          </w:tcPr>
          <w:p w14:paraId="48D50704" w14:textId="77777777" w:rsidR="003D69C7" w:rsidRDefault="00000000">
            <w:r>
              <w:rPr>
                <w:sz w:val="20"/>
              </w:rPr>
              <w:t>22.2</w:t>
            </w:r>
          </w:p>
        </w:tc>
      </w:tr>
      <w:tr w:rsidR="003D69C7" w14:paraId="334912B2" w14:textId="77777777">
        <w:trPr>
          <w:jc w:val="center"/>
        </w:trPr>
        <w:tc>
          <w:tcPr>
            <w:tcW w:w="2646" w:type="dxa"/>
            <w:shd w:val="clear" w:color="auto" w:fill="E8EDF6"/>
          </w:tcPr>
          <w:p w14:paraId="1BFBDA9C" w14:textId="77777777" w:rsidR="003D69C7" w:rsidRDefault="00000000">
            <w:r>
              <w:rPr>
                <w:sz w:val="20"/>
              </w:rPr>
              <w:t>permit_growth_yoy</w:t>
            </w:r>
          </w:p>
        </w:tc>
        <w:tc>
          <w:tcPr>
            <w:tcW w:w="2646" w:type="dxa"/>
            <w:shd w:val="clear" w:color="auto" w:fill="E8EDF6"/>
          </w:tcPr>
          <w:p w14:paraId="27FE6193" w14:textId="77777777" w:rsidR="003D69C7" w:rsidRDefault="00000000">
            <w:r>
              <w:rPr>
                <w:sz w:val="20"/>
              </w:rPr>
              <w:t>13</w:t>
            </w:r>
          </w:p>
        </w:tc>
        <w:tc>
          <w:tcPr>
            <w:tcW w:w="2646" w:type="dxa"/>
            <w:shd w:val="clear" w:color="auto" w:fill="E8EDF6"/>
          </w:tcPr>
          <w:p w14:paraId="64F20224" w14:textId="77777777" w:rsidR="003D69C7" w:rsidRDefault="00000000">
            <w:r>
              <w:rPr>
                <w:sz w:val="20"/>
              </w:rPr>
              <w:t>18.1</w:t>
            </w:r>
          </w:p>
        </w:tc>
      </w:tr>
      <w:tr w:rsidR="003D69C7" w14:paraId="5E0F7A7C" w14:textId="77777777">
        <w:trPr>
          <w:jc w:val="center"/>
        </w:trPr>
        <w:tc>
          <w:tcPr>
            <w:tcW w:w="2646" w:type="dxa"/>
          </w:tcPr>
          <w:p w14:paraId="155EF48F" w14:textId="77777777" w:rsidR="003D69C7" w:rsidRDefault="00000000">
            <w:r>
              <w:rPr>
                <w:sz w:val="20"/>
              </w:rPr>
              <w:t>affordability_stress_lag1</w:t>
            </w:r>
          </w:p>
        </w:tc>
        <w:tc>
          <w:tcPr>
            <w:tcW w:w="2646" w:type="dxa"/>
          </w:tcPr>
          <w:p w14:paraId="76D8C6C5" w14:textId="77777777" w:rsidR="003D69C7" w:rsidRDefault="00000000">
            <w:r>
              <w:rPr>
                <w:sz w:val="20"/>
              </w:rPr>
              <w:t>8</w:t>
            </w:r>
          </w:p>
        </w:tc>
        <w:tc>
          <w:tcPr>
            <w:tcW w:w="2646" w:type="dxa"/>
          </w:tcPr>
          <w:p w14:paraId="754E75F0" w14:textId="77777777" w:rsidR="003D69C7" w:rsidRDefault="00000000">
            <w:r>
              <w:rPr>
                <w:sz w:val="20"/>
              </w:rPr>
              <w:t>11.1</w:t>
            </w:r>
          </w:p>
        </w:tc>
      </w:tr>
      <w:tr w:rsidR="003D69C7" w14:paraId="7FC9B2F2" w14:textId="77777777">
        <w:trPr>
          <w:jc w:val="center"/>
        </w:trPr>
        <w:tc>
          <w:tcPr>
            <w:tcW w:w="2646" w:type="dxa"/>
            <w:shd w:val="clear" w:color="auto" w:fill="E8EDF6"/>
          </w:tcPr>
          <w:p w14:paraId="12DAE275" w14:textId="77777777" w:rsidR="003D69C7" w:rsidRDefault="00000000">
            <w:r>
              <w:rPr>
                <w:sz w:val="20"/>
              </w:rPr>
              <w:t>unemployment_rate_lag1</w:t>
            </w:r>
          </w:p>
        </w:tc>
        <w:tc>
          <w:tcPr>
            <w:tcW w:w="2646" w:type="dxa"/>
            <w:shd w:val="clear" w:color="auto" w:fill="E8EDF6"/>
          </w:tcPr>
          <w:p w14:paraId="722E5C32" w14:textId="77777777" w:rsidR="003D69C7" w:rsidRDefault="00000000">
            <w:r>
              <w:rPr>
                <w:sz w:val="20"/>
              </w:rPr>
              <w:t>8</w:t>
            </w:r>
          </w:p>
        </w:tc>
        <w:tc>
          <w:tcPr>
            <w:tcW w:w="2646" w:type="dxa"/>
            <w:shd w:val="clear" w:color="auto" w:fill="E8EDF6"/>
          </w:tcPr>
          <w:p w14:paraId="7793E51E" w14:textId="77777777" w:rsidR="003D69C7" w:rsidRDefault="00000000">
            <w:r>
              <w:rPr>
                <w:sz w:val="20"/>
              </w:rPr>
              <w:t>11.1</w:t>
            </w:r>
          </w:p>
        </w:tc>
      </w:tr>
      <w:tr w:rsidR="003D69C7" w14:paraId="078D1BEA" w14:textId="77777777">
        <w:trPr>
          <w:jc w:val="center"/>
        </w:trPr>
        <w:tc>
          <w:tcPr>
            <w:tcW w:w="2646" w:type="dxa"/>
          </w:tcPr>
          <w:p w14:paraId="77E2E246" w14:textId="77777777" w:rsidR="003D69C7" w:rsidRDefault="00000000">
            <w:r>
              <w:rPr>
                <w:sz w:val="20"/>
              </w:rPr>
              <w:t>median_household_income_lag1</w:t>
            </w:r>
          </w:p>
        </w:tc>
        <w:tc>
          <w:tcPr>
            <w:tcW w:w="2646" w:type="dxa"/>
          </w:tcPr>
          <w:p w14:paraId="560F9B14" w14:textId="77777777" w:rsidR="003D69C7" w:rsidRDefault="00000000">
            <w:r>
              <w:rPr>
                <w:sz w:val="20"/>
              </w:rPr>
              <w:t>8</w:t>
            </w:r>
          </w:p>
        </w:tc>
        <w:tc>
          <w:tcPr>
            <w:tcW w:w="2646" w:type="dxa"/>
          </w:tcPr>
          <w:p w14:paraId="2FBD2DA7" w14:textId="77777777" w:rsidR="003D69C7" w:rsidRDefault="00000000">
            <w:r>
              <w:rPr>
                <w:sz w:val="20"/>
              </w:rPr>
              <w:t>11.1</w:t>
            </w:r>
          </w:p>
        </w:tc>
      </w:tr>
      <w:tr w:rsidR="003D69C7" w14:paraId="03D74115" w14:textId="77777777">
        <w:trPr>
          <w:jc w:val="center"/>
        </w:trPr>
        <w:tc>
          <w:tcPr>
            <w:tcW w:w="2646" w:type="dxa"/>
            <w:shd w:val="clear" w:color="auto" w:fill="E8EDF6"/>
          </w:tcPr>
          <w:p w14:paraId="4B7494FB" w14:textId="77777777" w:rsidR="003D69C7" w:rsidRDefault="00000000">
            <w:r>
              <w:rPr>
                <w:sz w:val="20"/>
              </w:rPr>
              <w:t>supply_pipeline_rate_lag1</w:t>
            </w:r>
          </w:p>
        </w:tc>
        <w:tc>
          <w:tcPr>
            <w:tcW w:w="2646" w:type="dxa"/>
            <w:shd w:val="clear" w:color="auto" w:fill="E8EDF6"/>
          </w:tcPr>
          <w:p w14:paraId="52844B22" w14:textId="77777777" w:rsidR="003D69C7" w:rsidRDefault="00000000">
            <w:r>
              <w:rPr>
                <w:sz w:val="20"/>
              </w:rPr>
              <w:t>8</w:t>
            </w:r>
          </w:p>
        </w:tc>
        <w:tc>
          <w:tcPr>
            <w:tcW w:w="2646" w:type="dxa"/>
            <w:shd w:val="clear" w:color="auto" w:fill="E8EDF6"/>
          </w:tcPr>
          <w:p w14:paraId="38432B0C" w14:textId="77777777" w:rsidR="003D69C7" w:rsidRDefault="00000000">
            <w:r>
              <w:rPr>
                <w:sz w:val="20"/>
              </w:rPr>
              <w:t>11.1</w:t>
            </w:r>
          </w:p>
        </w:tc>
      </w:tr>
      <w:tr w:rsidR="003D69C7" w14:paraId="7B3D0D09" w14:textId="77777777">
        <w:trPr>
          <w:jc w:val="center"/>
        </w:trPr>
        <w:tc>
          <w:tcPr>
            <w:tcW w:w="2646" w:type="dxa"/>
          </w:tcPr>
          <w:p w14:paraId="73E86E4F" w14:textId="77777777" w:rsidR="003D69C7" w:rsidRDefault="00000000">
            <w:r>
              <w:rPr>
                <w:sz w:val="20"/>
              </w:rPr>
              <w:t>rental_vacancy_rate_lag1</w:t>
            </w:r>
          </w:p>
        </w:tc>
        <w:tc>
          <w:tcPr>
            <w:tcW w:w="2646" w:type="dxa"/>
          </w:tcPr>
          <w:p w14:paraId="36DCC8EE" w14:textId="77777777" w:rsidR="003D69C7" w:rsidRDefault="00000000">
            <w:r>
              <w:rPr>
                <w:sz w:val="20"/>
              </w:rPr>
              <w:t>20</w:t>
            </w:r>
          </w:p>
        </w:tc>
        <w:tc>
          <w:tcPr>
            <w:tcW w:w="2646" w:type="dxa"/>
          </w:tcPr>
          <w:p w14:paraId="4F153272" w14:textId="77777777" w:rsidR="003D69C7" w:rsidRDefault="00000000">
            <w:r>
              <w:rPr>
                <w:sz w:val="20"/>
              </w:rPr>
              <w:t>27.8</w:t>
            </w:r>
          </w:p>
        </w:tc>
      </w:tr>
    </w:tbl>
    <w:p w14:paraId="702A195D" w14:textId="77777777" w:rsidR="003D69C7" w:rsidRDefault="003D69C7"/>
    <w:p w14:paraId="3D1850C4" w14:textId="77777777" w:rsidR="003D69C7" w:rsidRDefault="00000000">
      <w:pPr>
        <w:pStyle w:val="Heading2"/>
      </w:pPr>
      <w:r>
        <w:t>4. Feature Engineering</w:t>
      </w:r>
    </w:p>
    <w:p w14:paraId="68DF3C61" w14:textId="77777777" w:rsidR="003D69C7" w:rsidRDefault="00000000">
      <w:pPr>
        <w:pStyle w:val="Heading3"/>
      </w:pPr>
      <w:r>
        <w:t>4.1 Core Affordability Constructs</w:t>
      </w:r>
    </w:p>
    <w:p w14:paraId="571C3286" w14:textId="77777777" w:rsidR="003D69C7" w:rsidRDefault="00000000">
      <w:r>
        <w:rPr>
          <w:b/>
        </w:rPr>
        <w:t>Renter Income Ratio.</w:t>
      </w:r>
      <w:r>
        <w:t xml:space="preserve"> We compute the ratio of renter median household income to overall median household income:</w:t>
      </w:r>
    </w:p>
    <w:p w14:paraId="6FCB1DFC" w14:textId="22EF0DC1" w:rsidR="003D69C7" w:rsidRDefault="00000000">
      <w:pPr>
        <w:spacing w:before="120"/>
        <w:ind w:left="850" w:right="850"/>
      </w:pPr>
      <w:r>
        <w:rPr>
          <w:i/>
          <w:sz w:val="22"/>
        </w:rPr>
        <w:t>\</w:t>
      </w:r>
      <w:proofErr w:type="gramStart"/>
      <w:r>
        <w:rPr>
          <w:i/>
          <w:sz w:val="22"/>
        </w:rPr>
        <w:t>text</w:t>
      </w:r>
      <w:proofErr w:type="gramEnd"/>
      <w:r>
        <w:rPr>
          <w:i/>
          <w:sz w:val="22"/>
        </w:rPr>
        <w:t>{renter</w:t>
      </w:r>
      <w:proofErr w:type="gramStart"/>
      <w:r>
        <w:rPr>
          <w:i/>
          <w:sz w:val="22"/>
        </w:rPr>
        <w:t>\_income\_ratio}_</w:t>
      </w:r>
      <w:proofErr w:type="gramEnd"/>
      <w:r>
        <w:rPr>
          <w:i/>
          <w:sz w:val="22"/>
        </w:rPr>
        <w:t>{</w:t>
      </w:r>
      <w:proofErr w:type="spellStart"/>
      <w:proofErr w:type="gramStart"/>
      <w:r>
        <w:rPr>
          <w:i/>
          <w:sz w:val="22"/>
        </w:rPr>
        <w:t>b,t</w:t>
      </w:r>
      <w:proofErr w:type="spellEnd"/>
      <w:proofErr w:type="gramEnd"/>
      <w:r>
        <w:rPr>
          <w:i/>
          <w:sz w:val="22"/>
        </w:rPr>
        <w:t>} = \frac{\text{renter</w:t>
      </w:r>
      <w:proofErr w:type="gramStart"/>
      <w:r>
        <w:rPr>
          <w:i/>
          <w:sz w:val="22"/>
        </w:rPr>
        <w:t>\_median\_income}_</w:t>
      </w:r>
      <w:proofErr w:type="gramEnd"/>
      <w:r>
        <w:rPr>
          <w:i/>
          <w:sz w:val="22"/>
        </w:rPr>
        <w:t>{</w:t>
      </w:r>
      <w:proofErr w:type="gramStart"/>
      <w:r>
        <w:rPr>
          <w:i/>
          <w:sz w:val="22"/>
        </w:rPr>
        <w:t>b,t}}{</w:t>
      </w:r>
      <w:proofErr w:type="gramEnd"/>
      <w:r>
        <w:rPr>
          <w:i/>
          <w:sz w:val="22"/>
        </w:rPr>
        <w:t>\text{median</w:t>
      </w:r>
      <w:proofErr w:type="gramStart"/>
      <w:r>
        <w:rPr>
          <w:i/>
          <w:sz w:val="22"/>
        </w:rPr>
        <w:t>\_household\_income}_</w:t>
      </w:r>
      <w:proofErr w:type="gramEnd"/>
      <w:r>
        <w:rPr>
          <w:i/>
          <w:sz w:val="22"/>
        </w:rPr>
        <w:t>{</w:t>
      </w:r>
      <w:proofErr w:type="gramStart"/>
      <w:r>
        <w:rPr>
          <w:i/>
          <w:sz w:val="22"/>
        </w:rPr>
        <w:t>b,t</w:t>
      </w:r>
      <w:proofErr w:type="gramEnd"/>
      <w:r>
        <w:rPr>
          <w:i/>
          <w:sz w:val="22"/>
        </w:rPr>
        <w:t>}}</w:t>
      </w:r>
    </w:p>
    <w:p w14:paraId="5E4A4E8C" w14:textId="77777777" w:rsidR="003D69C7" w:rsidRDefault="00000000">
      <w:r>
        <w:t>A declining ratio indicates that renters are falling behind the broader population in income growth—a direct measure of renter income vulnerability.</w:t>
      </w:r>
    </w:p>
    <w:p w14:paraId="63B43064" w14:textId="77777777" w:rsidR="003D69C7" w:rsidRDefault="00000000">
      <w:r>
        <w:rPr>
          <w:b/>
        </w:rPr>
        <w:lastRenderedPageBreak/>
        <w:t>Housing Cost Pressure Index.</w:t>
      </w:r>
      <w:r>
        <w:t xml:space="preserve"> High-cost loan concentration proxies for the burden imposed by expensive housing finance:</w:t>
      </w:r>
    </w:p>
    <w:p w14:paraId="12B15CE0" w14:textId="77777777" w:rsidR="003D69C7" w:rsidRDefault="00000000">
      <w:pPr>
        <w:spacing w:before="120"/>
        <w:ind w:left="850" w:right="850"/>
      </w:pPr>
      <w:r>
        <w:rPr>
          <w:i/>
          <w:sz w:val="22"/>
        </w:rPr>
        <w:t>\text{cost\_pressure\_index}_{b,t} = \frac{\text{high\_cost\_purchase\_pct}_{b,t} + \text{high\_cost\_refi\_pct}_{b,t}}{2}</w:t>
      </w:r>
    </w:p>
    <w:p w14:paraId="3944AA1C" w14:textId="77777777" w:rsidR="003D69C7" w:rsidRDefault="00000000">
      <w:r>
        <w:rPr>
          <w:b/>
        </w:rPr>
        <w:t>Affordability Stress Index (Target Variable).</w:t>
      </w:r>
      <w:r>
        <w:t xml:space="preserve"> Combining housing cost pressure with renter income vulnerability:</w:t>
      </w:r>
    </w:p>
    <w:p w14:paraId="1A3EB882" w14:textId="77777777" w:rsidR="003D69C7" w:rsidRDefault="00000000">
      <w:pPr>
        <w:spacing w:before="120"/>
        <w:ind w:left="850" w:right="850"/>
      </w:pPr>
      <w:r>
        <w:rPr>
          <w:i/>
          <w:sz w:val="22"/>
        </w:rPr>
        <w:t>\text{affordability\_stress}_{b,t} = \frac{\text{cost\_pressure\_index}_{b,t}}{\max(\text{renter\_income\_ratio}_{b,t},\ 0.01)}</w:t>
      </w:r>
    </w:p>
    <w:p w14:paraId="73391FE0" w14:textId="77777777" w:rsidR="003D69C7" w:rsidRDefault="00000000">
      <w:r>
        <w:t>This index is strictly positive and increasing in housing cost pressure while decreasing in renter income adequacy. Higher values indicate worse affordability conditions.</w:t>
      </w:r>
    </w:p>
    <w:p w14:paraId="7188CD9B" w14:textId="77777777" w:rsidR="003D69C7" w:rsidRDefault="00000000">
      <w:pPr>
        <w:pStyle w:val="Heading3"/>
      </w:pPr>
      <w:r>
        <w:t>4.2 New Features from Extended Dataset</w:t>
      </w:r>
    </w:p>
    <w:p w14:paraId="2844AF77" w14:textId="77777777" w:rsidR="003D69C7" w:rsidRDefault="00000000">
      <w:r>
        <w:t>Six additional data sources contribute seven new engineered features:</w:t>
      </w:r>
    </w:p>
    <w:p w14:paraId="6E0C4151" w14:textId="77777777" w:rsidR="003D69C7" w:rsidRDefault="00000000">
      <w:r>
        <w:rPr>
          <w:b/>
        </w:rPr>
        <w:t>Market Tightness</w:t>
      </w:r>
      <w:r>
        <w:t xml:space="preserve"> (from rental vacancy rate):</w:t>
      </w:r>
    </w:p>
    <w:p w14:paraId="6732BF81" w14:textId="77777777" w:rsidR="003D69C7" w:rsidRDefault="00000000">
      <w:pPr>
        <w:spacing w:before="120"/>
        <w:ind w:left="850" w:right="850"/>
      </w:pPr>
      <w:r>
        <w:rPr>
          <w:i/>
          <w:sz w:val="22"/>
        </w:rPr>
        <w:t>\text{market\_tightness}_{b,t} = \frac{1}{\text{rental\_vacancy\_rate}_{b,t} + 0.005}</w:t>
      </w:r>
    </w:p>
    <w:p w14:paraId="20E9941A" w14:textId="77777777" w:rsidR="003D69C7" w:rsidRDefault="00000000">
      <w:r>
        <w:t>A tighter rental market (lower vacancy) exerts greater pressure on renters seeking available units.</w:t>
      </w:r>
    </w:p>
    <w:p w14:paraId="3BE373ED" w14:textId="77777777" w:rsidR="003D69C7" w:rsidRDefault="00000000">
      <w:r>
        <w:rPr>
          <w:b/>
        </w:rPr>
        <w:t>Housing Burden Composite</w:t>
      </w:r>
      <w:r>
        <w:t xml:space="preserve"> (from unemployment and crowding):</w:t>
      </w:r>
    </w:p>
    <w:p w14:paraId="1FE313B5" w14:textId="77777777" w:rsidR="003D69C7" w:rsidRDefault="00000000">
      <w:pPr>
        <w:spacing w:before="120"/>
        <w:ind w:left="850" w:right="850"/>
      </w:pPr>
      <w:r>
        <w:rPr>
          <w:i/>
          <w:sz w:val="22"/>
        </w:rPr>
        <w:t>\text{housing\_burden\_composite}_{b,t} = \text{unemployment\_rate}_{b,t} + \text{severe\_crowding\_rate}_{b,t}</w:t>
      </w:r>
    </w:p>
    <w:p w14:paraId="6577BA9A" w14:textId="77777777" w:rsidR="003D69C7" w:rsidRDefault="00000000">
      <w:r>
        <w:rPr>
          <w:b/>
        </w:rPr>
        <w:t>Supply Pipeline Rate</w:t>
      </w:r>
      <w:r>
        <w:t xml:space="preserve"> (from new residential permits):</w:t>
      </w:r>
    </w:p>
    <w:p w14:paraId="3D3E9A76" w14:textId="77777777" w:rsidR="003D69C7" w:rsidRDefault="00000000">
      <w:pPr>
        <w:spacing w:before="120"/>
        <w:ind w:left="850" w:right="850"/>
      </w:pPr>
      <w:r>
        <w:rPr>
          <w:i/>
          <w:sz w:val="22"/>
        </w:rPr>
        <w:t>\text{supply\_pipeline\_rate}_{b,t} = \frac{\text{new\_building\_permits}_{b,t}}{\text{population}_{b,t}} \times 10{,}000</w:t>
      </w:r>
    </w:p>
    <w:p w14:paraId="25B865A7" w14:textId="77777777" w:rsidR="003D69C7" w:rsidRDefault="00000000">
      <w:r>
        <w:t>Expressed as new units per 10,000 residents to normalize across boroughs of differing size.</w:t>
      </w:r>
    </w:p>
    <w:p w14:paraId="2E2087C5" w14:textId="77777777" w:rsidR="003D69C7" w:rsidRDefault="00000000">
      <w:r>
        <w:rPr>
          <w:b/>
        </w:rPr>
        <w:t>Government Support Index</w:t>
      </w:r>
      <w:r>
        <w:t xml:space="preserve"> (from FHA/VA loans and housing vouchers):</w:t>
      </w:r>
    </w:p>
    <w:p w14:paraId="31054AB6" w14:textId="77777777" w:rsidR="003D69C7" w:rsidRDefault="00000000">
      <w:pPr>
        <w:spacing w:before="120"/>
        <w:ind w:left="850" w:right="850"/>
      </w:pPr>
      <w:r>
        <w:rPr>
          <w:i/>
          <w:sz w:val="22"/>
        </w:rPr>
        <w:t>\text{government\_support\_index}_{b,t} = \text{fha\_va\_loan\_pct}_{b,t} + \text{housing\_voucher\_pct}_{b,t}</w:t>
      </w:r>
    </w:p>
    <w:p w14:paraId="33100029" w14:textId="77777777" w:rsidR="003D69C7" w:rsidRDefault="00000000">
      <w:r>
        <w:rPr>
          <w:b/>
        </w:rPr>
        <w:t>Economic Vulnerability Index</w:t>
      </w:r>
      <w:r>
        <w:t xml:space="preserve"> (composite):</w:t>
      </w:r>
    </w:p>
    <w:p w14:paraId="07E2E8C9" w14:textId="77777777" w:rsidR="003D69C7" w:rsidRDefault="00000000">
      <w:pPr>
        <w:spacing w:before="120"/>
        <w:ind w:left="850" w:right="850"/>
      </w:pPr>
      <w:r>
        <w:rPr>
          <w:i/>
          <w:sz w:val="22"/>
        </w:rPr>
        <w:lastRenderedPageBreak/>
        <w:t>\text{economic\_vulnerability\_idx}_{b,t} = 0.4(1 - \text{renter\_income\_ratio}) + 0.4 \cdot \text{unemployment\_rate} + 0.2 \cdot \text{severe\_crowding\_rate}</w:t>
      </w:r>
    </w:p>
    <w:p w14:paraId="270909DD" w14:textId="77777777" w:rsidR="003D69C7" w:rsidRDefault="00000000">
      <w:r>
        <w:rPr>
          <w:b/>
        </w:rPr>
        <w:t>Permit Growth (YoY):</w:t>
      </w:r>
      <w:r>
        <w:t xml:space="preserve"> Year-over-year percentage change in new residential permits, with infinity values replaced by NaN.</w:t>
      </w:r>
    </w:p>
    <w:p w14:paraId="20CC2885" w14:textId="77777777" w:rsidR="003D69C7" w:rsidRDefault="00000000">
      <w:pPr>
        <w:pStyle w:val="Heading3"/>
      </w:pPr>
      <w:r>
        <w:t>4.3 Temporal and Identifier Features</w:t>
      </w:r>
    </w:p>
    <w:p w14:paraId="533B49DC" w14:textId="77777777" w:rsidR="003D69C7" w:rsidRDefault="00000000">
      <w:r>
        <w:t xml:space="preserve">Year-over-year income growth rates for both overall and renter median incomes are computed via </w:t>
      </w:r>
      <w:r>
        <w:rPr>
          <w:rFonts w:ascii="Courier New" w:hAnsi="Courier New"/>
          <w:sz w:val="20"/>
        </w:rPr>
        <w:t>pct_change()</w:t>
      </w:r>
      <w:r>
        <w:t xml:space="preserve"> within each borough group. Lagged features (t−1) are created for affordability stress, cost pressure index, median household income, crime rate, unemployment rate, rental vacancy rate, and supply pipeline rate to capture temporal autocorrelation. Borough identity is encoded numerically (Manhattan = 0, Bronx = 1, Brooklyn = 2, Queens = 3).</w:t>
      </w:r>
    </w:p>
    <w:p w14:paraId="248D6B12" w14:textId="77777777" w:rsidR="003D69C7" w:rsidRDefault="00000000">
      <w:pPr>
        <w:pStyle w:val="Heading3"/>
      </w:pPr>
      <w:r>
        <w:t>4.4 Final Feature Set</w:t>
      </w:r>
    </w:p>
    <w:p w14:paraId="60514576" w14:textId="77777777" w:rsidR="003D69C7" w:rsidRDefault="00000000">
      <w:r>
        <w:t xml:space="preserve">The complete feature set includes </w:t>
      </w:r>
      <w:r>
        <w:rPr>
          <w:b/>
        </w:rPr>
        <w:t>39 variables</w:t>
      </w:r>
      <w:r>
        <w:t xml:space="preserve"> spanning six thematic domains:</w:t>
      </w:r>
    </w:p>
    <w:tbl>
      <w:tblPr>
        <w:tblStyle w:val="TableGrid"/>
        <w:tblW w:w="0" w:type="auto"/>
        <w:jc w:val="center"/>
        <w:tblLook w:val="04A0" w:firstRow="1" w:lastRow="0" w:firstColumn="1" w:lastColumn="0" w:noHBand="0" w:noVBand="1"/>
      </w:tblPr>
      <w:tblGrid>
        <w:gridCol w:w="3969"/>
        <w:gridCol w:w="3969"/>
      </w:tblGrid>
      <w:tr w:rsidR="003D69C7" w14:paraId="5BC495E5" w14:textId="77777777">
        <w:trPr>
          <w:jc w:val="center"/>
        </w:trPr>
        <w:tc>
          <w:tcPr>
            <w:tcW w:w="3969" w:type="dxa"/>
            <w:shd w:val="clear" w:color="auto" w:fill="1A376C"/>
          </w:tcPr>
          <w:p w14:paraId="28E2BB5A" w14:textId="77777777" w:rsidR="003D69C7" w:rsidRDefault="00000000">
            <w:pPr>
              <w:jc w:val="center"/>
            </w:pPr>
            <w:r>
              <w:rPr>
                <w:b/>
                <w:color w:val="FFFFFF"/>
                <w:sz w:val="20"/>
              </w:rPr>
              <w:t>Domain</w:t>
            </w:r>
          </w:p>
        </w:tc>
        <w:tc>
          <w:tcPr>
            <w:tcW w:w="3969" w:type="dxa"/>
            <w:shd w:val="clear" w:color="auto" w:fill="1A376C"/>
          </w:tcPr>
          <w:p w14:paraId="1D3A2C5C" w14:textId="77777777" w:rsidR="003D69C7" w:rsidRDefault="00000000">
            <w:pPr>
              <w:jc w:val="center"/>
            </w:pPr>
            <w:r>
              <w:rPr>
                <w:b/>
                <w:color w:val="FFFFFF"/>
                <w:sz w:val="20"/>
              </w:rPr>
              <w:t>Features (count)</w:t>
            </w:r>
          </w:p>
        </w:tc>
      </w:tr>
      <w:tr w:rsidR="003D69C7" w14:paraId="09668691" w14:textId="77777777">
        <w:trPr>
          <w:jc w:val="center"/>
        </w:trPr>
        <w:tc>
          <w:tcPr>
            <w:tcW w:w="3969" w:type="dxa"/>
          </w:tcPr>
          <w:p w14:paraId="1FB74F2E" w14:textId="77777777" w:rsidR="003D69C7" w:rsidRDefault="00000000">
            <w:r>
              <w:rPr>
                <w:sz w:val="20"/>
              </w:rPr>
              <w:t>Income &amp; renter vulnerability</w:t>
            </w:r>
          </w:p>
        </w:tc>
        <w:tc>
          <w:tcPr>
            <w:tcW w:w="3969" w:type="dxa"/>
          </w:tcPr>
          <w:p w14:paraId="56655B25" w14:textId="77777777" w:rsidR="003D69C7" w:rsidRDefault="00000000">
            <w:r>
              <w:rPr>
                <w:sz w:val="20"/>
              </w:rPr>
              <w:t>7</w:t>
            </w:r>
          </w:p>
        </w:tc>
      </w:tr>
      <w:tr w:rsidR="003D69C7" w14:paraId="6C1A327B" w14:textId="77777777">
        <w:trPr>
          <w:jc w:val="center"/>
        </w:trPr>
        <w:tc>
          <w:tcPr>
            <w:tcW w:w="3969" w:type="dxa"/>
            <w:shd w:val="clear" w:color="auto" w:fill="E8EDF6"/>
          </w:tcPr>
          <w:p w14:paraId="3D452046" w14:textId="77777777" w:rsidR="003D69C7" w:rsidRDefault="00000000">
            <w:r>
              <w:rPr>
                <w:sz w:val="20"/>
              </w:rPr>
              <w:t>Labor market</w:t>
            </w:r>
          </w:p>
        </w:tc>
        <w:tc>
          <w:tcPr>
            <w:tcW w:w="3969" w:type="dxa"/>
            <w:shd w:val="clear" w:color="auto" w:fill="E8EDF6"/>
          </w:tcPr>
          <w:p w14:paraId="1FF3EEBB" w14:textId="77777777" w:rsidR="003D69C7" w:rsidRDefault="00000000">
            <w:r>
              <w:rPr>
                <w:sz w:val="20"/>
              </w:rPr>
              <w:t>1</w:t>
            </w:r>
          </w:p>
        </w:tc>
      </w:tr>
      <w:tr w:rsidR="003D69C7" w14:paraId="6E80E8D5" w14:textId="77777777">
        <w:trPr>
          <w:jc w:val="center"/>
        </w:trPr>
        <w:tc>
          <w:tcPr>
            <w:tcW w:w="3969" w:type="dxa"/>
          </w:tcPr>
          <w:p w14:paraId="440F7B84" w14:textId="77777777" w:rsidR="003D69C7" w:rsidRDefault="00000000">
            <w:r>
              <w:rPr>
                <w:sz w:val="20"/>
              </w:rPr>
              <w:t>Housing cost pressure</w:t>
            </w:r>
          </w:p>
        </w:tc>
        <w:tc>
          <w:tcPr>
            <w:tcW w:w="3969" w:type="dxa"/>
          </w:tcPr>
          <w:p w14:paraId="210240E9" w14:textId="77777777" w:rsidR="003D69C7" w:rsidRDefault="00000000">
            <w:r>
              <w:rPr>
                <w:sz w:val="20"/>
              </w:rPr>
              <w:t>4</w:t>
            </w:r>
          </w:p>
        </w:tc>
      </w:tr>
      <w:tr w:rsidR="003D69C7" w14:paraId="0B6A7713" w14:textId="77777777">
        <w:trPr>
          <w:jc w:val="center"/>
        </w:trPr>
        <w:tc>
          <w:tcPr>
            <w:tcW w:w="3969" w:type="dxa"/>
            <w:shd w:val="clear" w:color="auto" w:fill="E8EDF6"/>
          </w:tcPr>
          <w:p w14:paraId="62712A70" w14:textId="77777777" w:rsidR="003D69C7" w:rsidRDefault="00000000">
            <w:r>
              <w:rPr>
                <w:sz w:val="20"/>
              </w:rPr>
              <w:t>Rental market conditions</w:t>
            </w:r>
          </w:p>
        </w:tc>
        <w:tc>
          <w:tcPr>
            <w:tcW w:w="3969" w:type="dxa"/>
            <w:shd w:val="clear" w:color="auto" w:fill="E8EDF6"/>
          </w:tcPr>
          <w:p w14:paraId="2A75FCA8" w14:textId="77777777" w:rsidR="003D69C7" w:rsidRDefault="00000000">
            <w:r>
              <w:rPr>
                <w:sz w:val="20"/>
              </w:rPr>
              <w:t>4</w:t>
            </w:r>
          </w:p>
        </w:tc>
      </w:tr>
      <w:tr w:rsidR="003D69C7" w14:paraId="0C3516BC" w14:textId="77777777">
        <w:trPr>
          <w:jc w:val="center"/>
        </w:trPr>
        <w:tc>
          <w:tcPr>
            <w:tcW w:w="3969" w:type="dxa"/>
          </w:tcPr>
          <w:p w14:paraId="0E66D6AB" w14:textId="77777777" w:rsidR="003D69C7" w:rsidRDefault="00000000">
            <w:r>
              <w:rPr>
                <w:sz w:val="20"/>
              </w:rPr>
              <w:t>Housing supply</w:t>
            </w:r>
          </w:p>
        </w:tc>
        <w:tc>
          <w:tcPr>
            <w:tcW w:w="3969" w:type="dxa"/>
          </w:tcPr>
          <w:p w14:paraId="1A460B88" w14:textId="77777777" w:rsidR="003D69C7" w:rsidRDefault="00000000">
            <w:r>
              <w:rPr>
                <w:sz w:val="20"/>
              </w:rPr>
              <w:t>3</w:t>
            </w:r>
          </w:p>
        </w:tc>
      </w:tr>
      <w:tr w:rsidR="003D69C7" w14:paraId="035916CC" w14:textId="77777777">
        <w:trPr>
          <w:jc w:val="center"/>
        </w:trPr>
        <w:tc>
          <w:tcPr>
            <w:tcW w:w="3969" w:type="dxa"/>
            <w:shd w:val="clear" w:color="auto" w:fill="E8EDF6"/>
          </w:tcPr>
          <w:p w14:paraId="6BB5D1DB" w14:textId="77777777" w:rsidR="003D69C7" w:rsidRDefault="00000000">
            <w:r>
              <w:rPr>
                <w:sz w:val="20"/>
              </w:rPr>
              <w:t>Government support</w:t>
            </w:r>
          </w:p>
        </w:tc>
        <w:tc>
          <w:tcPr>
            <w:tcW w:w="3969" w:type="dxa"/>
            <w:shd w:val="clear" w:color="auto" w:fill="E8EDF6"/>
          </w:tcPr>
          <w:p w14:paraId="3940BB2A" w14:textId="77777777" w:rsidR="003D69C7" w:rsidRDefault="00000000">
            <w:r>
              <w:rPr>
                <w:sz w:val="20"/>
              </w:rPr>
              <w:t>3</w:t>
            </w:r>
          </w:p>
        </w:tc>
      </w:tr>
      <w:tr w:rsidR="003D69C7" w14:paraId="31F46F64" w14:textId="77777777">
        <w:trPr>
          <w:jc w:val="center"/>
        </w:trPr>
        <w:tc>
          <w:tcPr>
            <w:tcW w:w="3969" w:type="dxa"/>
          </w:tcPr>
          <w:p w14:paraId="0BCC501A" w14:textId="77777777" w:rsidR="003D69C7" w:rsidRDefault="00000000">
            <w:r>
              <w:rPr>
                <w:sz w:val="20"/>
              </w:rPr>
              <w:t>Composite indices</w:t>
            </w:r>
          </w:p>
        </w:tc>
        <w:tc>
          <w:tcPr>
            <w:tcW w:w="3969" w:type="dxa"/>
          </w:tcPr>
          <w:p w14:paraId="3829AD91" w14:textId="77777777" w:rsidR="003D69C7" w:rsidRDefault="00000000">
            <w:r>
              <w:rPr>
                <w:sz w:val="20"/>
              </w:rPr>
              <w:t>1</w:t>
            </w:r>
          </w:p>
        </w:tc>
      </w:tr>
      <w:tr w:rsidR="003D69C7" w14:paraId="0BC25440" w14:textId="77777777">
        <w:trPr>
          <w:jc w:val="center"/>
        </w:trPr>
        <w:tc>
          <w:tcPr>
            <w:tcW w:w="3969" w:type="dxa"/>
            <w:shd w:val="clear" w:color="auto" w:fill="E8EDF6"/>
          </w:tcPr>
          <w:p w14:paraId="09620F65" w14:textId="77777777" w:rsidR="003D69C7" w:rsidRDefault="00000000">
            <w:r>
              <w:rPr>
                <w:sz w:val="20"/>
              </w:rPr>
              <w:t>Demographics</w:t>
            </w:r>
          </w:p>
        </w:tc>
        <w:tc>
          <w:tcPr>
            <w:tcW w:w="3969" w:type="dxa"/>
            <w:shd w:val="clear" w:color="auto" w:fill="E8EDF6"/>
          </w:tcPr>
          <w:p w14:paraId="11F554C9" w14:textId="77777777" w:rsidR="003D69C7" w:rsidRDefault="00000000">
            <w:r>
              <w:rPr>
                <w:sz w:val="20"/>
              </w:rPr>
              <w:t>2</w:t>
            </w:r>
          </w:p>
        </w:tc>
      </w:tr>
      <w:tr w:rsidR="003D69C7" w14:paraId="4047BDFF" w14:textId="77777777">
        <w:trPr>
          <w:jc w:val="center"/>
        </w:trPr>
        <w:tc>
          <w:tcPr>
            <w:tcW w:w="3969" w:type="dxa"/>
          </w:tcPr>
          <w:p w14:paraId="3926DBB0" w14:textId="77777777" w:rsidR="003D69C7" w:rsidRDefault="00000000">
            <w:r>
              <w:rPr>
                <w:sz w:val="20"/>
              </w:rPr>
              <w:t>Commute &amp; community</w:t>
            </w:r>
          </w:p>
        </w:tc>
        <w:tc>
          <w:tcPr>
            <w:tcW w:w="3969" w:type="dxa"/>
          </w:tcPr>
          <w:p w14:paraId="22C6D0DF" w14:textId="77777777" w:rsidR="003D69C7" w:rsidRDefault="00000000">
            <w:r>
              <w:rPr>
                <w:sz w:val="20"/>
              </w:rPr>
              <w:t>3</w:t>
            </w:r>
          </w:p>
        </w:tc>
      </w:tr>
      <w:tr w:rsidR="003D69C7" w14:paraId="6FA12603" w14:textId="77777777">
        <w:trPr>
          <w:jc w:val="center"/>
        </w:trPr>
        <w:tc>
          <w:tcPr>
            <w:tcW w:w="3969" w:type="dxa"/>
            <w:shd w:val="clear" w:color="auto" w:fill="E8EDF6"/>
          </w:tcPr>
          <w:p w14:paraId="1B50C850" w14:textId="77777777" w:rsidR="003D69C7" w:rsidRDefault="00000000">
            <w:r>
              <w:rPr>
                <w:sz w:val="20"/>
              </w:rPr>
              <w:t>Proximity (static)</w:t>
            </w:r>
          </w:p>
        </w:tc>
        <w:tc>
          <w:tcPr>
            <w:tcW w:w="3969" w:type="dxa"/>
            <w:shd w:val="clear" w:color="auto" w:fill="E8EDF6"/>
          </w:tcPr>
          <w:p w14:paraId="05217564" w14:textId="77777777" w:rsidR="003D69C7" w:rsidRDefault="00000000">
            <w:r>
              <w:rPr>
                <w:sz w:val="20"/>
              </w:rPr>
              <w:t>2</w:t>
            </w:r>
          </w:p>
        </w:tc>
      </w:tr>
      <w:tr w:rsidR="003D69C7" w14:paraId="7951026C" w14:textId="77777777">
        <w:trPr>
          <w:jc w:val="center"/>
        </w:trPr>
        <w:tc>
          <w:tcPr>
            <w:tcW w:w="3969" w:type="dxa"/>
          </w:tcPr>
          <w:p w14:paraId="143C3322" w14:textId="77777777" w:rsidR="003D69C7" w:rsidRDefault="00000000">
            <w:r>
              <w:rPr>
                <w:sz w:val="20"/>
              </w:rPr>
              <w:t>Temporal lagged features</w:t>
            </w:r>
          </w:p>
        </w:tc>
        <w:tc>
          <w:tcPr>
            <w:tcW w:w="3969" w:type="dxa"/>
          </w:tcPr>
          <w:p w14:paraId="6482645C" w14:textId="77777777" w:rsidR="003D69C7" w:rsidRDefault="00000000">
            <w:r>
              <w:rPr>
                <w:sz w:val="20"/>
              </w:rPr>
              <w:t>7</w:t>
            </w:r>
          </w:p>
        </w:tc>
      </w:tr>
      <w:tr w:rsidR="003D69C7" w14:paraId="5194F5FE" w14:textId="77777777">
        <w:trPr>
          <w:jc w:val="center"/>
        </w:trPr>
        <w:tc>
          <w:tcPr>
            <w:tcW w:w="3969" w:type="dxa"/>
            <w:shd w:val="clear" w:color="auto" w:fill="E8EDF6"/>
          </w:tcPr>
          <w:p w14:paraId="33D6E3BE" w14:textId="77777777" w:rsidR="003D69C7" w:rsidRDefault="00000000">
            <w:r>
              <w:rPr>
                <w:sz w:val="20"/>
              </w:rPr>
              <w:t>Identifiers</w:t>
            </w:r>
          </w:p>
        </w:tc>
        <w:tc>
          <w:tcPr>
            <w:tcW w:w="3969" w:type="dxa"/>
            <w:shd w:val="clear" w:color="auto" w:fill="E8EDF6"/>
          </w:tcPr>
          <w:p w14:paraId="55EBC943" w14:textId="77777777" w:rsidR="003D69C7" w:rsidRDefault="00000000">
            <w:r>
              <w:rPr>
                <w:sz w:val="20"/>
              </w:rPr>
              <w:t>2</w:t>
            </w:r>
          </w:p>
        </w:tc>
      </w:tr>
    </w:tbl>
    <w:p w14:paraId="5AADE544" w14:textId="77777777" w:rsidR="003D69C7" w:rsidRDefault="003D69C7"/>
    <w:p w14:paraId="51254C2C" w14:textId="77777777" w:rsidR="003D69C7" w:rsidRDefault="00000000">
      <w:pPr>
        <w:pStyle w:val="Heading2"/>
      </w:pPr>
      <w:r>
        <w:lastRenderedPageBreak/>
        <w:t>5. Methodology</w:t>
      </w:r>
    </w:p>
    <w:p w14:paraId="1EE80B5A" w14:textId="77777777" w:rsidR="003D69C7" w:rsidRDefault="00000000">
      <w:pPr>
        <w:pStyle w:val="Heading3"/>
      </w:pPr>
      <w:r>
        <w:t>5.1 Experimental Setup</w:t>
      </w:r>
    </w:p>
    <w:p w14:paraId="47084D98" w14:textId="77777777" w:rsidR="003D69C7" w:rsidRDefault="00000000">
      <w:r>
        <w:t xml:space="preserve">The dataset is split chronologically: observations from years ≤ 2019 form the training set (60 observations, 83%), and observations from years &gt; 2019 form the test set (12 observations, 17%). This forward-looking split prevents data leakage from future information into training and respects the temporal structure of the panel. All feature scaling for the LSTM is fitted exclusively on training data using </w:t>
      </w:r>
      <w:r>
        <w:rPr>
          <w:rFonts w:ascii="Courier New" w:hAnsi="Courier New"/>
          <w:sz w:val="20"/>
        </w:rPr>
        <w:t>MinMaxScaler</w:t>
      </w:r>
      <w:r>
        <w:t>.</w:t>
      </w:r>
    </w:p>
    <w:p w14:paraId="24958827" w14:textId="77777777" w:rsidR="003D69C7" w:rsidRDefault="00000000">
      <w:pPr>
        <w:pStyle w:val="Heading3"/>
      </w:pPr>
      <w:r>
        <w:t>5.2 Model 1: Random Forest</w:t>
      </w:r>
    </w:p>
    <w:p w14:paraId="17950208" w14:textId="77777777" w:rsidR="003D69C7" w:rsidRDefault="00000000">
      <w:r>
        <w:t>A Random Forest regressor with 300 decision trees (max depth = 10, minimum samples per leaf = 2, max features = √p, random state = 42) is trained on the full 39-feature vector. Random forests provide a strong nonlinear baseline and natural feature importance rankings via out-of-bag impurity reduction.</w:t>
      </w:r>
    </w:p>
    <w:p w14:paraId="4A7BB9C8" w14:textId="77777777" w:rsidR="003D69C7" w:rsidRDefault="00000000">
      <w:pPr>
        <w:pStyle w:val="Heading3"/>
      </w:pPr>
      <w:r>
        <w:t>5.3 Model 2: XGBoost</w:t>
      </w:r>
    </w:p>
    <w:p w14:paraId="07931570" w14:textId="77777777" w:rsidR="003D69C7" w:rsidRDefault="00000000">
      <w:r>
        <w:t>An XGBoost regressor with 400 boosting rounds is trained with:</w:t>
      </w:r>
    </w:p>
    <w:p w14:paraId="30AA0CC1" w14:textId="77777777" w:rsidR="003D69C7" w:rsidRDefault="00000000">
      <w:pPr>
        <w:pStyle w:val="ListBullet"/>
        <w:spacing w:after="60"/>
        <w:ind w:left="567"/>
      </w:pPr>
      <w:r>
        <w:t>Learning rate: 0.05 (shallow updates to prevent overfitting)</w:t>
      </w:r>
    </w:p>
    <w:p w14:paraId="06B82241" w14:textId="77777777" w:rsidR="003D69C7" w:rsidRDefault="00000000">
      <w:pPr>
        <w:pStyle w:val="ListBullet"/>
        <w:spacing w:after="60"/>
        <w:ind w:left="567"/>
      </w:pPr>
      <w:r>
        <w:t>Max tree depth: 6</w:t>
      </w:r>
    </w:p>
    <w:p w14:paraId="6106DECB" w14:textId="77777777" w:rsidR="003D69C7" w:rsidRDefault="00000000">
      <w:pPr>
        <w:pStyle w:val="ListBullet"/>
        <w:spacing w:after="60"/>
        <w:ind w:left="567"/>
      </w:pPr>
      <w:r>
        <w:t>Subsampling ratio: 0.8 (row), 0.8 (column)</w:t>
      </w:r>
    </w:p>
    <w:p w14:paraId="5F9E0103" w14:textId="77777777" w:rsidR="003D69C7" w:rsidRDefault="00000000">
      <w:pPr>
        <w:pStyle w:val="ListBullet"/>
        <w:spacing w:after="60"/>
        <w:ind w:left="567"/>
      </w:pPr>
      <w:r>
        <w:t>L1 regularization: α = 0.1</w:t>
      </w:r>
    </w:p>
    <w:p w14:paraId="4B99C62D" w14:textId="77777777" w:rsidR="003D69C7" w:rsidRDefault="00000000">
      <w:pPr>
        <w:pStyle w:val="ListBullet"/>
        <w:spacing w:after="60"/>
        <w:ind w:left="567"/>
      </w:pPr>
      <w:r>
        <w:t>L2 regularization: λ = 1.0</w:t>
      </w:r>
    </w:p>
    <w:p w14:paraId="65549060" w14:textId="77777777" w:rsidR="003D69C7" w:rsidRDefault="00000000">
      <w:r>
        <w:t>XGBoost's regularization and subsample parameters are particularly important given the small panel size (n = 60 training observations).</w:t>
      </w:r>
    </w:p>
    <w:p w14:paraId="78339F85" w14:textId="77777777" w:rsidR="003D69C7" w:rsidRDefault="00000000">
      <w:pPr>
        <w:pStyle w:val="Heading3"/>
      </w:pPr>
      <w:r>
        <w:t>5.4 Model 3: LSTM (Enhanced 3-Layer Architecture)</w:t>
      </w:r>
    </w:p>
    <w:p w14:paraId="6F7B99B0" w14:textId="77777777" w:rsidR="003D69C7" w:rsidRDefault="00000000">
      <w:r>
        <w:t>The LSTM is designed to capture multi-year temporal dependencies within each borough's time series. 3-year sliding windows are constructed per borough, yielding 35 training sequences and 9 test sequences. The architecture consists of:</w:t>
      </w:r>
    </w:p>
    <w:p w14:paraId="73C3F630" w14:textId="77777777" w:rsidR="003D69C7" w:rsidRDefault="00000000">
      <w:pPr>
        <w:pStyle w:val="ListBullet"/>
        <w:spacing w:after="60"/>
        <w:ind w:left="567"/>
      </w:pPr>
      <w:r>
        <w:t>LSTM(128, return_sequences=True) → Dropout(0.25) → BatchNormalization</w:t>
      </w:r>
    </w:p>
    <w:p w14:paraId="3FC87604" w14:textId="77777777" w:rsidR="003D69C7" w:rsidRDefault="00000000">
      <w:pPr>
        <w:pStyle w:val="ListBullet"/>
        <w:spacing w:after="60"/>
        <w:ind w:left="567"/>
      </w:pPr>
      <w:r>
        <w:t>LSTM(64, return_sequences=True) → Dropout(0.20)</w:t>
      </w:r>
    </w:p>
    <w:p w14:paraId="0864448F" w14:textId="77777777" w:rsidR="003D69C7" w:rsidRDefault="00000000">
      <w:pPr>
        <w:pStyle w:val="ListBullet"/>
        <w:spacing w:after="60"/>
        <w:ind w:left="567"/>
      </w:pPr>
      <w:r>
        <w:t>LSTM(32, return_sequences=False) → Dropout(0.15)</w:t>
      </w:r>
    </w:p>
    <w:p w14:paraId="09A6D1E8" w14:textId="77777777" w:rsidR="003D69C7" w:rsidRDefault="00000000">
      <w:pPr>
        <w:pStyle w:val="ListBullet"/>
        <w:spacing w:after="60"/>
        <w:ind w:left="567"/>
      </w:pPr>
      <w:r>
        <w:t>Dense(32, ReLU) → Dense(16, ReLU) → Dense(1)</w:t>
      </w:r>
    </w:p>
    <w:p w14:paraId="5FCF6E59" w14:textId="77777777" w:rsidR="003D69C7" w:rsidRDefault="00000000">
      <w:r>
        <w:lastRenderedPageBreak/>
        <w:t>Optimization uses Adam with ReduceLROnPlateau (patience = 10, factor = 0.5) and early stopping (patience = 25 epochs). The LSTM uses 17 input features (a subset of the 39 used in ML models), selected for temporal relevance and coverage across all years.</w:t>
      </w:r>
    </w:p>
    <w:p w14:paraId="33C92799" w14:textId="77777777" w:rsidR="003D69C7" w:rsidRDefault="00000000">
      <w:pPr>
        <w:pStyle w:val="Heading3"/>
      </w:pPr>
      <w:r>
        <w:t>5.5 Evaluation Metrics</w:t>
      </w:r>
    </w:p>
    <w:p w14:paraId="4700D533" w14:textId="77777777" w:rsidR="003D69C7" w:rsidRDefault="00000000">
      <w:r>
        <w:t>Models are evaluated on three metrics computed on the held-out test set:</w:t>
      </w:r>
    </w:p>
    <w:p w14:paraId="05FFDD59" w14:textId="77777777" w:rsidR="003D69C7" w:rsidRDefault="00000000">
      <w:pPr>
        <w:pStyle w:val="ListBullet"/>
        <w:spacing w:after="60"/>
        <w:ind w:left="567"/>
      </w:pPr>
      <w:r>
        <w:rPr>
          <w:b/>
        </w:rPr>
        <w:t>RMSE</w:t>
      </w:r>
      <w:r>
        <w:t>: Root Mean Squared Error (penalizes large errors)</w:t>
      </w:r>
    </w:p>
    <w:p w14:paraId="43DB4E50" w14:textId="77777777" w:rsidR="003D69C7" w:rsidRDefault="00000000">
      <w:pPr>
        <w:pStyle w:val="ListBullet"/>
        <w:spacing w:after="60"/>
        <w:ind w:left="567"/>
      </w:pPr>
      <w:r>
        <w:rPr>
          <w:b/>
        </w:rPr>
        <w:t>MAE</w:t>
      </w:r>
      <w:r>
        <w:t>: Mean Absolute Error (robust to outliers)</w:t>
      </w:r>
    </w:p>
    <w:p w14:paraId="4F5828A1" w14:textId="77777777" w:rsidR="003D69C7" w:rsidRDefault="00000000">
      <w:pPr>
        <w:pStyle w:val="ListBullet"/>
        <w:spacing w:after="60"/>
        <w:ind w:left="567"/>
      </w:pPr>
      <w:r>
        <w:rPr>
          <w:b/>
        </w:rPr>
        <w:t>R²</w:t>
      </w:r>
      <w:r>
        <w:t>: Coefficient of determination (variance explained)</w:t>
      </w:r>
    </w:p>
    <w:p w14:paraId="041B92F7" w14:textId="77777777" w:rsidR="003D69C7" w:rsidRDefault="00000000">
      <w:pPr>
        <w:pStyle w:val="Heading3"/>
      </w:pPr>
      <w:r>
        <w:t>5.6 SHAP Explainability</w:t>
      </w:r>
    </w:p>
    <w:p w14:paraId="30E1C57A" w14:textId="77777777" w:rsidR="003D69C7" w:rsidRDefault="00000000">
      <w:r>
        <w:t>SHAP TreeExplainer is applied to the XGBoost model to decompose each prediction into additive feature contributions. Mean absolute SHAP values rank features by their average marginal contribution across the test set. Dependence plots reveal how each top feature's effect on predicted stress varies with its value.</w:t>
      </w:r>
    </w:p>
    <w:p w14:paraId="6061B88D" w14:textId="77777777" w:rsidR="003D69C7" w:rsidRDefault="00000000">
      <w:pPr>
        <w:pStyle w:val="Heading3"/>
      </w:pPr>
      <w:r>
        <w:t>5.7 Forecasting Framework</w:t>
      </w:r>
    </w:p>
    <w:p w14:paraId="1FF1F442" w14:textId="77777777" w:rsidR="003D69C7" w:rsidRDefault="00000000">
      <w:r>
        <w:t>Iterative forecasting uses the fitted XGBoost model to project affordability stress for 2024–2027. For each forecast year, feature values are extrapolated using a 3-year linear trend from the most recent historical data. New engineered features are re-derived from extrapolated raw features. The predicted stress from the previous year is fed into the current year's lag features, producing a recursive forecast. This approach propagates uncertainty through the lag structure, making forecasts sensitive to the trajectory of underlying socioeconomic conditions.</w:t>
      </w:r>
    </w:p>
    <w:p w14:paraId="104F5201" w14:textId="77777777" w:rsidR="003D69C7" w:rsidRDefault="00000000">
      <w:pPr>
        <w:pStyle w:val="Heading2"/>
      </w:pPr>
      <w:r>
        <w:t>6. Empirical Results</w:t>
      </w:r>
    </w:p>
    <w:p w14:paraId="4E09A4BD" w14:textId="77777777" w:rsidR="003D69C7" w:rsidRDefault="00000000">
      <w:pPr>
        <w:pStyle w:val="Heading3"/>
      </w:pPr>
      <w:r>
        <w:t>6.1 Descriptive Statistics (2023 Snapshot)</w:t>
      </w:r>
    </w:p>
    <w:p w14:paraId="6301BF39" w14:textId="77777777" w:rsidR="003D69C7" w:rsidRDefault="00000000">
      <w:r>
        <w:t>Table 3 presents the borough-level snapshot for the most recent observation year (2023).</w:t>
      </w:r>
    </w:p>
    <w:p w14:paraId="5511E25F" w14:textId="77777777" w:rsidR="003D69C7" w:rsidRDefault="00000000">
      <w:pPr>
        <w:jc w:val="center"/>
      </w:pPr>
      <w:r>
        <w:rPr>
          <w:b/>
        </w:rPr>
        <w:t>Table 3: Borough Profiles — 2023</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3D69C7" w14:paraId="4771FC37" w14:textId="77777777">
        <w:trPr>
          <w:jc w:val="center"/>
        </w:trPr>
        <w:tc>
          <w:tcPr>
            <w:tcW w:w="1587" w:type="dxa"/>
            <w:shd w:val="clear" w:color="auto" w:fill="1A376C"/>
          </w:tcPr>
          <w:p w14:paraId="2A26293C" w14:textId="77777777" w:rsidR="003D69C7" w:rsidRDefault="00000000">
            <w:pPr>
              <w:jc w:val="center"/>
            </w:pPr>
            <w:r>
              <w:rPr>
                <w:b/>
                <w:color w:val="FFFFFF"/>
                <w:sz w:val="20"/>
              </w:rPr>
              <w:t>Indicator</w:t>
            </w:r>
          </w:p>
        </w:tc>
        <w:tc>
          <w:tcPr>
            <w:tcW w:w="1587" w:type="dxa"/>
            <w:shd w:val="clear" w:color="auto" w:fill="1A376C"/>
          </w:tcPr>
          <w:p w14:paraId="1508AAA8" w14:textId="77777777" w:rsidR="003D69C7" w:rsidRDefault="00000000">
            <w:pPr>
              <w:jc w:val="center"/>
            </w:pPr>
            <w:r>
              <w:rPr>
                <w:b/>
                <w:color w:val="FFFFFF"/>
                <w:sz w:val="20"/>
              </w:rPr>
              <w:t>Bronx</w:t>
            </w:r>
          </w:p>
        </w:tc>
        <w:tc>
          <w:tcPr>
            <w:tcW w:w="1587" w:type="dxa"/>
            <w:shd w:val="clear" w:color="auto" w:fill="1A376C"/>
          </w:tcPr>
          <w:p w14:paraId="0887A9EE" w14:textId="77777777" w:rsidR="003D69C7" w:rsidRDefault="00000000">
            <w:pPr>
              <w:jc w:val="center"/>
            </w:pPr>
            <w:r>
              <w:rPr>
                <w:b/>
                <w:color w:val="FFFFFF"/>
                <w:sz w:val="20"/>
              </w:rPr>
              <w:t>Brooklyn</w:t>
            </w:r>
          </w:p>
        </w:tc>
        <w:tc>
          <w:tcPr>
            <w:tcW w:w="1587" w:type="dxa"/>
            <w:shd w:val="clear" w:color="auto" w:fill="1A376C"/>
          </w:tcPr>
          <w:p w14:paraId="578EBA18" w14:textId="77777777" w:rsidR="003D69C7" w:rsidRDefault="00000000">
            <w:pPr>
              <w:jc w:val="center"/>
            </w:pPr>
            <w:r>
              <w:rPr>
                <w:b/>
                <w:color w:val="FFFFFF"/>
                <w:sz w:val="20"/>
              </w:rPr>
              <w:t>Manhattan</w:t>
            </w:r>
          </w:p>
        </w:tc>
        <w:tc>
          <w:tcPr>
            <w:tcW w:w="1587" w:type="dxa"/>
            <w:shd w:val="clear" w:color="auto" w:fill="1A376C"/>
          </w:tcPr>
          <w:p w14:paraId="1986121F" w14:textId="77777777" w:rsidR="003D69C7" w:rsidRDefault="00000000">
            <w:pPr>
              <w:jc w:val="center"/>
            </w:pPr>
            <w:r>
              <w:rPr>
                <w:b/>
                <w:color w:val="FFFFFF"/>
                <w:sz w:val="20"/>
              </w:rPr>
              <w:t>Queens</w:t>
            </w:r>
          </w:p>
        </w:tc>
      </w:tr>
      <w:tr w:rsidR="003D69C7" w14:paraId="1138416D" w14:textId="77777777">
        <w:trPr>
          <w:jc w:val="center"/>
        </w:trPr>
        <w:tc>
          <w:tcPr>
            <w:tcW w:w="1587" w:type="dxa"/>
          </w:tcPr>
          <w:p w14:paraId="7AE5925C" w14:textId="77777777" w:rsidR="003D69C7" w:rsidRDefault="00000000">
            <w:r>
              <w:rPr>
                <w:sz w:val="20"/>
              </w:rPr>
              <w:t>Median HH Income ($)</w:t>
            </w:r>
          </w:p>
        </w:tc>
        <w:tc>
          <w:tcPr>
            <w:tcW w:w="1587" w:type="dxa"/>
          </w:tcPr>
          <w:p w14:paraId="542CBF18" w14:textId="77777777" w:rsidR="003D69C7" w:rsidRDefault="00000000">
            <w:r>
              <w:rPr>
                <w:sz w:val="20"/>
              </w:rPr>
              <w:t>48,614</w:t>
            </w:r>
          </w:p>
        </w:tc>
        <w:tc>
          <w:tcPr>
            <w:tcW w:w="1587" w:type="dxa"/>
          </w:tcPr>
          <w:p w14:paraId="53ABD64E" w14:textId="77777777" w:rsidR="003D69C7" w:rsidRDefault="00000000">
            <w:r>
              <w:rPr>
                <w:sz w:val="20"/>
              </w:rPr>
              <w:t>79,829</w:t>
            </w:r>
          </w:p>
        </w:tc>
        <w:tc>
          <w:tcPr>
            <w:tcW w:w="1587" w:type="dxa"/>
          </w:tcPr>
          <w:p w14:paraId="02495F55" w14:textId="77777777" w:rsidR="003D69C7" w:rsidRDefault="00000000">
            <w:r>
              <w:rPr>
                <w:sz w:val="20"/>
              </w:rPr>
              <w:t>104,911</w:t>
            </w:r>
          </w:p>
        </w:tc>
        <w:tc>
          <w:tcPr>
            <w:tcW w:w="1587" w:type="dxa"/>
          </w:tcPr>
          <w:p w14:paraId="53DAF00F" w14:textId="77777777" w:rsidR="003D69C7" w:rsidRDefault="00000000">
            <w:r>
              <w:rPr>
                <w:sz w:val="20"/>
              </w:rPr>
              <w:t>85,036</w:t>
            </w:r>
          </w:p>
        </w:tc>
      </w:tr>
      <w:tr w:rsidR="003D69C7" w14:paraId="786FBC87" w14:textId="77777777">
        <w:trPr>
          <w:jc w:val="center"/>
        </w:trPr>
        <w:tc>
          <w:tcPr>
            <w:tcW w:w="1587" w:type="dxa"/>
            <w:shd w:val="clear" w:color="auto" w:fill="E8EDF6"/>
          </w:tcPr>
          <w:p w14:paraId="3632B223" w14:textId="77777777" w:rsidR="003D69C7" w:rsidRDefault="00000000">
            <w:r>
              <w:rPr>
                <w:sz w:val="20"/>
              </w:rPr>
              <w:t>Renter Median Income ($)</w:t>
            </w:r>
          </w:p>
        </w:tc>
        <w:tc>
          <w:tcPr>
            <w:tcW w:w="1587" w:type="dxa"/>
            <w:shd w:val="clear" w:color="auto" w:fill="E8EDF6"/>
          </w:tcPr>
          <w:p w14:paraId="51E8C3C0" w14:textId="77777777" w:rsidR="003D69C7" w:rsidRDefault="00000000">
            <w:r>
              <w:rPr>
                <w:sz w:val="20"/>
              </w:rPr>
              <w:t>40,660</w:t>
            </w:r>
          </w:p>
        </w:tc>
        <w:tc>
          <w:tcPr>
            <w:tcW w:w="1587" w:type="dxa"/>
            <w:shd w:val="clear" w:color="auto" w:fill="E8EDF6"/>
          </w:tcPr>
          <w:p w14:paraId="69AA9130" w14:textId="77777777" w:rsidR="003D69C7" w:rsidRDefault="00000000">
            <w:r>
              <w:rPr>
                <w:sz w:val="20"/>
              </w:rPr>
              <w:t>67,225</w:t>
            </w:r>
          </w:p>
        </w:tc>
        <w:tc>
          <w:tcPr>
            <w:tcW w:w="1587" w:type="dxa"/>
            <w:shd w:val="clear" w:color="auto" w:fill="E8EDF6"/>
          </w:tcPr>
          <w:p w14:paraId="4F90C29E" w14:textId="77777777" w:rsidR="003D69C7" w:rsidRDefault="00000000">
            <w:r>
              <w:rPr>
                <w:sz w:val="20"/>
              </w:rPr>
              <w:t>84,318</w:t>
            </w:r>
          </w:p>
        </w:tc>
        <w:tc>
          <w:tcPr>
            <w:tcW w:w="1587" w:type="dxa"/>
            <w:shd w:val="clear" w:color="auto" w:fill="E8EDF6"/>
          </w:tcPr>
          <w:p w14:paraId="7F86FB9D" w14:textId="77777777" w:rsidR="003D69C7" w:rsidRDefault="00000000">
            <w:r>
              <w:rPr>
                <w:sz w:val="20"/>
              </w:rPr>
              <w:t>70,375</w:t>
            </w:r>
          </w:p>
        </w:tc>
      </w:tr>
      <w:tr w:rsidR="003D69C7" w14:paraId="31A0DBA8" w14:textId="77777777">
        <w:trPr>
          <w:jc w:val="center"/>
        </w:trPr>
        <w:tc>
          <w:tcPr>
            <w:tcW w:w="1587" w:type="dxa"/>
          </w:tcPr>
          <w:p w14:paraId="71A0890A" w14:textId="77777777" w:rsidR="003D69C7" w:rsidRDefault="00000000">
            <w:r>
              <w:rPr>
                <w:sz w:val="20"/>
              </w:rPr>
              <w:lastRenderedPageBreak/>
              <w:t>Income Gap ($)</w:t>
            </w:r>
          </w:p>
        </w:tc>
        <w:tc>
          <w:tcPr>
            <w:tcW w:w="1587" w:type="dxa"/>
          </w:tcPr>
          <w:p w14:paraId="36B64A88" w14:textId="77777777" w:rsidR="003D69C7" w:rsidRDefault="00000000">
            <w:r>
              <w:rPr>
                <w:sz w:val="20"/>
              </w:rPr>
              <w:t>7,955</w:t>
            </w:r>
          </w:p>
        </w:tc>
        <w:tc>
          <w:tcPr>
            <w:tcW w:w="1587" w:type="dxa"/>
          </w:tcPr>
          <w:p w14:paraId="0A560DAA" w14:textId="77777777" w:rsidR="003D69C7" w:rsidRDefault="00000000">
            <w:r>
              <w:rPr>
                <w:sz w:val="20"/>
              </w:rPr>
              <w:t>12,603</w:t>
            </w:r>
          </w:p>
        </w:tc>
        <w:tc>
          <w:tcPr>
            <w:tcW w:w="1587" w:type="dxa"/>
          </w:tcPr>
          <w:p w14:paraId="2256E676" w14:textId="77777777" w:rsidR="003D69C7" w:rsidRDefault="00000000">
            <w:r>
              <w:rPr>
                <w:sz w:val="20"/>
              </w:rPr>
              <w:t>20,593</w:t>
            </w:r>
          </w:p>
        </w:tc>
        <w:tc>
          <w:tcPr>
            <w:tcW w:w="1587" w:type="dxa"/>
          </w:tcPr>
          <w:p w14:paraId="7AD3FD14" w14:textId="77777777" w:rsidR="003D69C7" w:rsidRDefault="00000000">
            <w:r>
              <w:rPr>
                <w:sz w:val="20"/>
              </w:rPr>
              <w:t>14,661</w:t>
            </w:r>
          </w:p>
        </w:tc>
      </w:tr>
      <w:tr w:rsidR="003D69C7" w14:paraId="2F57DDFD" w14:textId="77777777">
        <w:trPr>
          <w:jc w:val="center"/>
        </w:trPr>
        <w:tc>
          <w:tcPr>
            <w:tcW w:w="1587" w:type="dxa"/>
            <w:shd w:val="clear" w:color="auto" w:fill="E8EDF6"/>
          </w:tcPr>
          <w:p w14:paraId="03178B62" w14:textId="77777777" w:rsidR="003D69C7" w:rsidRDefault="00000000">
            <w:r>
              <w:rPr>
                <w:sz w:val="20"/>
              </w:rPr>
              <w:t>Homeownership Rate</w:t>
            </w:r>
          </w:p>
        </w:tc>
        <w:tc>
          <w:tcPr>
            <w:tcW w:w="1587" w:type="dxa"/>
            <w:shd w:val="clear" w:color="auto" w:fill="E8EDF6"/>
          </w:tcPr>
          <w:p w14:paraId="394AEFCA" w14:textId="77777777" w:rsidR="003D69C7" w:rsidRDefault="00000000">
            <w:r>
              <w:rPr>
                <w:sz w:val="20"/>
              </w:rPr>
              <w:t>20.1%</w:t>
            </w:r>
          </w:p>
        </w:tc>
        <w:tc>
          <w:tcPr>
            <w:tcW w:w="1587" w:type="dxa"/>
            <w:shd w:val="clear" w:color="auto" w:fill="E8EDF6"/>
          </w:tcPr>
          <w:p w14:paraId="0ADDF347" w14:textId="77777777" w:rsidR="003D69C7" w:rsidRDefault="00000000">
            <w:r>
              <w:rPr>
                <w:sz w:val="20"/>
              </w:rPr>
              <w:t>28.7%</w:t>
            </w:r>
          </w:p>
        </w:tc>
        <w:tc>
          <w:tcPr>
            <w:tcW w:w="1587" w:type="dxa"/>
            <w:shd w:val="clear" w:color="auto" w:fill="E8EDF6"/>
          </w:tcPr>
          <w:p w14:paraId="7FCA9B91" w14:textId="77777777" w:rsidR="003D69C7" w:rsidRDefault="00000000">
            <w:r>
              <w:rPr>
                <w:sz w:val="20"/>
              </w:rPr>
              <w:t>25.4%</w:t>
            </w:r>
          </w:p>
        </w:tc>
        <w:tc>
          <w:tcPr>
            <w:tcW w:w="1587" w:type="dxa"/>
            <w:shd w:val="clear" w:color="auto" w:fill="E8EDF6"/>
          </w:tcPr>
          <w:p w14:paraId="1ABF1366" w14:textId="77777777" w:rsidR="003D69C7" w:rsidRDefault="00000000">
            <w:r>
              <w:rPr>
                <w:sz w:val="20"/>
              </w:rPr>
              <w:t>44.6%</w:t>
            </w:r>
          </w:p>
        </w:tc>
      </w:tr>
      <w:tr w:rsidR="003D69C7" w14:paraId="35EF3519" w14:textId="77777777">
        <w:trPr>
          <w:jc w:val="center"/>
        </w:trPr>
        <w:tc>
          <w:tcPr>
            <w:tcW w:w="1587" w:type="dxa"/>
          </w:tcPr>
          <w:p w14:paraId="58EBF3A6" w14:textId="77777777" w:rsidR="003D69C7" w:rsidRDefault="00000000">
            <w:r>
              <w:rPr>
                <w:sz w:val="20"/>
              </w:rPr>
              <w:t>Crime Rate (per 1,000)</w:t>
            </w:r>
          </w:p>
        </w:tc>
        <w:tc>
          <w:tcPr>
            <w:tcW w:w="1587" w:type="dxa"/>
          </w:tcPr>
          <w:p w14:paraId="6EEEFEBE" w14:textId="77777777" w:rsidR="003D69C7" w:rsidRDefault="00000000">
            <w:r>
              <w:rPr>
                <w:sz w:val="20"/>
              </w:rPr>
              <w:t>20.1</w:t>
            </w:r>
          </w:p>
        </w:tc>
        <w:tc>
          <w:tcPr>
            <w:tcW w:w="1587" w:type="dxa"/>
          </w:tcPr>
          <w:p w14:paraId="61AFBE40" w14:textId="77777777" w:rsidR="003D69C7" w:rsidRDefault="00000000">
            <w:r>
              <w:rPr>
                <w:sz w:val="20"/>
              </w:rPr>
              <w:t>11.7</w:t>
            </w:r>
          </w:p>
        </w:tc>
        <w:tc>
          <w:tcPr>
            <w:tcW w:w="1587" w:type="dxa"/>
          </w:tcPr>
          <w:p w14:paraId="2E22876D" w14:textId="77777777" w:rsidR="003D69C7" w:rsidRDefault="00000000">
            <w:r>
              <w:rPr>
                <w:sz w:val="20"/>
              </w:rPr>
              <w:t>19.6</w:t>
            </w:r>
          </w:p>
        </w:tc>
        <w:tc>
          <w:tcPr>
            <w:tcW w:w="1587" w:type="dxa"/>
          </w:tcPr>
          <w:p w14:paraId="7DB222D5" w14:textId="77777777" w:rsidR="003D69C7" w:rsidRDefault="00000000">
            <w:r>
              <w:rPr>
                <w:sz w:val="20"/>
              </w:rPr>
              <w:t>11.4</w:t>
            </w:r>
          </w:p>
        </w:tc>
      </w:tr>
      <w:tr w:rsidR="003D69C7" w14:paraId="3DB404B9" w14:textId="77777777">
        <w:trPr>
          <w:jc w:val="center"/>
        </w:trPr>
        <w:tc>
          <w:tcPr>
            <w:tcW w:w="1587" w:type="dxa"/>
            <w:shd w:val="clear" w:color="auto" w:fill="E8EDF6"/>
          </w:tcPr>
          <w:p w14:paraId="34D4D354" w14:textId="77777777" w:rsidR="003D69C7" w:rsidRDefault="00000000">
            <w:r>
              <w:rPr>
                <w:sz w:val="20"/>
              </w:rPr>
              <w:t>Unemployment Rate</w:t>
            </w:r>
          </w:p>
        </w:tc>
        <w:tc>
          <w:tcPr>
            <w:tcW w:w="1587" w:type="dxa"/>
            <w:shd w:val="clear" w:color="auto" w:fill="E8EDF6"/>
          </w:tcPr>
          <w:p w14:paraId="63BC0FC9" w14:textId="77777777" w:rsidR="003D69C7" w:rsidRDefault="00000000">
            <w:r>
              <w:rPr>
                <w:sz w:val="20"/>
              </w:rPr>
              <w:t>9.3%</w:t>
            </w:r>
          </w:p>
        </w:tc>
        <w:tc>
          <w:tcPr>
            <w:tcW w:w="1587" w:type="dxa"/>
            <w:shd w:val="clear" w:color="auto" w:fill="E8EDF6"/>
          </w:tcPr>
          <w:p w14:paraId="40B67CCB" w14:textId="77777777" w:rsidR="003D69C7" w:rsidRDefault="00000000">
            <w:r>
              <w:rPr>
                <w:sz w:val="20"/>
              </w:rPr>
              <w:t>5.8%</w:t>
            </w:r>
          </w:p>
        </w:tc>
        <w:tc>
          <w:tcPr>
            <w:tcW w:w="1587" w:type="dxa"/>
            <w:shd w:val="clear" w:color="auto" w:fill="E8EDF6"/>
          </w:tcPr>
          <w:p w14:paraId="33DE4B5E" w14:textId="77777777" w:rsidR="003D69C7" w:rsidRDefault="00000000">
            <w:r>
              <w:rPr>
                <w:sz w:val="20"/>
              </w:rPr>
              <w:t>7.0%</w:t>
            </w:r>
          </w:p>
        </w:tc>
        <w:tc>
          <w:tcPr>
            <w:tcW w:w="1587" w:type="dxa"/>
            <w:shd w:val="clear" w:color="auto" w:fill="E8EDF6"/>
          </w:tcPr>
          <w:p w14:paraId="71FE23E5" w14:textId="77777777" w:rsidR="003D69C7" w:rsidRDefault="00000000">
            <w:r>
              <w:rPr>
                <w:sz w:val="20"/>
              </w:rPr>
              <w:t>5.0%</w:t>
            </w:r>
          </w:p>
        </w:tc>
      </w:tr>
      <w:tr w:rsidR="003D69C7" w14:paraId="42BA228A" w14:textId="77777777">
        <w:trPr>
          <w:jc w:val="center"/>
        </w:trPr>
        <w:tc>
          <w:tcPr>
            <w:tcW w:w="1587" w:type="dxa"/>
          </w:tcPr>
          <w:p w14:paraId="3E2602B3" w14:textId="77777777" w:rsidR="003D69C7" w:rsidRDefault="00000000">
            <w:r>
              <w:rPr>
                <w:sz w:val="20"/>
              </w:rPr>
              <w:t>Rental Vacancy Rate</w:t>
            </w:r>
          </w:p>
        </w:tc>
        <w:tc>
          <w:tcPr>
            <w:tcW w:w="1587" w:type="dxa"/>
          </w:tcPr>
          <w:p w14:paraId="53427088" w14:textId="77777777" w:rsidR="003D69C7" w:rsidRDefault="00000000">
            <w:r>
              <w:rPr>
                <w:sz w:val="20"/>
              </w:rPr>
              <w:t>2.1%</w:t>
            </w:r>
          </w:p>
        </w:tc>
        <w:tc>
          <w:tcPr>
            <w:tcW w:w="1587" w:type="dxa"/>
          </w:tcPr>
          <w:p w14:paraId="36E3F3A3" w14:textId="77777777" w:rsidR="003D69C7" w:rsidRDefault="00000000">
            <w:r>
              <w:rPr>
                <w:sz w:val="20"/>
              </w:rPr>
              <w:t>2.9%</w:t>
            </w:r>
          </w:p>
        </w:tc>
        <w:tc>
          <w:tcPr>
            <w:tcW w:w="1587" w:type="dxa"/>
          </w:tcPr>
          <w:p w14:paraId="62069313" w14:textId="77777777" w:rsidR="003D69C7" w:rsidRDefault="00000000">
            <w:r>
              <w:rPr>
                <w:sz w:val="20"/>
              </w:rPr>
              <w:t>5.5%</w:t>
            </w:r>
          </w:p>
        </w:tc>
        <w:tc>
          <w:tcPr>
            <w:tcW w:w="1587" w:type="dxa"/>
          </w:tcPr>
          <w:p w14:paraId="31451818" w14:textId="77777777" w:rsidR="003D69C7" w:rsidRDefault="00000000">
            <w:r>
              <w:rPr>
                <w:sz w:val="20"/>
              </w:rPr>
              <w:t>3.1%</w:t>
            </w:r>
          </w:p>
        </w:tc>
      </w:tr>
      <w:tr w:rsidR="003D69C7" w14:paraId="11340FB0" w14:textId="77777777">
        <w:trPr>
          <w:jc w:val="center"/>
        </w:trPr>
        <w:tc>
          <w:tcPr>
            <w:tcW w:w="1587" w:type="dxa"/>
            <w:shd w:val="clear" w:color="auto" w:fill="E8EDF6"/>
          </w:tcPr>
          <w:p w14:paraId="79CBEF75" w14:textId="77777777" w:rsidR="003D69C7" w:rsidRDefault="00000000">
            <w:r>
              <w:rPr>
                <w:sz w:val="20"/>
              </w:rPr>
              <w:t>Severe Crowding Rate</w:t>
            </w:r>
          </w:p>
        </w:tc>
        <w:tc>
          <w:tcPr>
            <w:tcW w:w="1587" w:type="dxa"/>
            <w:shd w:val="clear" w:color="auto" w:fill="E8EDF6"/>
          </w:tcPr>
          <w:p w14:paraId="1FAE47DA" w14:textId="77777777" w:rsidR="003D69C7" w:rsidRDefault="00000000">
            <w:r>
              <w:rPr>
                <w:sz w:val="20"/>
              </w:rPr>
              <w:t>6.0%</w:t>
            </w:r>
          </w:p>
        </w:tc>
        <w:tc>
          <w:tcPr>
            <w:tcW w:w="1587" w:type="dxa"/>
            <w:shd w:val="clear" w:color="auto" w:fill="E8EDF6"/>
          </w:tcPr>
          <w:p w14:paraId="7C0742B2" w14:textId="77777777" w:rsidR="003D69C7" w:rsidRDefault="00000000">
            <w:r>
              <w:rPr>
                <w:sz w:val="20"/>
              </w:rPr>
              <w:t>5.5%</w:t>
            </w:r>
          </w:p>
        </w:tc>
        <w:tc>
          <w:tcPr>
            <w:tcW w:w="1587" w:type="dxa"/>
            <w:shd w:val="clear" w:color="auto" w:fill="E8EDF6"/>
          </w:tcPr>
          <w:p w14:paraId="3D9691F6" w14:textId="77777777" w:rsidR="003D69C7" w:rsidRDefault="00000000">
            <w:r>
              <w:rPr>
                <w:sz w:val="20"/>
              </w:rPr>
              <w:t>2.9%</w:t>
            </w:r>
          </w:p>
        </w:tc>
        <w:tc>
          <w:tcPr>
            <w:tcW w:w="1587" w:type="dxa"/>
            <w:shd w:val="clear" w:color="auto" w:fill="E8EDF6"/>
          </w:tcPr>
          <w:p w14:paraId="546A6867" w14:textId="77777777" w:rsidR="003D69C7" w:rsidRDefault="00000000">
            <w:r>
              <w:rPr>
                <w:sz w:val="20"/>
              </w:rPr>
              <w:t>6.0%</w:t>
            </w:r>
          </w:p>
        </w:tc>
      </w:tr>
      <w:tr w:rsidR="003D69C7" w14:paraId="1E849473" w14:textId="77777777">
        <w:trPr>
          <w:jc w:val="center"/>
        </w:trPr>
        <w:tc>
          <w:tcPr>
            <w:tcW w:w="1587" w:type="dxa"/>
          </w:tcPr>
          <w:p w14:paraId="154A855E" w14:textId="77777777" w:rsidR="003D69C7" w:rsidRDefault="00000000">
            <w:r>
              <w:rPr>
                <w:sz w:val="20"/>
              </w:rPr>
              <w:t>Housing Voucher Coverage</w:t>
            </w:r>
          </w:p>
        </w:tc>
        <w:tc>
          <w:tcPr>
            <w:tcW w:w="1587" w:type="dxa"/>
          </w:tcPr>
          <w:p w14:paraId="66EB23FD" w14:textId="77777777" w:rsidR="003D69C7" w:rsidRDefault="00000000">
            <w:r>
              <w:rPr>
                <w:sz w:val="20"/>
              </w:rPr>
              <w:t>13.5%</w:t>
            </w:r>
          </w:p>
        </w:tc>
        <w:tc>
          <w:tcPr>
            <w:tcW w:w="1587" w:type="dxa"/>
          </w:tcPr>
          <w:p w14:paraId="65D08DA1" w14:textId="77777777" w:rsidR="003D69C7" w:rsidRDefault="00000000">
            <w:r>
              <w:rPr>
                <w:sz w:val="20"/>
              </w:rPr>
              <w:t>6.3%</w:t>
            </w:r>
          </w:p>
        </w:tc>
        <w:tc>
          <w:tcPr>
            <w:tcW w:w="1587" w:type="dxa"/>
          </w:tcPr>
          <w:p w14:paraId="0CD648D6" w14:textId="77777777" w:rsidR="003D69C7" w:rsidRDefault="00000000">
            <w:r>
              <w:rPr>
                <w:sz w:val="20"/>
              </w:rPr>
              <w:t>3.6%</w:t>
            </w:r>
          </w:p>
        </w:tc>
        <w:tc>
          <w:tcPr>
            <w:tcW w:w="1587" w:type="dxa"/>
          </w:tcPr>
          <w:p w14:paraId="13B4EA13" w14:textId="77777777" w:rsidR="003D69C7" w:rsidRDefault="00000000">
            <w:r>
              <w:rPr>
                <w:sz w:val="20"/>
              </w:rPr>
              <w:t>2.3%</w:t>
            </w:r>
          </w:p>
        </w:tc>
      </w:tr>
      <w:tr w:rsidR="003D69C7" w14:paraId="10698C3C" w14:textId="77777777">
        <w:trPr>
          <w:jc w:val="center"/>
        </w:trPr>
        <w:tc>
          <w:tcPr>
            <w:tcW w:w="1587" w:type="dxa"/>
            <w:shd w:val="clear" w:color="auto" w:fill="E8EDF6"/>
          </w:tcPr>
          <w:p w14:paraId="5F3FC66F" w14:textId="77777777" w:rsidR="003D69C7" w:rsidRDefault="00000000">
            <w:r>
              <w:rPr>
                <w:sz w:val="20"/>
              </w:rPr>
              <w:t>Supply Pipeline Rate</w:t>
            </w:r>
          </w:p>
        </w:tc>
        <w:tc>
          <w:tcPr>
            <w:tcW w:w="1587" w:type="dxa"/>
            <w:shd w:val="clear" w:color="auto" w:fill="E8EDF6"/>
          </w:tcPr>
          <w:p w14:paraId="2CAC752E" w14:textId="77777777" w:rsidR="003D69C7" w:rsidRDefault="00000000">
            <w:r>
              <w:rPr>
                <w:sz w:val="20"/>
              </w:rPr>
              <w:t>35.8</w:t>
            </w:r>
          </w:p>
        </w:tc>
        <w:tc>
          <w:tcPr>
            <w:tcW w:w="1587" w:type="dxa"/>
            <w:shd w:val="clear" w:color="auto" w:fill="E8EDF6"/>
          </w:tcPr>
          <w:p w14:paraId="6F182BEB" w14:textId="77777777" w:rsidR="003D69C7" w:rsidRDefault="00000000">
            <w:r>
              <w:rPr>
                <w:sz w:val="20"/>
              </w:rPr>
              <w:t>20.8</w:t>
            </w:r>
          </w:p>
        </w:tc>
        <w:tc>
          <w:tcPr>
            <w:tcW w:w="1587" w:type="dxa"/>
            <w:shd w:val="clear" w:color="auto" w:fill="E8EDF6"/>
          </w:tcPr>
          <w:p w14:paraId="0D59B7C8" w14:textId="77777777" w:rsidR="003D69C7" w:rsidRDefault="00000000">
            <w:r>
              <w:rPr>
                <w:sz w:val="20"/>
              </w:rPr>
              <w:t>12.9</w:t>
            </w:r>
          </w:p>
        </w:tc>
        <w:tc>
          <w:tcPr>
            <w:tcW w:w="1587" w:type="dxa"/>
            <w:shd w:val="clear" w:color="auto" w:fill="E8EDF6"/>
          </w:tcPr>
          <w:p w14:paraId="45EC2C3A" w14:textId="77777777" w:rsidR="003D69C7" w:rsidRDefault="00000000">
            <w:r>
              <w:rPr>
                <w:sz w:val="20"/>
              </w:rPr>
              <w:t>16.6</w:t>
            </w:r>
          </w:p>
        </w:tc>
      </w:tr>
      <w:tr w:rsidR="003D69C7" w14:paraId="57D339DB" w14:textId="77777777">
        <w:trPr>
          <w:jc w:val="center"/>
        </w:trPr>
        <w:tc>
          <w:tcPr>
            <w:tcW w:w="1587" w:type="dxa"/>
          </w:tcPr>
          <w:p w14:paraId="3C358123" w14:textId="77777777" w:rsidR="003D69C7" w:rsidRDefault="00000000">
            <w:r>
              <w:rPr>
                <w:sz w:val="20"/>
              </w:rPr>
              <w:t>Govt. Support Index</w:t>
            </w:r>
          </w:p>
        </w:tc>
        <w:tc>
          <w:tcPr>
            <w:tcW w:w="1587" w:type="dxa"/>
          </w:tcPr>
          <w:p w14:paraId="6BA7DD0D" w14:textId="77777777" w:rsidR="003D69C7" w:rsidRDefault="00000000">
            <w:r>
              <w:rPr>
                <w:sz w:val="20"/>
              </w:rPr>
              <w:t>0.353</w:t>
            </w:r>
          </w:p>
        </w:tc>
        <w:tc>
          <w:tcPr>
            <w:tcW w:w="1587" w:type="dxa"/>
          </w:tcPr>
          <w:p w14:paraId="21D8248D" w14:textId="77777777" w:rsidR="003D69C7" w:rsidRDefault="00000000">
            <w:r>
              <w:rPr>
                <w:sz w:val="20"/>
              </w:rPr>
              <w:t>0.138</w:t>
            </w:r>
          </w:p>
        </w:tc>
        <w:tc>
          <w:tcPr>
            <w:tcW w:w="1587" w:type="dxa"/>
          </w:tcPr>
          <w:p w14:paraId="7BFEED31" w14:textId="77777777" w:rsidR="003D69C7" w:rsidRDefault="00000000">
            <w:r>
              <w:rPr>
                <w:sz w:val="20"/>
              </w:rPr>
              <w:t>0.038</w:t>
            </w:r>
          </w:p>
        </w:tc>
        <w:tc>
          <w:tcPr>
            <w:tcW w:w="1587" w:type="dxa"/>
          </w:tcPr>
          <w:p w14:paraId="7DDE64F0" w14:textId="77777777" w:rsidR="003D69C7" w:rsidRDefault="00000000">
            <w:r>
              <w:rPr>
                <w:sz w:val="20"/>
              </w:rPr>
              <w:t>0.128</w:t>
            </w:r>
          </w:p>
        </w:tc>
      </w:tr>
      <w:tr w:rsidR="003D69C7" w14:paraId="0F1943C7" w14:textId="77777777">
        <w:trPr>
          <w:jc w:val="center"/>
        </w:trPr>
        <w:tc>
          <w:tcPr>
            <w:tcW w:w="1587" w:type="dxa"/>
            <w:shd w:val="clear" w:color="auto" w:fill="E8EDF6"/>
          </w:tcPr>
          <w:p w14:paraId="5D5F6B56" w14:textId="77777777" w:rsidR="003D69C7" w:rsidRDefault="00000000">
            <w:r>
              <w:rPr>
                <w:b/>
                <w:sz w:val="20"/>
              </w:rPr>
              <w:t>Affordability Stress</w:t>
            </w:r>
          </w:p>
        </w:tc>
        <w:tc>
          <w:tcPr>
            <w:tcW w:w="1587" w:type="dxa"/>
            <w:shd w:val="clear" w:color="auto" w:fill="E8EDF6"/>
          </w:tcPr>
          <w:p w14:paraId="30A5A7D9" w14:textId="77777777" w:rsidR="003D69C7" w:rsidRDefault="00000000">
            <w:r>
              <w:rPr>
                <w:b/>
                <w:sz w:val="20"/>
              </w:rPr>
              <w:t>0.0637</w:t>
            </w:r>
          </w:p>
        </w:tc>
        <w:tc>
          <w:tcPr>
            <w:tcW w:w="1587" w:type="dxa"/>
            <w:shd w:val="clear" w:color="auto" w:fill="E8EDF6"/>
          </w:tcPr>
          <w:p w14:paraId="5E24EEFF" w14:textId="77777777" w:rsidR="003D69C7" w:rsidRDefault="00000000">
            <w:r>
              <w:rPr>
                <w:b/>
                <w:sz w:val="20"/>
              </w:rPr>
              <w:t>0.0395</w:t>
            </w:r>
          </w:p>
        </w:tc>
        <w:tc>
          <w:tcPr>
            <w:tcW w:w="1587" w:type="dxa"/>
            <w:shd w:val="clear" w:color="auto" w:fill="E8EDF6"/>
          </w:tcPr>
          <w:p w14:paraId="49F18B32" w14:textId="77777777" w:rsidR="003D69C7" w:rsidRDefault="00000000">
            <w:r>
              <w:rPr>
                <w:b/>
                <w:sz w:val="20"/>
              </w:rPr>
              <w:t>0.0194</w:t>
            </w:r>
          </w:p>
        </w:tc>
        <w:tc>
          <w:tcPr>
            <w:tcW w:w="1587" w:type="dxa"/>
            <w:shd w:val="clear" w:color="auto" w:fill="E8EDF6"/>
          </w:tcPr>
          <w:p w14:paraId="5275DFD8" w14:textId="77777777" w:rsidR="003D69C7" w:rsidRDefault="00000000">
            <w:r>
              <w:rPr>
                <w:b/>
                <w:sz w:val="20"/>
              </w:rPr>
              <w:t>0.0588</w:t>
            </w:r>
          </w:p>
        </w:tc>
      </w:tr>
    </w:tbl>
    <w:p w14:paraId="5749E8C2" w14:textId="77777777" w:rsidR="003D69C7" w:rsidRDefault="003D69C7"/>
    <w:p w14:paraId="49732E8C" w14:textId="77777777" w:rsidR="003D69C7" w:rsidRDefault="00000000">
      <w:r>
        <w:t>The Bronx exhibits the highest affordability stress in 2023, driven by the lowest median household income ($48,614), the highest unemployment rate (9.3%), the tightest rental vacancy (2.1%), and the highest severe crowding rate (6.0%). Despite having the highest government support index (0.353)—reflecting substantial housing voucher and FHA/VA loan coverage—the Bronx remains the most vulnerable borough for renters.</w:t>
      </w:r>
    </w:p>
    <w:p w14:paraId="62CD830E" w14:textId="77777777" w:rsidR="003D69C7" w:rsidRDefault="00000000">
      <w:r>
        <w:t>Manhattan, despite having the largest absolute income gap ($20,593 between overall and renter income), records the lowest stress (0.0194), because its high-cost loan market has contracted significantly since the post-2008 peak and its renter incomes remain comparatively high. Queens shows elevated stress (0.0588) driven by severe crowding (6.0%) and a tightening rental vacancy rate (3.1%).</w:t>
      </w:r>
    </w:p>
    <w:p w14:paraId="012993E5" w14:textId="77777777" w:rsidR="003D69C7" w:rsidRDefault="00000000">
      <w:pPr>
        <w:pStyle w:val="Heading3"/>
      </w:pPr>
      <w:r>
        <w:lastRenderedPageBreak/>
        <w:t>6.2 Income Dynamics (2005–2023)</w:t>
      </w:r>
    </w:p>
    <w:p w14:paraId="331B6992" w14:textId="77777777" w:rsidR="003D69C7" w:rsidRDefault="00000000">
      <w:r>
        <w:t>Across the 19-year study period, all four boroughs exhibit positive nominal income growth in 2024 real dollars:</w:t>
      </w:r>
    </w:p>
    <w:p w14:paraId="3DADD46A" w14:textId="77777777" w:rsidR="003D69C7" w:rsidRDefault="00000000">
      <w:pPr>
        <w:pStyle w:val="ListBullet"/>
        <w:spacing w:after="60"/>
        <w:ind w:left="567"/>
      </w:pPr>
      <w:r>
        <w:rPr>
          <w:b/>
        </w:rPr>
        <w:t>Brooklyn</w:t>
      </w:r>
      <w:r>
        <w:t>: +72.7% (fastest growing borough)</w:t>
      </w:r>
    </w:p>
    <w:p w14:paraId="50BACBB3" w14:textId="77777777" w:rsidR="003D69C7" w:rsidRDefault="00000000">
      <w:pPr>
        <w:pStyle w:val="ListBullet"/>
        <w:spacing w:after="60"/>
        <w:ind w:left="567"/>
      </w:pPr>
      <w:r>
        <w:rPr>
          <w:b/>
        </w:rPr>
        <w:t>Manhattan</w:t>
      </w:r>
      <w:r>
        <w:t>: +51.4%</w:t>
      </w:r>
    </w:p>
    <w:p w14:paraId="29256473" w14:textId="77777777" w:rsidR="003D69C7" w:rsidRDefault="00000000">
      <w:pPr>
        <w:pStyle w:val="ListBullet"/>
        <w:spacing w:after="60"/>
        <w:ind w:left="567"/>
      </w:pPr>
      <w:r>
        <w:rPr>
          <w:b/>
        </w:rPr>
        <w:t>Queens</w:t>
      </w:r>
      <w:r>
        <w:t>: +42.8%</w:t>
      </w:r>
    </w:p>
    <w:p w14:paraId="1A8B6220" w14:textId="77777777" w:rsidR="003D69C7" w:rsidRDefault="00000000">
      <w:pPr>
        <w:pStyle w:val="ListBullet"/>
        <w:spacing w:after="60"/>
        <w:ind w:left="567"/>
      </w:pPr>
      <w:r>
        <w:rPr>
          <w:b/>
        </w:rPr>
        <w:t>Bronx</w:t>
      </w:r>
      <w:r>
        <w:t>: +34.3% (slowest growing borough)</w:t>
      </w:r>
    </w:p>
    <w:p w14:paraId="70403100" w14:textId="77777777" w:rsidR="003D69C7" w:rsidRDefault="00000000">
      <w:r>
        <w:t>However, renter income growth consistently lags overall income growth across all boroughs, widening the income gap. Manhattan's income gap grew from approximately $14,000 in 2005 to $20,593 in 2023—a 47% increase—indicating that the benefits of income growth have been disproportionately captured by higher-income (predominantly non-renter) households.</w:t>
      </w:r>
    </w:p>
    <w:p w14:paraId="69A4C2DC" w14:textId="77777777" w:rsidR="003D69C7" w:rsidRDefault="00000000">
      <w:pPr>
        <w:pStyle w:val="Heading3"/>
      </w:pPr>
      <w:r>
        <w:t>6.3 Correlation Analysis</w:t>
      </w:r>
    </w:p>
    <w:p w14:paraId="70D4677B" w14:textId="77777777" w:rsidR="003D69C7" w:rsidRDefault="00000000">
      <w:r>
        <w:t>Pearson correlations with the affordability stress index reveal the following structure (Table 4):</w:t>
      </w:r>
    </w:p>
    <w:p w14:paraId="1F92D9AA" w14:textId="77777777" w:rsidR="003D69C7" w:rsidRDefault="00000000">
      <w:pPr>
        <w:jc w:val="center"/>
      </w:pPr>
      <w:r>
        <w:rPr>
          <w:b/>
        </w:rPr>
        <w:t>Table 4: Correlations with Affordability Stress Index</w:t>
      </w:r>
    </w:p>
    <w:tbl>
      <w:tblPr>
        <w:tblStyle w:val="TableGrid"/>
        <w:tblW w:w="0" w:type="auto"/>
        <w:jc w:val="center"/>
        <w:tblLook w:val="04A0" w:firstRow="1" w:lastRow="0" w:firstColumn="1" w:lastColumn="0" w:noHBand="0" w:noVBand="1"/>
      </w:tblPr>
      <w:tblGrid>
        <w:gridCol w:w="3969"/>
        <w:gridCol w:w="3969"/>
      </w:tblGrid>
      <w:tr w:rsidR="003D69C7" w14:paraId="5E78E46D" w14:textId="77777777">
        <w:trPr>
          <w:jc w:val="center"/>
        </w:trPr>
        <w:tc>
          <w:tcPr>
            <w:tcW w:w="3969" w:type="dxa"/>
            <w:shd w:val="clear" w:color="auto" w:fill="1A376C"/>
          </w:tcPr>
          <w:p w14:paraId="5FB50B86" w14:textId="77777777" w:rsidR="003D69C7" w:rsidRDefault="00000000">
            <w:pPr>
              <w:jc w:val="center"/>
            </w:pPr>
            <w:r>
              <w:rPr>
                <w:b/>
                <w:color w:val="FFFFFF"/>
                <w:sz w:val="20"/>
              </w:rPr>
              <w:t>Feature</w:t>
            </w:r>
          </w:p>
        </w:tc>
        <w:tc>
          <w:tcPr>
            <w:tcW w:w="3969" w:type="dxa"/>
            <w:shd w:val="clear" w:color="auto" w:fill="1A376C"/>
          </w:tcPr>
          <w:p w14:paraId="3F87F96F" w14:textId="77777777" w:rsidR="003D69C7" w:rsidRDefault="00000000">
            <w:pPr>
              <w:jc w:val="center"/>
            </w:pPr>
            <w:r>
              <w:rPr>
                <w:b/>
                <w:color w:val="FFFFFF"/>
                <w:sz w:val="20"/>
              </w:rPr>
              <w:t>Correlation</w:t>
            </w:r>
          </w:p>
        </w:tc>
      </w:tr>
      <w:tr w:rsidR="003D69C7" w14:paraId="37E37EF3" w14:textId="77777777">
        <w:trPr>
          <w:jc w:val="center"/>
        </w:trPr>
        <w:tc>
          <w:tcPr>
            <w:tcW w:w="3969" w:type="dxa"/>
          </w:tcPr>
          <w:p w14:paraId="5EDFFFEA" w14:textId="77777777" w:rsidR="003D69C7" w:rsidRDefault="00000000">
            <w:r>
              <w:rPr>
                <w:sz w:val="20"/>
              </w:rPr>
              <w:t>cost_pressure_index</w:t>
            </w:r>
          </w:p>
        </w:tc>
        <w:tc>
          <w:tcPr>
            <w:tcW w:w="3969" w:type="dxa"/>
          </w:tcPr>
          <w:p w14:paraId="52699770" w14:textId="77777777" w:rsidR="003D69C7" w:rsidRDefault="00000000">
            <w:r>
              <w:rPr>
                <w:sz w:val="20"/>
              </w:rPr>
              <w:t>+0.999</w:t>
            </w:r>
          </w:p>
        </w:tc>
      </w:tr>
      <w:tr w:rsidR="003D69C7" w14:paraId="309F1B17" w14:textId="77777777">
        <w:trPr>
          <w:jc w:val="center"/>
        </w:trPr>
        <w:tc>
          <w:tcPr>
            <w:tcW w:w="3969" w:type="dxa"/>
            <w:shd w:val="clear" w:color="auto" w:fill="E8EDF6"/>
          </w:tcPr>
          <w:p w14:paraId="2D8A1342" w14:textId="77777777" w:rsidR="003D69C7" w:rsidRDefault="00000000">
            <w:r>
              <w:rPr>
                <w:sz w:val="20"/>
              </w:rPr>
              <w:t>severe_crowding_rate</w:t>
            </w:r>
          </w:p>
        </w:tc>
        <w:tc>
          <w:tcPr>
            <w:tcW w:w="3969" w:type="dxa"/>
            <w:shd w:val="clear" w:color="auto" w:fill="E8EDF6"/>
          </w:tcPr>
          <w:p w14:paraId="2511A2CB" w14:textId="77777777" w:rsidR="003D69C7" w:rsidRDefault="00000000">
            <w:r>
              <w:rPr>
                <w:sz w:val="20"/>
              </w:rPr>
              <w:t>+0.689</w:t>
            </w:r>
          </w:p>
        </w:tc>
      </w:tr>
      <w:tr w:rsidR="003D69C7" w14:paraId="64B53D5D" w14:textId="77777777">
        <w:trPr>
          <w:jc w:val="center"/>
        </w:trPr>
        <w:tc>
          <w:tcPr>
            <w:tcW w:w="3969" w:type="dxa"/>
          </w:tcPr>
          <w:p w14:paraId="62DF16EC" w14:textId="77777777" w:rsidR="003D69C7" w:rsidRDefault="00000000">
            <w:r>
              <w:rPr>
                <w:sz w:val="20"/>
              </w:rPr>
              <w:t>fha_va_loan_pct</w:t>
            </w:r>
          </w:p>
        </w:tc>
        <w:tc>
          <w:tcPr>
            <w:tcW w:w="3969" w:type="dxa"/>
          </w:tcPr>
          <w:p w14:paraId="237F4636" w14:textId="77777777" w:rsidR="003D69C7" w:rsidRDefault="00000000">
            <w:r>
              <w:rPr>
                <w:sz w:val="20"/>
              </w:rPr>
              <w:t>+0.558</w:t>
            </w:r>
          </w:p>
        </w:tc>
      </w:tr>
      <w:tr w:rsidR="003D69C7" w14:paraId="4D17F4A0" w14:textId="77777777">
        <w:trPr>
          <w:jc w:val="center"/>
        </w:trPr>
        <w:tc>
          <w:tcPr>
            <w:tcW w:w="3969" w:type="dxa"/>
            <w:shd w:val="clear" w:color="auto" w:fill="E8EDF6"/>
          </w:tcPr>
          <w:p w14:paraId="17FFF806" w14:textId="77777777" w:rsidR="003D69C7" w:rsidRDefault="00000000">
            <w:r>
              <w:rPr>
                <w:sz w:val="20"/>
              </w:rPr>
              <w:t>government_support_index</w:t>
            </w:r>
          </w:p>
        </w:tc>
        <w:tc>
          <w:tcPr>
            <w:tcW w:w="3969" w:type="dxa"/>
            <w:shd w:val="clear" w:color="auto" w:fill="E8EDF6"/>
          </w:tcPr>
          <w:p w14:paraId="51DAAC7C" w14:textId="77777777" w:rsidR="003D69C7" w:rsidRDefault="00000000">
            <w:r>
              <w:rPr>
                <w:sz w:val="20"/>
              </w:rPr>
              <w:t>+0.550</w:t>
            </w:r>
          </w:p>
        </w:tc>
      </w:tr>
      <w:tr w:rsidR="003D69C7" w14:paraId="70FFE464" w14:textId="77777777">
        <w:trPr>
          <w:jc w:val="center"/>
        </w:trPr>
        <w:tc>
          <w:tcPr>
            <w:tcW w:w="3969" w:type="dxa"/>
          </w:tcPr>
          <w:p w14:paraId="2B108753" w14:textId="77777777" w:rsidR="003D69C7" w:rsidRDefault="00000000">
            <w:r>
              <w:rPr>
                <w:sz w:val="20"/>
              </w:rPr>
              <w:t>market_tightness</w:t>
            </w:r>
          </w:p>
        </w:tc>
        <w:tc>
          <w:tcPr>
            <w:tcW w:w="3969" w:type="dxa"/>
          </w:tcPr>
          <w:p w14:paraId="342455E4" w14:textId="77777777" w:rsidR="003D69C7" w:rsidRDefault="00000000">
            <w:r>
              <w:rPr>
                <w:sz w:val="20"/>
              </w:rPr>
              <w:t>+0.536</w:t>
            </w:r>
          </w:p>
        </w:tc>
      </w:tr>
      <w:tr w:rsidR="003D69C7" w14:paraId="0E7CDC5E" w14:textId="77777777">
        <w:trPr>
          <w:jc w:val="center"/>
        </w:trPr>
        <w:tc>
          <w:tcPr>
            <w:tcW w:w="3969" w:type="dxa"/>
            <w:shd w:val="clear" w:color="auto" w:fill="E8EDF6"/>
          </w:tcPr>
          <w:p w14:paraId="23E9C4FE" w14:textId="77777777" w:rsidR="003D69C7" w:rsidRDefault="00000000">
            <w:r>
              <w:rPr>
                <w:sz w:val="20"/>
              </w:rPr>
              <w:t>housing_voucher_pct</w:t>
            </w:r>
          </w:p>
        </w:tc>
        <w:tc>
          <w:tcPr>
            <w:tcW w:w="3969" w:type="dxa"/>
            <w:shd w:val="clear" w:color="auto" w:fill="E8EDF6"/>
          </w:tcPr>
          <w:p w14:paraId="5A371711" w14:textId="77777777" w:rsidR="003D69C7" w:rsidRDefault="00000000">
            <w:r>
              <w:rPr>
                <w:sz w:val="20"/>
              </w:rPr>
              <w:t>+0.415</w:t>
            </w:r>
          </w:p>
        </w:tc>
      </w:tr>
      <w:tr w:rsidR="003D69C7" w14:paraId="0F827AB1" w14:textId="77777777">
        <w:trPr>
          <w:jc w:val="center"/>
        </w:trPr>
        <w:tc>
          <w:tcPr>
            <w:tcW w:w="3969" w:type="dxa"/>
          </w:tcPr>
          <w:p w14:paraId="671EB8EB" w14:textId="77777777" w:rsidR="003D69C7" w:rsidRDefault="00000000">
            <w:r>
              <w:rPr>
                <w:sz w:val="20"/>
              </w:rPr>
              <w:t>economic_vulnerability_idx</w:t>
            </w:r>
          </w:p>
        </w:tc>
        <w:tc>
          <w:tcPr>
            <w:tcW w:w="3969" w:type="dxa"/>
          </w:tcPr>
          <w:p w14:paraId="20A9071C" w14:textId="77777777" w:rsidR="003D69C7" w:rsidRDefault="00000000">
            <w:r>
              <w:rPr>
                <w:sz w:val="20"/>
              </w:rPr>
              <w:t>+0.190</w:t>
            </w:r>
          </w:p>
        </w:tc>
      </w:tr>
      <w:tr w:rsidR="003D69C7" w14:paraId="667F1A03" w14:textId="77777777">
        <w:trPr>
          <w:jc w:val="center"/>
        </w:trPr>
        <w:tc>
          <w:tcPr>
            <w:tcW w:w="3969" w:type="dxa"/>
            <w:shd w:val="clear" w:color="auto" w:fill="E8EDF6"/>
          </w:tcPr>
          <w:p w14:paraId="1BA990A6" w14:textId="77777777" w:rsidR="003D69C7" w:rsidRDefault="00000000">
            <w:r>
              <w:rPr>
                <w:sz w:val="20"/>
              </w:rPr>
              <w:t>unemployment_rate</w:t>
            </w:r>
          </w:p>
        </w:tc>
        <w:tc>
          <w:tcPr>
            <w:tcW w:w="3969" w:type="dxa"/>
            <w:shd w:val="clear" w:color="auto" w:fill="E8EDF6"/>
          </w:tcPr>
          <w:p w14:paraId="531EFA8F" w14:textId="77777777" w:rsidR="003D69C7" w:rsidRDefault="00000000">
            <w:r>
              <w:rPr>
                <w:sz w:val="20"/>
              </w:rPr>
              <w:t>+0.114</w:t>
            </w:r>
          </w:p>
        </w:tc>
      </w:tr>
      <w:tr w:rsidR="003D69C7" w14:paraId="66317D27" w14:textId="77777777">
        <w:trPr>
          <w:jc w:val="center"/>
        </w:trPr>
        <w:tc>
          <w:tcPr>
            <w:tcW w:w="3969" w:type="dxa"/>
          </w:tcPr>
          <w:p w14:paraId="3515CBAB" w14:textId="77777777" w:rsidR="003D69C7" w:rsidRDefault="00000000">
            <w:r>
              <w:rPr>
                <w:sz w:val="20"/>
              </w:rPr>
              <w:t>homeownership_rate</w:t>
            </w:r>
          </w:p>
        </w:tc>
        <w:tc>
          <w:tcPr>
            <w:tcW w:w="3969" w:type="dxa"/>
          </w:tcPr>
          <w:p w14:paraId="20332C26" w14:textId="77777777" w:rsidR="003D69C7" w:rsidRDefault="00000000">
            <w:r>
              <w:rPr>
                <w:sz w:val="20"/>
              </w:rPr>
              <w:t>+0.104</w:t>
            </w:r>
          </w:p>
        </w:tc>
      </w:tr>
      <w:tr w:rsidR="003D69C7" w14:paraId="4260ED70" w14:textId="77777777">
        <w:trPr>
          <w:jc w:val="center"/>
        </w:trPr>
        <w:tc>
          <w:tcPr>
            <w:tcW w:w="3969" w:type="dxa"/>
            <w:shd w:val="clear" w:color="auto" w:fill="E8EDF6"/>
          </w:tcPr>
          <w:p w14:paraId="139B28B9" w14:textId="77777777" w:rsidR="003D69C7" w:rsidRDefault="00000000">
            <w:r>
              <w:rPr>
                <w:sz w:val="20"/>
              </w:rPr>
              <w:t>median_household_income</w:t>
            </w:r>
          </w:p>
        </w:tc>
        <w:tc>
          <w:tcPr>
            <w:tcW w:w="3969" w:type="dxa"/>
            <w:shd w:val="clear" w:color="auto" w:fill="E8EDF6"/>
          </w:tcPr>
          <w:p w14:paraId="4275F5BB" w14:textId="77777777" w:rsidR="003D69C7" w:rsidRDefault="00000000">
            <w:r>
              <w:rPr>
                <w:sz w:val="20"/>
              </w:rPr>
              <w:t>−0.567</w:t>
            </w:r>
          </w:p>
        </w:tc>
      </w:tr>
      <w:tr w:rsidR="003D69C7" w14:paraId="0A3F41BD" w14:textId="77777777">
        <w:trPr>
          <w:jc w:val="center"/>
        </w:trPr>
        <w:tc>
          <w:tcPr>
            <w:tcW w:w="3969" w:type="dxa"/>
          </w:tcPr>
          <w:p w14:paraId="1B81A7BF" w14:textId="77777777" w:rsidR="003D69C7" w:rsidRDefault="00000000">
            <w:r>
              <w:rPr>
                <w:sz w:val="20"/>
              </w:rPr>
              <w:t>renter_median_income</w:t>
            </w:r>
          </w:p>
        </w:tc>
        <w:tc>
          <w:tcPr>
            <w:tcW w:w="3969" w:type="dxa"/>
          </w:tcPr>
          <w:p w14:paraId="580D1DDB" w14:textId="77777777" w:rsidR="003D69C7" w:rsidRDefault="00000000">
            <w:r>
              <w:rPr>
                <w:sz w:val="20"/>
              </w:rPr>
              <w:t>−0.570</w:t>
            </w:r>
          </w:p>
        </w:tc>
      </w:tr>
      <w:tr w:rsidR="003D69C7" w14:paraId="2D7AB5B0" w14:textId="77777777">
        <w:trPr>
          <w:jc w:val="center"/>
        </w:trPr>
        <w:tc>
          <w:tcPr>
            <w:tcW w:w="3969" w:type="dxa"/>
            <w:shd w:val="clear" w:color="auto" w:fill="E8EDF6"/>
          </w:tcPr>
          <w:p w14:paraId="37C9A7B5" w14:textId="77777777" w:rsidR="003D69C7" w:rsidRDefault="00000000">
            <w:r>
              <w:rPr>
                <w:sz w:val="20"/>
              </w:rPr>
              <w:t>rental_vacancy_rate</w:t>
            </w:r>
          </w:p>
        </w:tc>
        <w:tc>
          <w:tcPr>
            <w:tcW w:w="3969" w:type="dxa"/>
            <w:shd w:val="clear" w:color="auto" w:fill="E8EDF6"/>
          </w:tcPr>
          <w:p w14:paraId="4E339F7F" w14:textId="77777777" w:rsidR="003D69C7" w:rsidRDefault="00000000">
            <w:r>
              <w:rPr>
                <w:sz w:val="20"/>
              </w:rPr>
              <w:t>−0.566</w:t>
            </w:r>
          </w:p>
        </w:tc>
      </w:tr>
      <w:tr w:rsidR="003D69C7" w14:paraId="1BFDA1B4" w14:textId="77777777">
        <w:trPr>
          <w:jc w:val="center"/>
        </w:trPr>
        <w:tc>
          <w:tcPr>
            <w:tcW w:w="3969" w:type="dxa"/>
          </w:tcPr>
          <w:p w14:paraId="5798DFA7" w14:textId="77777777" w:rsidR="003D69C7" w:rsidRDefault="00000000">
            <w:r>
              <w:rPr>
                <w:sz w:val="20"/>
              </w:rPr>
              <w:lastRenderedPageBreak/>
              <w:t>income_gap</w:t>
            </w:r>
          </w:p>
        </w:tc>
        <w:tc>
          <w:tcPr>
            <w:tcW w:w="3969" w:type="dxa"/>
          </w:tcPr>
          <w:p w14:paraId="1EC8E4C8" w14:textId="77777777" w:rsidR="003D69C7" w:rsidRDefault="00000000">
            <w:r>
              <w:rPr>
                <w:sz w:val="20"/>
              </w:rPr>
              <w:t>−0.494</w:t>
            </w:r>
          </w:p>
        </w:tc>
      </w:tr>
      <w:tr w:rsidR="003D69C7" w14:paraId="67CDA72D" w14:textId="77777777">
        <w:trPr>
          <w:jc w:val="center"/>
        </w:trPr>
        <w:tc>
          <w:tcPr>
            <w:tcW w:w="3969" w:type="dxa"/>
            <w:shd w:val="clear" w:color="auto" w:fill="E8EDF6"/>
          </w:tcPr>
          <w:p w14:paraId="6C313015" w14:textId="77777777" w:rsidR="003D69C7" w:rsidRDefault="00000000">
            <w:r>
              <w:rPr>
                <w:sz w:val="20"/>
              </w:rPr>
              <w:t>crime_rate_per1000</w:t>
            </w:r>
          </w:p>
        </w:tc>
        <w:tc>
          <w:tcPr>
            <w:tcW w:w="3969" w:type="dxa"/>
            <w:shd w:val="clear" w:color="auto" w:fill="E8EDF6"/>
          </w:tcPr>
          <w:p w14:paraId="360E9096" w14:textId="77777777" w:rsidR="003D69C7" w:rsidRDefault="00000000">
            <w:r>
              <w:rPr>
                <w:sz w:val="20"/>
              </w:rPr>
              <w:t>−0.373</w:t>
            </w:r>
          </w:p>
        </w:tc>
      </w:tr>
    </w:tbl>
    <w:p w14:paraId="57935DA3" w14:textId="77777777" w:rsidR="003D69C7" w:rsidRDefault="003D69C7"/>
    <w:p w14:paraId="4B7C0C75" w14:textId="77777777" w:rsidR="003D69C7" w:rsidRDefault="00000000">
      <w:r>
        <w:t>The cost pressure index (r = +0.999) is almost perfectly correlated with the affordability stress index by construction, confirming that the index faithfully captures high-cost loan market dynamics. Severe crowding (r = +0.689) is the strongest non-definitional predictor, linking physical housing inadequacy to financial stress. Notably, rental vacancy rate (r = −0.567) and both income measures (r ≈ −0.567) show strong negative correlations: higher vacancy implies a looser market with less renter pressure, while higher incomes mechanically reduce the stress index denominator. The positive correlation of housing voucher coverage (r = +0.415) likely reflects the fact that government subsidies are targeted to the most stressed boroughs—a selection effect, not a causal increase in stress.</w:t>
      </w:r>
    </w:p>
    <w:p w14:paraId="70F6C0F6" w14:textId="77777777" w:rsidR="003D69C7" w:rsidRDefault="00000000">
      <w:pPr>
        <w:pStyle w:val="Heading3"/>
      </w:pPr>
      <w:r>
        <w:t>6.4 Model Performance</w:t>
      </w:r>
    </w:p>
    <w:p w14:paraId="4555A31D" w14:textId="77777777" w:rsidR="003D69C7" w:rsidRDefault="00000000">
      <w:pPr>
        <w:jc w:val="center"/>
      </w:pPr>
      <w:r>
        <w:rPr>
          <w:b/>
        </w:rPr>
        <w:t>Table 5: Model Performance on Test Set (Years 2020–2023)</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tblGrid>
      <w:tr w:rsidR="003D69C7" w14:paraId="07A2DEAB" w14:textId="77777777">
        <w:trPr>
          <w:jc w:val="center"/>
        </w:trPr>
        <w:tc>
          <w:tcPr>
            <w:tcW w:w="1134" w:type="dxa"/>
            <w:shd w:val="clear" w:color="auto" w:fill="1A376C"/>
          </w:tcPr>
          <w:p w14:paraId="015F7238" w14:textId="77777777" w:rsidR="003D69C7" w:rsidRDefault="00000000">
            <w:pPr>
              <w:jc w:val="center"/>
            </w:pPr>
            <w:r>
              <w:rPr>
                <w:b/>
                <w:color w:val="FFFFFF"/>
                <w:sz w:val="20"/>
              </w:rPr>
              <w:t>Model</w:t>
            </w:r>
          </w:p>
        </w:tc>
        <w:tc>
          <w:tcPr>
            <w:tcW w:w="1134" w:type="dxa"/>
            <w:shd w:val="clear" w:color="auto" w:fill="1A376C"/>
          </w:tcPr>
          <w:p w14:paraId="45AD8A49" w14:textId="77777777" w:rsidR="003D69C7" w:rsidRDefault="00000000">
            <w:pPr>
              <w:jc w:val="center"/>
            </w:pPr>
            <w:r>
              <w:rPr>
                <w:b/>
                <w:color w:val="FFFFFF"/>
                <w:sz w:val="20"/>
              </w:rPr>
              <w:t>Train RMSE</w:t>
            </w:r>
          </w:p>
        </w:tc>
        <w:tc>
          <w:tcPr>
            <w:tcW w:w="1134" w:type="dxa"/>
            <w:shd w:val="clear" w:color="auto" w:fill="1A376C"/>
          </w:tcPr>
          <w:p w14:paraId="2D9EF85A" w14:textId="77777777" w:rsidR="003D69C7" w:rsidRDefault="00000000">
            <w:pPr>
              <w:jc w:val="center"/>
            </w:pPr>
            <w:r>
              <w:rPr>
                <w:b/>
                <w:color w:val="FFFFFF"/>
                <w:sz w:val="20"/>
              </w:rPr>
              <w:t>Test RMSE</w:t>
            </w:r>
          </w:p>
        </w:tc>
        <w:tc>
          <w:tcPr>
            <w:tcW w:w="1134" w:type="dxa"/>
            <w:shd w:val="clear" w:color="auto" w:fill="1A376C"/>
          </w:tcPr>
          <w:p w14:paraId="46AA4DDE" w14:textId="77777777" w:rsidR="003D69C7" w:rsidRDefault="00000000">
            <w:pPr>
              <w:jc w:val="center"/>
            </w:pPr>
            <w:r>
              <w:rPr>
                <w:b/>
                <w:color w:val="FFFFFF"/>
                <w:sz w:val="20"/>
              </w:rPr>
              <w:t>Train MAE</w:t>
            </w:r>
          </w:p>
        </w:tc>
        <w:tc>
          <w:tcPr>
            <w:tcW w:w="1134" w:type="dxa"/>
            <w:shd w:val="clear" w:color="auto" w:fill="1A376C"/>
          </w:tcPr>
          <w:p w14:paraId="0E7A07D5" w14:textId="77777777" w:rsidR="003D69C7" w:rsidRDefault="00000000">
            <w:pPr>
              <w:jc w:val="center"/>
            </w:pPr>
            <w:r>
              <w:rPr>
                <w:b/>
                <w:color w:val="FFFFFF"/>
                <w:sz w:val="20"/>
              </w:rPr>
              <w:t>Test MAE</w:t>
            </w:r>
          </w:p>
        </w:tc>
        <w:tc>
          <w:tcPr>
            <w:tcW w:w="1134" w:type="dxa"/>
            <w:shd w:val="clear" w:color="auto" w:fill="1A376C"/>
          </w:tcPr>
          <w:p w14:paraId="7A8B231C" w14:textId="77777777" w:rsidR="003D69C7" w:rsidRDefault="00000000">
            <w:pPr>
              <w:jc w:val="center"/>
            </w:pPr>
            <w:r>
              <w:rPr>
                <w:b/>
                <w:color w:val="FFFFFF"/>
                <w:sz w:val="20"/>
              </w:rPr>
              <w:t>Train R²</w:t>
            </w:r>
          </w:p>
        </w:tc>
        <w:tc>
          <w:tcPr>
            <w:tcW w:w="1134" w:type="dxa"/>
            <w:shd w:val="clear" w:color="auto" w:fill="1A376C"/>
          </w:tcPr>
          <w:p w14:paraId="46CED3DF" w14:textId="77777777" w:rsidR="003D69C7" w:rsidRDefault="00000000">
            <w:pPr>
              <w:jc w:val="center"/>
            </w:pPr>
            <w:r>
              <w:rPr>
                <w:b/>
                <w:color w:val="FFFFFF"/>
                <w:sz w:val="20"/>
              </w:rPr>
              <w:t>Test R²</w:t>
            </w:r>
          </w:p>
        </w:tc>
      </w:tr>
      <w:tr w:rsidR="003D69C7" w14:paraId="576FEC0D" w14:textId="77777777">
        <w:trPr>
          <w:jc w:val="center"/>
        </w:trPr>
        <w:tc>
          <w:tcPr>
            <w:tcW w:w="1134" w:type="dxa"/>
          </w:tcPr>
          <w:p w14:paraId="0E44F2A2" w14:textId="77777777" w:rsidR="003D69C7" w:rsidRDefault="00000000">
            <w:r>
              <w:rPr>
                <w:sz w:val="20"/>
              </w:rPr>
              <w:t>Random Forest</w:t>
            </w:r>
          </w:p>
        </w:tc>
        <w:tc>
          <w:tcPr>
            <w:tcW w:w="1134" w:type="dxa"/>
          </w:tcPr>
          <w:p w14:paraId="061CE049" w14:textId="77777777" w:rsidR="003D69C7" w:rsidRDefault="00000000">
            <w:r>
              <w:rPr>
                <w:sz w:val="20"/>
              </w:rPr>
              <w:t>0.0146</w:t>
            </w:r>
          </w:p>
        </w:tc>
        <w:tc>
          <w:tcPr>
            <w:tcW w:w="1134" w:type="dxa"/>
          </w:tcPr>
          <w:p w14:paraId="1CD5032C" w14:textId="77777777" w:rsidR="003D69C7" w:rsidRDefault="00000000">
            <w:r>
              <w:rPr>
                <w:sz w:val="20"/>
              </w:rPr>
              <w:t>0.0129</w:t>
            </w:r>
          </w:p>
        </w:tc>
        <w:tc>
          <w:tcPr>
            <w:tcW w:w="1134" w:type="dxa"/>
          </w:tcPr>
          <w:p w14:paraId="32E780BB" w14:textId="77777777" w:rsidR="003D69C7" w:rsidRDefault="00000000">
            <w:r>
              <w:rPr>
                <w:sz w:val="20"/>
              </w:rPr>
              <w:t>0.0086</w:t>
            </w:r>
          </w:p>
        </w:tc>
        <w:tc>
          <w:tcPr>
            <w:tcW w:w="1134" w:type="dxa"/>
          </w:tcPr>
          <w:p w14:paraId="7642664A" w14:textId="77777777" w:rsidR="003D69C7" w:rsidRDefault="00000000">
            <w:r>
              <w:rPr>
                <w:sz w:val="20"/>
              </w:rPr>
              <w:t>0.0122</w:t>
            </w:r>
          </w:p>
        </w:tc>
        <w:tc>
          <w:tcPr>
            <w:tcW w:w="1134" w:type="dxa"/>
          </w:tcPr>
          <w:p w14:paraId="6C5B1559" w14:textId="77777777" w:rsidR="003D69C7" w:rsidRDefault="00000000">
            <w:r>
              <w:rPr>
                <w:sz w:val="20"/>
              </w:rPr>
              <w:t>0.984</w:t>
            </w:r>
          </w:p>
        </w:tc>
        <w:tc>
          <w:tcPr>
            <w:tcW w:w="1134" w:type="dxa"/>
          </w:tcPr>
          <w:p w14:paraId="7D4EE9E5" w14:textId="77777777" w:rsidR="003D69C7" w:rsidRDefault="00000000">
            <w:r>
              <w:rPr>
                <w:sz w:val="20"/>
              </w:rPr>
              <w:t>0.516</w:t>
            </w:r>
          </w:p>
        </w:tc>
      </w:tr>
      <w:tr w:rsidR="003D69C7" w14:paraId="4FF106B4" w14:textId="77777777">
        <w:trPr>
          <w:jc w:val="center"/>
        </w:trPr>
        <w:tc>
          <w:tcPr>
            <w:tcW w:w="1134" w:type="dxa"/>
            <w:shd w:val="clear" w:color="auto" w:fill="E8EDF6"/>
          </w:tcPr>
          <w:p w14:paraId="7BBFA448" w14:textId="77777777" w:rsidR="003D69C7" w:rsidRDefault="00000000">
            <w:r>
              <w:rPr>
                <w:b/>
                <w:sz w:val="20"/>
              </w:rPr>
              <w:t>XGBoost</w:t>
            </w:r>
          </w:p>
        </w:tc>
        <w:tc>
          <w:tcPr>
            <w:tcW w:w="1134" w:type="dxa"/>
            <w:shd w:val="clear" w:color="auto" w:fill="E8EDF6"/>
          </w:tcPr>
          <w:p w14:paraId="020E5E23" w14:textId="77777777" w:rsidR="003D69C7" w:rsidRDefault="00000000">
            <w:r>
              <w:rPr>
                <w:b/>
                <w:sz w:val="20"/>
              </w:rPr>
              <w:t>0.0091</w:t>
            </w:r>
          </w:p>
        </w:tc>
        <w:tc>
          <w:tcPr>
            <w:tcW w:w="1134" w:type="dxa"/>
            <w:shd w:val="clear" w:color="auto" w:fill="E8EDF6"/>
          </w:tcPr>
          <w:p w14:paraId="7C3E217A" w14:textId="77777777" w:rsidR="003D69C7" w:rsidRDefault="00000000">
            <w:r>
              <w:rPr>
                <w:b/>
                <w:sz w:val="20"/>
              </w:rPr>
              <w:t>0.0067</w:t>
            </w:r>
          </w:p>
        </w:tc>
        <w:tc>
          <w:tcPr>
            <w:tcW w:w="1134" w:type="dxa"/>
            <w:shd w:val="clear" w:color="auto" w:fill="E8EDF6"/>
          </w:tcPr>
          <w:p w14:paraId="7697516F" w14:textId="77777777" w:rsidR="003D69C7" w:rsidRDefault="00000000">
            <w:r>
              <w:rPr>
                <w:b/>
                <w:sz w:val="20"/>
              </w:rPr>
              <w:t>0.0038</w:t>
            </w:r>
          </w:p>
        </w:tc>
        <w:tc>
          <w:tcPr>
            <w:tcW w:w="1134" w:type="dxa"/>
            <w:shd w:val="clear" w:color="auto" w:fill="E8EDF6"/>
          </w:tcPr>
          <w:p w14:paraId="261C19B8" w14:textId="77777777" w:rsidR="003D69C7" w:rsidRDefault="00000000">
            <w:r>
              <w:rPr>
                <w:b/>
                <w:sz w:val="20"/>
              </w:rPr>
              <w:t>0.0049</w:t>
            </w:r>
          </w:p>
        </w:tc>
        <w:tc>
          <w:tcPr>
            <w:tcW w:w="1134" w:type="dxa"/>
            <w:shd w:val="clear" w:color="auto" w:fill="E8EDF6"/>
          </w:tcPr>
          <w:p w14:paraId="1F136E34" w14:textId="77777777" w:rsidR="003D69C7" w:rsidRDefault="00000000">
            <w:r>
              <w:rPr>
                <w:b/>
                <w:sz w:val="20"/>
              </w:rPr>
              <w:t>0.994</w:t>
            </w:r>
          </w:p>
        </w:tc>
        <w:tc>
          <w:tcPr>
            <w:tcW w:w="1134" w:type="dxa"/>
            <w:shd w:val="clear" w:color="auto" w:fill="E8EDF6"/>
          </w:tcPr>
          <w:p w14:paraId="477789DF" w14:textId="77777777" w:rsidR="003D69C7" w:rsidRDefault="00000000">
            <w:r>
              <w:rPr>
                <w:b/>
                <w:sz w:val="20"/>
              </w:rPr>
              <w:t>0.868</w:t>
            </w:r>
          </w:p>
        </w:tc>
      </w:tr>
      <w:tr w:rsidR="003D69C7" w14:paraId="6F58524D" w14:textId="77777777">
        <w:trPr>
          <w:jc w:val="center"/>
        </w:trPr>
        <w:tc>
          <w:tcPr>
            <w:tcW w:w="1134" w:type="dxa"/>
          </w:tcPr>
          <w:p w14:paraId="6C9B074C" w14:textId="77777777" w:rsidR="003D69C7" w:rsidRDefault="00000000">
            <w:r>
              <w:rPr>
                <w:sz w:val="20"/>
              </w:rPr>
              <w:t>LSTM (3-Layer)</w:t>
            </w:r>
          </w:p>
        </w:tc>
        <w:tc>
          <w:tcPr>
            <w:tcW w:w="1134" w:type="dxa"/>
          </w:tcPr>
          <w:p w14:paraId="1273DBA2" w14:textId="77777777" w:rsidR="003D69C7" w:rsidRDefault="00000000">
            <w:r>
              <w:rPr>
                <w:sz w:val="20"/>
              </w:rPr>
              <w:t>—</w:t>
            </w:r>
          </w:p>
        </w:tc>
        <w:tc>
          <w:tcPr>
            <w:tcW w:w="1134" w:type="dxa"/>
          </w:tcPr>
          <w:p w14:paraId="01BD946C" w14:textId="77777777" w:rsidR="003D69C7" w:rsidRDefault="00000000">
            <w:r>
              <w:rPr>
                <w:sz w:val="20"/>
              </w:rPr>
              <w:t>0.0326</w:t>
            </w:r>
          </w:p>
        </w:tc>
        <w:tc>
          <w:tcPr>
            <w:tcW w:w="1134" w:type="dxa"/>
          </w:tcPr>
          <w:p w14:paraId="60F39A0C" w14:textId="77777777" w:rsidR="003D69C7" w:rsidRDefault="00000000">
            <w:r>
              <w:rPr>
                <w:sz w:val="20"/>
              </w:rPr>
              <w:t>—</w:t>
            </w:r>
          </w:p>
        </w:tc>
        <w:tc>
          <w:tcPr>
            <w:tcW w:w="1134" w:type="dxa"/>
          </w:tcPr>
          <w:p w14:paraId="7C699BA5" w14:textId="77777777" w:rsidR="003D69C7" w:rsidRDefault="00000000">
            <w:r>
              <w:rPr>
                <w:sz w:val="20"/>
              </w:rPr>
              <w:t>0.0298</w:t>
            </w:r>
          </w:p>
        </w:tc>
        <w:tc>
          <w:tcPr>
            <w:tcW w:w="1134" w:type="dxa"/>
          </w:tcPr>
          <w:p w14:paraId="7A84FF40" w14:textId="77777777" w:rsidR="003D69C7" w:rsidRDefault="00000000">
            <w:r>
              <w:rPr>
                <w:sz w:val="20"/>
              </w:rPr>
              <w:t>—</w:t>
            </w:r>
          </w:p>
        </w:tc>
        <w:tc>
          <w:tcPr>
            <w:tcW w:w="1134" w:type="dxa"/>
          </w:tcPr>
          <w:p w14:paraId="5B413342" w14:textId="77777777" w:rsidR="003D69C7" w:rsidRDefault="00000000">
            <w:r>
              <w:rPr>
                <w:sz w:val="20"/>
              </w:rPr>
              <w:t>−4.784</w:t>
            </w:r>
          </w:p>
        </w:tc>
      </w:tr>
    </w:tbl>
    <w:p w14:paraId="2A5A4052" w14:textId="77777777" w:rsidR="003D69C7" w:rsidRDefault="003D69C7"/>
    <w:p w14:paraId="6362564A" w14:textId="77777777" w:rsidR="003D69C7" w:rsidRDefault="00000000">
      <w:r>
        <w:rPr>
          <w:b/>
        </w:rPr>
        <w:t>XGBoost</w:t>
      </w:r>
      <w:r>
        <w:t xml:space="preserve"> is the clear best-performing model, achieving Test R² = 0.868 and RMSE = 0.0067. The gap between training R² (0.994) and test R² (0.868) indicates mild overfitting—expected given the panel size—but the test performance is substantially above baseline.</w:t>
      </w:r>
    </w:p>
    <w:p w14:paraId="4E95402E" w14:textId="77777777" w:rsidR="003D69C7" w:rsidRDefault="00000000">
      <w:r>
        <w:rPr>
          <w:b/>
        </w:rPr>
        <w:t>Random Forest</w:t>
      </w:r>
      <w:r>
        <w:t xml:space="preserve"> achieves Test R² = 0.516, a reasonable result given the data constraints but significantly below XGBoost. The larger test RMSE (0.0129 vs. 0.0067) suggests that random forests—which average predictions across many trees—struggle to capture the sharp nonlinear interactions that XGBoost handles through sequential residual fitting.</w:t>
      </w:r>
    </w:p>
    <w:p w14:paraId="4ECC02BF" w14:textId="77777777" w:rsidR="003D69C7" w:rsidRDefault="00000000">
      <w:r>
        <w:rPr>
          <w:b/>
        </w:rPr>
        <w:t>LSTM</w:t>
      </w:r>
      <w:r>
        <w:t xml:space="preserve"> performs poorly on the test set (R² = −4.784), indicating predictions that are worse than the trivial mean predictor. This negative R² is attributable to three compounding factors: </w:t>
      </w:r>
      <w:r>
        <w:lastRenderedPageBreak/>
        <w:t>(1) severe data limitations—only 35 training sequences from 4 boroughs—(2) the 2020 COVID-19 outlier generating extreme out-of-distribution target values, and (3) the mismatch between LSTM's sequential within-borough architecture and the rich cross-borough heterogeneity that XGBoost exploits via tabular features. This finding corroborates prior literature suggesting that LSTM models require substantially larger temporal datasets (n ≥ 200 sequences) to outperform tree-based methods in econometric panel settings.</w:t>
      </w:r>
    </w:p>
    <w:p w14:paraId="1A87AC76" w14:textId="77777777" w:rsidR="003D69C7" w:rsidRDefault="00000000">
      <w:pPr>
        <w:pStyle w:val="Heading2"/>
      </w:pPr>
      <w:r>
        <w:t>7. Explainability Analysis (SHAP)</w:t>
      </w:r>
    </w:p>
    <w:p w14:paraId="61EFE7B5" w14:textId="77777777" w:rsidR="003D69C7" w:rsidRDefault="00000000">
      <w:pPr>
        <w:pStyle w:val="Heading3"/>
      </w:pPr>
      <w:r>
        <w:t>7.1 Global Feature Importance</w:t>
      </w:r>
    </w:p>
    <w:p w14:paraId="4B98F779" w14:textId="77777777" w:rsidR="003D69C7" w:rsidRDefault="00000000">
      <w:r>
        <w:t>Table 6 presents mean absolute SHAP values for the top 10 features from the XGBoost model evaluated on the test set.</w:t>
      </w:r>
    </w:p>
    <w:p w14:paraId="465ACC4D" w14:textId="77777777" w:rsidR="003D69C7" w:rsidRDefault="00000000">
      <w:pPr>
        <w:jc w:val="center"/>
      </w:pPr>
      <w:r>
        <w:rPr>
          <w:b/>
        </w:rPr>
        <w:t>Table 6: Top 10 Features by Mean Absolute SHAP Value</w:t>
      </w:r>
    </w:p>
    <w:tbl>
      <w:tblPr>
        <w:tblStyle w:val="TableGrid"/>
        <w:tblW w:w="0" w:type="auto"/>
        <w:jc w:val="center"/>
        <w:tblLook w:val="04A0" w:firstRow="1" w:lastRow="0" w:firstColumn="1" w:lastColumn="0" w:noHBand="0" w:noVBand="1"/>
      </w:tblPr>
      <w:tblGrid>
        <w:gridCol w:w="1587"/>
        <w:gridCol w:w="2594"/>
        <w:gridCol w:w="1587"/>
        <w:gridCol w:w="1587"/>
        <w:gridCol w:w="1587"/>
      </w:tblGrid>
      <w:tr w:rsidR="003D69C7" w14:paraId="437419F6" w14:textId="77777777">
        <w:trPr>
          <w:jc w:val="center"/>
        </w:trPr>
        <w:tc>
          <w:tcPr>
            <w:tcW w:w="1587" w:type="dxa"/>
            <w:shd w:val="clear" w:color="auto" w:fill="1A376C"/>
          </w:tcPr>
          <w:p w14:paraId="245C7CAB" w14:textId="77777777" w:rsidR="003D69C7" w:rsidRDefault="00000000">
            <w:pPr>
              <w:jc w:val="center"/>
            </w:pPr>
            <w:r>
              <w:rPr>
                <w:b/>
                <w:color w:val="FFFFFF"/>
                <w:sz w:val="20"/>
              </w:rPr>
              <w:t>Rank</w:t>
            </w:r>
          </w:p>
        </w:tc>
        <w:tc>
          <w:tcPr>
            <w:tcW w:w="1587" w:type="dxa"/>
            <w:shd w:val="clear" w:color="auto" w:fill="1A376C"/>
          </w:tcPr>
          <w:p w14:paraId="0B2765AB" w14:textId="77777777" w:rsidR="003D69C7" w:rsidRDefault="00000000">
            <w:pPr>
              <w:jc w:val="center"/>
            </w:pPr>
            <w:r>
              <w:rPr>
                <w:b/>
                <w:color w:val="FFFFFF"/>
                <w:sz w:val="20"/>
              </w:rPr>
              <w:t>Feature</w:t>
            </w:r>
          </w:p>
        </w:tc>
        <w:tc>
          <w:tcPr>
            <w:tcW w:w="1587" w:type="dxa"/>
            <w:shd w:val="clear" w:color="auto" w:fill="1A376C"/>
          </w:tcPr>
          <w:p w14:paraId="017417C8" w14:textId="77777777" w:rsidR="003D69C7" w:rsidRDefault="00000000">
            <w:pPr>
              <w:jc w:val="center"/>
            </w:pPr>
            <w:r>
              <w:rPr>
                <w:b/>
                <w:color w:val="FFFFFF"/>
                <w:sz w:val="20"/>
              </w:rPr>
              <w:t>Mean</w:t>
            </w:r>
          </w:p>
        </w:tc>
        <w:tc>
          <w:tcPr>
            <w:tcW w:w="1587" w:type="dxa"/>
            <w:shd w:val="clear" w:color="auto" w:fill="1A376C"/>
          </w:tcPr>
          <w:p w14:paraId="5DC11225" w14:textId="77777777" w:rsidR="003D69C7" w:rsidRDefault="00000000">
            <w:pPr>
              <w:jc w:val="center"/>
            </w:pPr>
            <w:r>
              <w:rPr>
                <w:b/>
                <w:color w:val="FFFFFF"/>
                <w:sz w:val="20"/>
              </w:rPr>
              <w:t>SHAP</w:t>
            </w:r>
          </w:p>
        </w:tc>
        <w:tc>
          <w:tcPr>
            <w:tcW w:w="1587" w:type="dxa"/>
            <w:shd w:val="clear" w:color="auto" w:fill="1A376C"/>
          </w:tcPr>
          <w:p w14:paraId="52E20203" w14:textId="77777777" w:rsidR="003D69C7" w:rsidRDefault="003D69C7">
            <w:pPr>
              <w:jc w:val="center"/>
            </w:pPr>
          </w:p>
        </w:tc>
      </w:tr>
      <w:tr w:rsidR="003D69C7" w14:paraId="68089C97" w14:textId="77777777">
        <w:trPr>
          <w:jc w:val="center"/>
        </w:trPr>
        <w:tc>
          <w:tcPr>
            <w:tcW w:w="1587" w:type="dxa"/>
          </w:tcPr>
          <w:p w14:paraId="5814C948" w14:textId="77777777" w:rsidR="003D69C7" w:rsidRDefault="00000000">
            <w:r>
              <w:rPr>
                <w:sz w:val="20"/>
              </w:rPr>
              <w:t>1</w:t>
            </w:r>
          </w:p>
        </w:tc>
        <w:tc>
          <w:tcPr>
            <w:tcW w:w="1587" w:type="dxa"/>
          </w:tcPr>
          <w:p w14:paraId="307AC3F9" w14:textId="77777777" w:rsidR="003D69C7" w:rsidRDefault="00000000">
            <w:r>
              <w:rPr>
                <w:sz w:val="20"/>
              </w:rPr>
              <w:t>high_cost_refi_loan_pct</w:t>
            </w:r>
          </w:p>
        </w:tc>
        <w:tc>
          <w:tcPr>
            <w:tcW w:w="1587" w:type="dxa"/>
          </w:tcPr>
          <w:p w14:paraId="70BCE1C0" w14:textId="77777777" w:rsidR="003D69C7" w:rsidRDefault="00000000">
            <w:r>
              <w:rPr>
                <w:sz w:val="20"/>
              </w:rPr>
              <w:t>0.02118</w:t>
            </w:r>
          </w:p>
        </w:tc>
        <w:tc>
          <w:tcPr>
            <w:tcW w:w="1587" w:type="dxa"/>
          </w:tcPr>
          <w:p w14:paraId="192D68BB" w14:textId="77777777" w:rsidR="003D69C7" w:rsidRDefault="003D69C7"/>
        </w:tc>
        <w:tc>
          <w:tcPr>
            <w:tcW w:w="1587" w:type="dxa"/>
          </w:tcPr>
          <w:p w14:paraId="7E1789A6" w14:textId="77777777" w:rsidR="003D69C7" w:rsidRDefault="003D69C7"/>
        </w:tc>
      </w:tr>
      <w:tr w:rsidR="003D69C7" w14:paraId="39097F90" w14:textId="77777777">
        <w:trPr>
          <w:jc w:val="center"/>
        </w:trPr>
        <w:tc>
          <w:tcPr>
            <w:tcW w:w="1587" w:type="dxa"/>
            <w:shd w:val="clear" w:color="auto" w:fill="E8EDF6"/>
          </w:tcPr>
          <w:p w14:paraId="2D6C2D4A" w14:textId="77777777" w:rsidR="003D69C7" w:rsidRDefault="00000000">
            <w:r>
              <w:rPr>
                <w:sz w:val="20"/>
              </w:rPr>
              <w:t>2</w:t>
            </w:r>
          </w:p>
        </w:tc>
        <w:tc>
          <w:tcPr>
            <w:tcW w:w="1587" w:type="dxa"/>
            <w:shd w:val="clear" w:color="auto" w:fill="E8EDF6"/>
          </w:tcPr>
          <w:p w14:paraId="2A1240F5" w14:textId="77777777" w:rsidR="003D69C7" w:rsidRDefault="00000000">
            <w:r>
              <w:rPr>
                <w:sz w:val="20"/>
              </w:rPr>
              <w:t>high_cost_purchase_loan_pct</w:t>
            </w:r>
          </w:p>
        </w:tc>
        <w:tc>
          <w:tcPr>
            <w:tcW w:w="1587" w:type="dxa"/>
            <w:shd w:val="clear" w:color="auto" w:fill="E8EDF6"/>
          </w:tcPr>
          <w:p w14:paraId="1952BF03" w14:textId="77777777" w:rsidR="003D69C7" w:rsidRDefault="00000000">
            <w:r>
              <w:rPr>
                <w:sz w:val="20"/>
              </w:rPr>
              <w:t>0.01707</w:t>
            </w:r>
          </w:p>
        </w:tc>
        <w:tc>
          <w:tcPr>
            <w:tcW w:w="1587" w:type="dxa"/>
          </w:tcPr>
          <w:p w14:paraId="16769EEC" w14:textId="77777777" w:rsidR="003D69C7" w:rsidRDefault="003D69C7"/>
        </w:tc>
        <w:tc>
          <w:tcPr>
            <w:tcW w:w="1587" w:type="dxa"/>
          </w:tcPr>
          <w:p w14:paraId="5FBB8C7D" w14:textId="77777777" w:rsidR="003D69C7" w:rsidRDefault="003D69C7"/>
        </w:tc>
      </w:tr>
      <w:tr w:rsidR="003D69C7" w14:paraId="147E7500" w14:textId="77777777">
        <w:trPr>
          <w:jc w:val="center"/>
        </w:trPr>
        <w:tc>
          <w:tcPr>
            <w:tcW w:w="1587" w:type="dxa"/>
          </w:tcPr>
          <w:p w14:paraId="3C6F7D39" w14:textId="77777777" w:rsidR="003D69C7" w:rsidRDefault="00000000">
            <w:r>
              <w:rPr>
                <w:sz w:val="20"/>
              </w:rPr>
              <w:t>3</w:t>
            </w:r>
          </w:p>
        </w:tc>
        <w:tc>
          <w:tcPr>
            <w:tcW w:w="1587" w:type="dxa"/>
          </w:tcPr>
          <w:p w14:paraId="1C23B93E" w14:textId="77777777" w:rsidR="003D69C7" w:rsidRDefault="00000000">
            <w:r>
              <w:rPr>
                <w:sz w:val="20"/>
              </w:rPr>
              <w:t>cost_pressure_index</w:t>
            </w:r>
          </w:p>
        </w:tc>
        <w:tc>
          <w:tcPr>
            <w:tcW w:w="1587" w:type="dxa"/>
          </w:tcPr>
          <w:p w14:paraId="21864895" w14:textId="77777777" w:rsidR="003D69C7" w:rsidRDefault="00000000">
            <w:r>
              <w:rPr>
                <w:sz w:val="20"/>
              </w:rPr>
              <w:t>0.01352</w:t>
            </w:r>
          </w:p>
        </w:tc>
        <w:tc>
          <w:tcPr>
            <w:tcW w:w="1587" w:type="dxa"/>
          </w:tcPr>
          <w:p w14:paraId="379B336D" w14:textId="77777777" w:rsidR="003D69C7" w:rsidRDefault="003D69C7"/>
        </w:tc>
        <w:tc>
          <w:tcPr>
            <w:tcW w:w="1587" w:type="dxa"/>
          </w:tcPr>
          <w:p w14:paraId="5810B862" w14:textId="77777777" w:rsidR="003D69C7" w:rsidRDefault="003D69C7"/>
        </w:tc>
      </w:tr>
      <w:tr w:rsidR="003D69C7" w14:paraId="033344AC" w14:textId="77777777">
        <w:trPr>
          <w:jc w:val="center"/>
        </w:trPr>
        <w:tc>
          <w:tcPr>
            <w:tcW w:w="1587" w:type="dxa"/>
            <w:shd w:val="clear" w:color="auto" w:fill="E8EDF6"/>
          </w:tcPr>
          <w:p w14:paraId="525B3BF8" w14:textId="77777777" w:rsidR="003D69C7" w:rsidRDefault="00000000">
            <w:r>
              <w:rPr>
                <w:sz w:val="20"/>
              </w:rPr>
              <w:t>4</w:t>
            </w:r>
          </w:p>
        </w:tc>
        <w:tc>
          <w:tcPr>
            <w:tcW w:w="1587" w:type="dxa"/>
            <w:shd w:val="clear" w:color="auto" w:fill="E8EDF6"/>
          </w:tcPr>
          <w:p w14:paraId="11187110" w14:textId="77777777" w:rsidR="003D69C7" w:rsidRDefault="00000000">
            <w:r>
              <w:rPr>
                <w:sz w:val="20"/>
              </w:rPr>
              <w:t>unemployment_rate</w:t>
            </w:r>
          </w:p>
        </w:tc>
        <w:tc>
          <w:tcPr>
            <w:tcW w:w="1587" w:type="dxa"/>
            <w:shd w:val="clear" w:color="auto" w:fill="E8EDF6"/>
          </w:tcPr>
          <w:p w14:paraId="71B62FBA" w14:textId="77777777" w:rsidR="003D69C7" w:rsidRDefault="00000000">
            <w:r>
              <w:rPr>
                <w:sz w:val="20"/>
              </w:rPr>
              <w:t>0.00125</w:t>
            </w:r>
          </w:p>
        </w:tc>
        <w:tc>
          <w:tcPr>
            <w:tcW w:w="1587" w:type="dxa"/>
          </w:tcPr>
          <w:p w14:paraId="7551E642" w14:textId="77777777" w:rsidR="003D69C7" w:rsidRDefault="003D69C7"/>
        </w:tc>
        <w:tc>
          <w:tcPr>
            <w:tcW w:w="1587" w:type="dxa"/>
          </w:tcPr>
          <w:p w14:paraId="61FB5D32" w14:textId="77777777" w:rsidR="003D69C7" w:rsidRDefault="003D69C7"/>
        </w:tc>
      </w:tr>
      <w:tr w:rsidR="003D69C7" w14:paraId="4740891D" w14:textId="77777777">
        <w:trPr>
          <w:jc w:val="center"/>
        </w:trPr>
        <w:tc>
          <w:tcPr>
            <w:tcW w:w="1587" w:type="dxa"/>
          </w:tcPr>
          <w:p w14:paraId="60DE3779" w14:textId="77777777" w:rsidR="003D69C7" w:rsidRDefault="00000000">
            <w:r>
              <w:rPr>
                <w:sz w:val="20"/>
              </w:rPr>
              <w:t>5</w:t>
            </w:r>
          </w:p>
        </w:tc>
        <w:tc>
          <w:tcPr>
            <w:tcW w:w="1587" w:type="dxa"/>
          </w:tcPr>
          <w:p w14:paraId="4803179E" w14:textId="77777777" w:rsidR="003D69C7" w:rsidRDefault="00000000">
            <w:r>
              <w:rPr>
                <w:sz w:val="20"/>
              </w:rPr>
              <w:t>median_household_income</w:t>
            </w:r>
          </w:p>
        </w:tc>
        <w:tc>
          <w:tcPr>
            <w:tcW w:w="1587" w:type="dxa"/>
          </w:tcPr>
          <w:p w14:paraId="39ADE024" w14:textId="77777777" w:rsidR="003D69C7" w:rsidRDefault="00000000">
            <w:r>
              <w:rPr>
                <w:sz w:val="20"/>
              </w:rPr>
              <w:t>0.00099</w:t>
            </w:r>
          </w:p>
        </w:tc>
        <w:tc>
          <w:tcPr>
            <w:tcW w:w="1587" w:type="dxa"/>
          </w:tcPr>
          <w:p w14:paraId="5E7C9374" w14:textId="77777777" w:rsidR="003D69C7" w:rsidRDefault="003D69C7"/>
        </w:tc>
        <w:tc>
          <w:tcPr>
            <w:tcW w:w="1587" w:type="dxa"/>
          </w:tcPr>
          <w:p w14:paraId="6C31A2D4" w14:textId="77777777" w:rsidR="003D69C7" w:rsidRDefault="003D69C7"/>
        </w:tc>
      </w:tr>
      <w:tr w:rsidR="003D69C7" w14:paraId="25AEA73A" w14:textId="77777777">
        <w:trPr>
          <w:jc w:val="center"/>
        </w:trPr>
        <w:tc>
          <w:tcPr>
            <w:tcW w:w="1587" w:type="dxa"/>
            <w:shd w:val="clear" w:color="auto" w:fill="E8EDF6"/>
          </w:tcPr>
          <w:p w14:paraId="11D8FF2B" w14:textId="77777777" w:rsidR="003D69C7" w:rsidRDefault="00000000">
            <w:r>
              <w:rPr>
                <w:sz w:val="20"/>
              </w:rPr>
              <w:t>6</w:t>
            </w:r>
          </w:p>
        </w:tc>
        <w:tc>
          <w:tcPr>
            <w:tcW w:w="1587" w:type="dxa"/>
            <w:shd w:val="clear" w:color="auto" w:fill="E8EDF6"/>
          </w:tcPr>
          <w:p w14:paraId="4CC1E219" w14:textId="77777777" w:rsidR="003D69C7" w:rsidRDefault="00000000">
            <w:r>
              <w:rPr>
                <w:sz w:val="20"/>
              </w:rPr>
              <w:t>severe_crowding_rate</w:t>
            </w:r>
          </w:p>
        </w:tc>
        <w:tc>
          <w:tcPr>
            <w:tcW w:w="1587" w:type="dxa"/>
            <w:shd w:val="clear" w:color="auto" w:fill="E8EDF6"/>
          </w:tcPr>
          <w:p w14:paraId="450BABE1" w14:textId="77777777" w:rsidR="003D69C7" w:rsidRDefault="00000000">
            <w:r>
              <w:rPr>
                <w:sz w:val="20"/>
              </w:rPr>
              <w:t>0.00080</w:t>
            </w:r>
          </w:p>
        </w:tc>
        <w:tc>
          <w:tcPr>
            <w:tcW w:w="1587" w:type="dxa"/>
          </w:tcPr>
          <w:p w14:paraId="6BCDA58F" w14:textId="77777777" w:rsidR="003D69C7" w:rsidRDefault="003D69C7"/>
        </w:tc>
        <w:tc>
          <w:tcPr>
            <w:tcW w:w="1587" w:type="dxa"/>
          </w:tcPr>
          <w:p w14:paraId="4B556273" w14:textId="77777777" w:rsidR="003D69C7" w:rsidRDefault="003D69C7"/>
        </w:tc>
      </w:tr>
      <w:tr w:rsidR="003D69C7" w14:paraId="14947D61" w14:textId="77777777">
        <w:trPr>
          <w:jc w:val="center"/>
        </w:trPr>
        <w:tc>
          <w:tcPr>
            <w:tcW w:w="1587" w:type="dxa"/>
          </w:tcPr>
          <w:p w14:paraId="3852208E" w14:textId="77777777" w:rsidR="003D69C7" w:rsidRDefault="00000000">
            <w:r>
              <w:rPr>
                <w:sz w:val="20"/>
              </w:rPr>
              <w:t>7</w:t>
            </w:r>
          </w:p>
        </w:tc>
        <w:tc>
          <w:tcPr>
            <w:tcW w:w="1587" w:type="dxa"/>
          </w:tcPr>
          <w:p w14:paraId="41B7C22D" w14:textId="77777777" w:rsidR="003D69C7" w:rsidRDefault="00000000">
            <w:r>
              <w:rPr>
                <w:sz w:val="20"/>
              </w:rPr>
              <w:t>Year</w:t>
            </w:r>
          </w:p>
        </w:tc>
        <w:tc>
          <w:tcPr>
            <w:tcW w:w="1587" w:type="dxa"/>
          </w:tcPr>
          <w:p w14:paraId="41A102FA" w14:textId="77777777" w:rsidR="003D69C7" w:rsidRDefault="00000000">
            <w:r>
              <w:rPr>
                <w:sz w:val="20"/>
              </w:rPr>
              <w:t>0.00055</w:t>
            </w:r>
          </w:p>
        </w:tc>
        <w:tc>
          <w:tcPr>
            <w:tcW w:w="1587" w:type="dxa"/>
          </w:tcPr>
          <w:p w14:paraId="58FC075C" w14:textId="77777777" w:rsidR="003D69C7" w:rsidRDefault="003D69C7"/>
        </w:tc>
        <w:tc>
          <w:tcPr>
            <w:tcW w:w="1587" w:type="dxa"/>
          </w:tcPr>
          <w:p w14:paraId="57B34CC1" w14:textId="77777777" w:rsidR="003D69C7" w:rsidRDefault="003D69C7"/>
        </w:tc>
      </w:tr>
      <w:tr w:rsidR="003D69C7" w14:paraId="0955919C" w14:textId="77777777">
        <w:trPr>
          <w:jc w:val="center"/>
        </w:trPr>
        <w:tc>
          <w:tcPr>
            <w:tcW w:w="1587" w:type="dxa"/>
            <w:shd w:val="clear" w:color="auto" w:fill="E8EDF6"/>
          </w:tcPr>
          <w:p w14:paraId="1F9AAFFB" w14:textId="77777777" w:rsidR="003D69C7" w:rsidRDefault="00000000">
            <w:r>
              <w:rPr>
                <w:sz w:val="20"/>
              </w:rPr>
              <w:t>8</w:t>
            </w:r>
          </w:p>
        </w:tc>
        <w:tc>
          <w:tcPr>
            <w:tcW w:w="1587" w:type="dxa"/>
            <w:shd w:val="clear" w:color="auto" w:fill="E8EDF6"/>
          </w:tcPr>
          <w:p w14:paraId="0C5DFD70" w14:textId="77777777" w:rsidR="003D69C7" w:rsidRDefault="00000000">
            <w:r>
              <w:rPr>
                <w:sz w:val="20"/>
              </w:rPr>
              <w:t>renter_income_growth_yoy</w:t>
            </w:r>
          </w:p>
        </w:tc>
        <w:tc>
          <w:tcPr>
            <w:tcW w:w="1587" w:type="dxa"/>
            <w:shd w:val="clear" w:color="auto" w:fill="E8EDF6"/>
          </w:tcPr>
          <w:p w14:paraId="0CD06F95" w14:textId="77777777" w:rsidR="003D69C7" w:rsidRDefault="00000000">
            <w:r>
              <w:rPr>
                <w:sz w:val="20"/>
              </w:rPr>
              <w:t>0.00045</w:t>
            </w:r>
          </w:p>
        </w:tc>
        <w:tc>
          <w:tcPr>
            <w:tcW w:w="1587" w:type="dxa"/>
          </w:tcPr>
          <w:p w14:paraId="33555BF4" w14:textId="77777777" w:rsidR="003D69C7" w:rsidRDefault="003D69C7"/>
        </w:tc>
        <w:tc>
          <w:tcPr>
            <w:tcW w:w="1587" w:type="dxa"/>
          </w:tcPr>
          <w:p w14:paraId="6CB57BA6" w14:textId="77777777" w:rsidR="003D69C7" w:rsidRDefault="003D69C7"/>
        </w:tc>
      </w:tr>
      <w:tr w:rsidR="003D69C7" w14:paraId="00B62F5D" w14:textId="77777777">
        <w:trPr>
          <w:jc w:val="center"/>
        </w:trPr>
        <w:tc>
          <w:tcPr>
            <w:tcW w:w="1587" w:type="dxa"/>
          </w:tcPr>
          <w:p w14:paraId="32BFBC5A" w14:textId="77777777" w:rsidR="003D69C7" w:rsidRDefault="00000000">
            <w:r>
              <w:rPr>
                <w:sz w:val="20"/>
              </w:rPr>
              <w:t>9</w:t>
            </w:r>
          </w:p>
        </w:tc>
        <w:tc>
          <w:tcPr>
            <w:tcW w:w="1587" w:type="dxa"/>
          </w:tcPr>
          <w:p w14:paraId="00A9A8C2" w14:textId="77777777" w:rsidR="003D69C7" w:rsidRDefault="00000000">
            <w:r>
              <w:rPr>
                <w:sz w:val="20"/>
              </w:rPr>
              <w:t>affordability_stress_lag1</w:t>
            </w:r>
          </w:p>
        </w:tc>
        <w:tc>
          <w:tcPr>
            <w:tcW w:w="1587" w:type="dxa"/>
          </w:tcPr>
          <w:p w14:paraId="07BBC8B6" w14:textId="77777777" w:rsidR="003D69C7" w:rsidRDefault="00000000">
            <w:r>
              <w:rPr>
                <w:sz w:val="20"/>
              </w:rPr>
              <w:t>0.00045</w:t>
            </w:r>
          </w:p>
        </w:tc>
        <w:tc>
          <w:tcPr>
            <w:tcW w:w="1587" w:type="dxa"/>
          </w:tcPr>
          <w:p w14:paraId="4A0FA45E" w14:textId="77777777" w:rsidR="003D69C7" w:rsidRDefault="003D69C7"/>
        </w:tc>
        <w:tc>
          <w:tcPr>
            <w:tcW w:w="1587" w:type="dxa"/>
          </w:tcPr>
          <w:p w14:paraId="55217C9B" w14:textId="77777777" w:rsidR="003D69C7" w:rsidRDefault="003D69C7"/>
        </w:tc>
      </w:tr>
      <w:tr w:rsidR="003D69C7" w14:paraId="45895A56" w14:textId="77777777">
        <w:trPr>
          <w:jc w:val="center"/>
        </w:trPr>
        <w:tc>
          <w:tcPr>
            <w:tcW w:w="1587" w:type="dxa"/>
            <w:shd w:val="clear" w:color="auto" w:fill="E8EDF6"/>
          </w:tcPr>
          <w:p w14:paraId="6843A939" w14:textId="77777777" w:rsidR="003D69C7" w:rsidRDefault="00000000">
            <w:r>
              <w:rPr>
                <w:sz w:val="20"/>
              </w:rPr>
              <w:t>10</w:t>
            </w:r>
          </w:p>
        </w:tc>
        <w:tc>
          <w:tcPr>
            <w:tcW w:w="1587" w:type="dxa"/>
            <w:shd w:val="clear" w:color="auto" w:fill="E8EDF6"/>
          </w:tcPr>
          <w:p w14:paraId="06BFD085" w14:textId="77777777" w:rsidR="003D69C7" w:rsidRDefault="00000000">
            <w:r>
              <w:rPr>
                <w:sz w:val="20"/>
              </w:rPr>
              <w:t>income_growth_yoy</w:t>
            </w:r>
          </w:p>
        </w:tc>
        <w:tc>
          <w:tcPr>
            <w:tcW w:w="1587" w:type="dxa"/>
            <w:shd w:val="clear" w:color="auto" w:fill="E8EDF6"/>
          </w:tcPr>
          <w:p w14:paraId="07AF30F9" w14:textId="77777777" w:rsidR="003D69C7" w:rsidRDefault="00000000">
            <w:r>
              <w:rPr>
                <w:sz w:val="20"/>
              </w:rPr>
              <w:t>0.00031</w:t>
            </w:r>
          </w:p>
        </w:tc>
        <w:tc>
          <w:tcPr>
            <w:tcW w:w="1587" w:type="dxa"/>
          </w:tcPr>
          <w:p w14:paraId="66F66BD7" w14:textId="77777777" w:rsidR="003D69C7" w:rsidRDefault="003D69C7"/>
        </w:tc>
        <w:tc>
          <w:tcPr>
            <w:tcW w:w="1587" w:type="dxa"/>
          </w:tcPr>
          <w:p w14:paraId="1693F777" w14:textId="77777777" w:rsidR="003D69C7" w:rsidRDefault="003D69C7"/>
        </w:tc>
      </w:tr>
    </w:tbl>
    <w:p w14:paraId="415B615F" w14:textId="77777777" w:rsidR="003D69C7" w:rsidRDefault="003D69C7"/>
    <w:p w14:paraId="69B341F7" w14:textId="77777777" w:rsidR="003D69C7" w:rsidRDefault="00000000">
      <w:pPr>
        <w:pStyle w:val="Heading3"/>
      </w:pPr>
      <w:r>
        <w:t>7.2 Interpretation</w:t>
      </w:r>
    </w:p>
    <w:p w14:paraId="1CF69360" w14:textId="77777777" w:rsidR="003D69C7" w:rsidRDefault="00000000">
      <w:r>
        <w:rPr>
          <w:b/>
        </w:rPr>
        <w:t>High-cost loan instruments dominate predictions.</w:t>
      </w:r>
      <w:r>
        <w:t xml:space="preserve"> The top three SHAP features are all components of, or directly related to, the housing cost pressure index. High-cost refinance loans (mean |SHAP| = 0.0212) surpass high-cost purchase loans (0.0171) in importance, suggesting that the refinancing market—historically most distorted by predatory lending </w:t>
      </w:r>
      <w:r>
        <w:lastRenderedPageBreak/>
        <w:t>practices—is the primary lever through which financial stress transmits into affordability outcomes. This finding is consistent with post-2008 research on subprime refinancing in NYC's low-income neighborhoods (Immergluck, 2009).</w:t>
      </w:r>
    </w:p>
    <w:p w14:paraId="3A8079E8" w14:textId="77777777" w:rsidR="003D69C7" w:rsidRDefault="00000000">
      <w:r>
        <w:rPr>
          <w:b/>
        </w:rPr>
        <w:t>Unemployment emerges as the leading new dataset contributor.</w:t>
      </w:r>
      <w:r>
        <w:t xml:space="preserve"> Among the six newly integrated datasets, unemployment rate ranks 4th overall (mean |SHAP| = 0.00125)—ahead of income and crowding measures—confirming that labor market conditions mediate housing affordability through both income and tenure insecurity channels. This finding underscores the importance of cross-sector policy coordination between housing and employment agencies.</w:t>
      </w:r>
    </w:p>
    <w:p w14:paraId="6DD17D50" w14:textId="77777777" w:rsidR="003D69C7" w:rsidRDefault="00000000">
      <w:r>
        <w:rPr>
          <w:b/>
        </w:rPr>
        <w:t>Severe crowding is the sixth most important predictor.</w:t>
      </w:r>
      <w:r>
        <w:t xml:space="preserve"> The inclusion of severe crowding rate (ACS 5-year rolling measure) contributes meaningful predictive power, capturing the physical dimension of housing stress that loan market indicators may miss. Crowding tends to be highest in boroughs with the lowest vacancy rates (Bronx, Queens), creating a compounding effect on household welfare.</w:t>
      </w:r>
    </w:p>
    <w:p w14:paraId="18C16392" w14:textId="77777777" w:rsidR="003D69C7" w:rsidRDefault="00000000">
      <w:r>
        <w:rPr>
          <w:b/>
        </w:rPr>
        <w:t>Temporal autocorrelation is moderate.</w:t>
      </w:r>
      <w:r>
        <w:t xml:space="preserve"> The lagged affordability stress feature (rank 9) contributes less than income and crowding measures, suggesting that the stress index is driven more by contemporaneous market conditions than by persistence alone—good news for policy interventions that can produce near-term improvements.</w:t>
      </w:r>
    </w:p>
    <w:p w14:paraId="4E15951B" w14:textId="77777777" w:rsidR="003D69C7" w:rsidRDefault="00000000">
      <w:pPr>
        <w:pStyle w:val="Heading3"/>
      </w:pPr>
      <w:r>
        <w:t>7.3 SHAP Dependence Analysis</w:t>
      </w:r>
    </w:p>
    <w:p w14:paraId="2D060813" w14:textId="77777777" w:rsidR="003D69C7" w:rsidRDefault="00000000">
      <w:r>
        <w:t>Dependence plots for the top three features reveal:</w:t>
      </w:r>
    </w:p>
    <w:p w14:paraId="5B707D85" w14:textId="77777777" w:rsidR="003D69C7" w:rsidRDefault="00000000">
      <w:pPr>
        <w:pStyle w:val="ListBullet"/>
        <w:spacing w:after="60"/>
        <w:ind w:left="567"/>
      </w:pPr>
      <w:r>
        <w:rPr>
          <w:b/>
        </w:rPr>
        <w:t>High-cost refinance loans</w:t>
      </w:r>
      <w:r>
        <w:t>: A nonlinear, convex relationship with SHAP contribution. Modest high-cost refi rates (&lt; 10%) contribute little to stress, but concentrations above 30% produce disproportionately large positive SHAP contributions—consistent with a threshold effect in predatory lending markets.</w:t>
      </w:r>
    </w:p>
    <w:p w14:paraId="058C2F23" w14:textId="77777777" w:rsidR="003D69C7" w:rsidRDefault="00000000">
      <w:pPr>
        <w:pStyle w:val="ListBullet"/>
        <w:spacing w:after="60"/>
        <w:ind w:left="567"/>
      </w:pPr>
      <w:r>
        <w:rPr>
          <w:b/>
        </w:rPr>
        <w:t>High-cost purchase loans</w:t>
      </w:r>
      <w:r>
        <w:t>: A more linear positive relationship. Each percentage-point increase in high-cost purchase loan share adds approximately 0.003 units to the affordability stress prediction.</w:t>
      </w:r>
    </w:p>
    <w:p w14:paraId="6DF900B1" w14:textId="77777777" w:rsidR="003D69C7" w:rsidRDefault="00000000">
      <w:pPr>
        <w:pStyle w:val="ListBullet"/>
        <w:spacing w:after="60"/>
        <w:ind w:left="567"/>
      </w:pPr>
      <w:r>
        <w:rPr>
          <w:b/>
        </w:rPr>
        <w:t>Cost pressure index</w:t>
      </w:r>
      <w:r>
        <w:t>: As the composite of both loan measures, its dependence plot shows the aggregated nonlinearity, with the steepest slope in the 0.15–0.30 range corresponding to post-2008 Bronx observations.</w:t>
      </w:r>
    </w:p>
    <w:p w14:paraId="033CFBE9" w14:textId="77777777" w:rsidR="003D69C7" w:rsidRDefault="00000000">
      <w:pPr>
        <w:pStyle w:val="Heading2"/>
      </w:pPr>
      <w:r>
        <w:lastRenderedPageBreak/>
        <w:t>8. Rental Market Health and Supply Analysis</w:t>
      </w:r>
    </w:p>
    <w:p w14:paraId="5598D164" w14:textId="77777777" w:rsidR="003D69C7" w:rsidRDefault="00000000">
      <w:pPr>
        <w:pStyle w:val="Heading3"/>
      </w:pPr>
      <w:r>
        <w:t>8.1 Rental Vacancy Dynamics</w:t>
      </w:r>
    </w:p>
    <w:p w14:paraId="62A5C890" w14:textId="77777777" w:rsidR="003D69C7" w:rsidRDefault="00000000">
      <w:r>
        <w:t>Rental vacancy rates across all four boroughs have trended downward over the study period, reflecting chronic undersupply relative to demand growth. The Bronx exhibits the tightest market (2.1% vacancy in 2023), well below the conventionally healthy 5% threshold. Manhattan's vacancy (5.5%) is the highest—paradoxically driven by COVID-era out-migration from dense urban cores—but has likely declined again in 2024–2025 as in-migration resumed.</w:t>
      </w:r>
    </w:p>
    <w:p w14:paraId="0D0C27FD" w14:textId="77777777" w:rsidR="003D69C7" w:rsidRDefault="00000000">
      <w:r>
        <w:t>The strong negative correlation between rental vacancy and affordability stress (r = −0.566) confirms the supply-demand mechanism: as vacancy falls, renters face fewer alternatives, pushing up effective rents relative to income.</w:t>
      </w:r>
    </w:p>
    <w:p w14:paraId="2666C910" w14:textId="77777777" w:rsidR="003D69C7" w:rsidRDefault="00000000">
      <w:pPr>
        <w:pStyle w:val="Heading3"/>
      </w:pPr>
      <w:r>
        <w:t>8.2 Housing Supply Pipeline</w:t>
      </w:r>
    </w:p>
    <w:p w14:paraId="503C2E79" w14:textId="77777777" w:rsidR="003D69C7" w:rsidRDefault="00000000">
      <w:r>
        <w:t>New residential permit authorizations have been highly volatile across all boroughs, reflecting the sensitivity of development activity to zoning changes, tax incentive programs (notably the 421-a Affordable New York program), and macroeconomic credit conditions. The supply pipeline rate (new units per 10,000 residents) shows a negative correlation with affordability stress (r = −0.362): boroughs with more active supply pipelines tend to show lower stress, particularly in the medium term.</w:t>
      </w:r>
    </w:p>
    <w:p w14:paraId="2FCFB29F" w14:textId="77777777" w:rsidR="003D69C7" w:rsidRDefault="00000000">
      <w:r>
        <w:t>However, the Bronx—which has the highest supply pipeline rate (35.8 units per 10,000 in 2023)—also shows the highest stress, suggesting that permit activity alone is insufficient if new units are concentrated in market-rate segments inaccessible to existing low-income renters.</w:t>
      </w:r>
    </w:p>
    <w:p w14:paraId="4E044F5C" w14:textId="77777777" w:rsidR="003D69C7" w:rsidRDefault="00000000">
      <w:pPr>
        <w:pStyle w:val="Heading3"/>
      </w:pPr>
      <w:r>
        <w:t>8.3 Severe Crowding</w:t>
      </w:r>
    </w:p>
    <w:p w14:paraId="16654ED9" w14:textId="77777777" w:rsidR="003D69C7" w:rsidRDefault="00000000">
      <w:r>
        <w:t>Severe crowding—defined as more than 1.5 persons per room for renter households—is highest in Queens (6.0%) and the Bronx (6.0%) in 2023. The crowding rate for Queens has increased over the study period, rising from approximately 4.2% (2005–2009 rolling average) to 6.0% (2019–2023), reflecting the borough's role as the primary destination for newly arrived immigrant households facing tight rental markets and limited voucher coverage.</w:t>
      </w:r>
    </w:p>
    <w:p w14:paraId="41D6CB4E" w14:textId="77777777" w:rsidR="003D69C7" w:rsidRDefault="00000000">
      <w:pPr>
        <w:pStyle w:val="Heading2"/>
      </w:pPr>
      <w:r>
        <w:lastRenderedPageBreak/>
        <w:t>9. Government Subsidy Analysis</w:t>
      </w:r>
    </w:p>
    <w:p w14:paraId="68423ED5" w14:textId="77777777" w:rsidR="003D69C7" w:rsidRDefault="00000000">
      <w:pPr>
        <w:pStyle w:val="Heading3"/>
      </w:pPr>
      <w:r>
        <w:t>9.1 Housing Choice Vouchers</w:t>
      </w:r>
    </w:p>
    <w:p w14:paraId="507166DE" w14:textId="77777777" w:rsidR="003D69C7" w:rsidRDefault="00000000">
      <w:r>
        <w:t>Housing choice voucher coverage—the share of privately owned rental units subsidized through Section 8 vouchers—is strikingly unequal across boroughs. The Bronx (13.5%) receives disproportionate voucher support relative to Brooklyn (6.3%), Queens (2.3%), and Manhattan (3.6%). Despite this, the Bronx remains the most stressed borough, indicating that current subsidy levels are insufficient to offset the income and labor market disadvantages facing Bronx renters.</w:t>
      </w:r>
    </w:p>
    <w:p w14:paraId="2984254C" w14:textId="77777777" w:rsidR="003D69C7" w:rsidRDefault="00000000">
      <w:r>
        <w:t>Voucher coverage has declined modestly in the Bronx over the 2009–2023 period (from approximately 15.4% to 13.5%), reflecting flat federal HUD allocation combined with population growth—effectively reducing per-household coverage.</w:t>
      </w:r>
    </w:p>
    <w:p w14:paraId="4D97957F" w14:textId="77777777" w:rsidR="003D69C7" w:rsidRDefault="00000000">
      <w:pPr>
        <w:pStyle w:val="Heading3"/>
      </w:pPr>
      <w:r>
        <w:t>9.2 FHA/VA Loan Programs</w:t>
      </w:r>
    </w:p>
    <w:p w14:paraId="4B4F0E84" w14:textId="77777777" w:rsidR="003D69C7" w:rsidRDefault="00000000">
      <w:r>
        <w:t>FHA/VA-backed purchase loan share serves as a proxy for first-time and lower-income homebuyer access to subsidized mortgage finance. The Bronx (21.8%) and Queens (10.5%) rely most heavily on these programs in 2023. The FHA/VA share surged dramatically in the Bronx following the 2008 financial crisis—reaching approximately 40–46% from 2010–2012 as conventional lending contracted—and has since declined as private markets recovered. This crisis-era surge reflects government mortgage programs acting as a countercyclical stabilizer for housing access in low-income communities.</w:t>
      </w:r>
    </w:p>
    <w:p w14:paraId="32ECAE94" w14:textId="77777777" w:rsidR="003D69C7" w:rsidRDefault="00000000">
      <w:pPr>
        <w:pStyle w:val="Heading3"/>
      </w:pPr>
      <w:r>
        <w:t>9.3 Government Support Index and Affordability</w:t>
      </w:r>
    </w:p>
    <w:p w14:paraId="3CF22853" w14:textId="77777777" w:rsidR="003D69C7" w:rsidRDefault="00000000">
      <w:r>
        <w:t>The government support index (FHA/VA + vouchers) shows a paradoxical positive correlation with affordability stress (r = +0.271) in the aggregate data. This reversal does not imply that subsidies worsen affordability; rather, it reflects the targeting of government support toward the most stressed boroughs and time periods—a selection effect that is absorbed by the XGBoost model through its conditioning on all other covariates.</w:t>
      </w:r>
    </w:p>
    <w:p w14:paraId="2F09E1A0" w14:textId="77777777" w:rsidR="003D69C7" w:rsidRDefault="00000000">
      <w:pPr>
        <w:pStyle w:val="Heading2"/>
      </w:pPr>
      <w:r>
        <w:t>10. Gentrification Risk Analysis</w:t>
      </w:r>
    </w:p>
    <w:p w14:paraId="29218E0B" w14:textId="77777777" w:rsidR="003D69C7" w:rsidRDefault="00000000">
      <w:pPr>
        <w:pStyle w:val="Heading3"/>
      </w:pPr>
      <w:r>
        <w:t>10.1 Nine-Indicator Model</w:t>
      </w:r>
    </w:p>
    <w:p w14:paraId="07530A73" w14:textId="77777777" w:rsidR="003D69C7" w:rsidRDefault="00000000">
      <w:r>
        <w:t>We construct a composite gentrification risk score using nine indicators normalized to [0,1] within the dataset:</w:t>
      </w:r>
    </w:p>
    <w:p w14:paraId="17C49813" w14:textId="77777777" w:rsidR="003D69C7" w:rsidRDefault="00000000">
      <w:r>
        <w:rPr>
          <w:b/>
        </w:rPr>
        <w:t>Positive risk indicators</w:t>
      </w:r>
      <w:r>
        <w:t xml:space="preserve"> (higher = more risk):</w:t>
      </w:r>
    </w:p>
    <w:p w14:paraId="6C0AD084" w14:textId="77777777" w:rsidR="003D69C7" w:rsidRDefault="00000000">
      <w:pPr>
        <w:pStyle w:val="ListNumber"/>
        <w:spacing w:after="60"/>
        <w:ind w:left="567"/>
      </w:pPr>
      <w:r>
        <w:lastRenderedPageBreak/>
        <w:t>Income divergence (overall income growth − renter income growth): 20% weight</w:t>
      </w:r>
    </w:p>
    <w:p w14:paraId="75EE39F5" w14:textId="77777777" w:rsidR="003D69C7" w:rsidRDefault="00000000">
      <w:pPr>
        <w:pStyle w:val="ListNumber"/>
        <w:spacing w:after="60"/>
        <w:ind w:left="567"/>
      </w:pPr>
      <w:r>
        <w:t>Market tightness (inverse of vacancy rate): 15% weight</w:t>
      </w:r>
    </w:p>
    <w:p w14:paraId="4F325C52" w14:textId="77777777" w:rsidR="003D69C7" w:rsidRDefault="00000000">
      <w:pPr>
        <w:pStyle w:val="ListNumber"/>
        <w:spacing w:after="60"/>
        <w:ind w:left="567"/>
      </w:pPr>
      <w:r>
        <w:t>Renter share: 10% weight</w:t>
      </w:r>
    </w:p>
    <w:p w14:paraId="5A0C9A6B" w14:textId="77777777" w:rsidR="003D69C7" w:rsidRDefault="00000000">
      <w:pPr>
        <w:pStyle w:val="ListNumber"/>
        <w:spacing w:after="60"/>
        <w:ind w:left="567"/>
      </w:pPr>
      <w:r>
        <w:t>Car-free commute rate (transit attractiveness): 10% weight</w:t>
      </w:r>
    </w:p>
    <w:p w14:paraId="308CD28A" w14:textId="77777777" w:rsidR="003D69C7" w:rsidRDefault="00000000">
      <w:pPr>
        <w:pStyle w:val="ListNumber"/>
        <w:spacing w:after="60"/>
        <w:ind w:left="567"/>
      </w:pPr>
      <w:r>
        <w:t>Supply pipeline rate (development pressure): 5% weight</w:t>
      </w:r>
    </w:p>
    <w:p w14:paraId="2575BF8B" w14:textId="77777777" w:rsidR="003D69C7" w:rsidRDefault="00000000">
      <w:r>
        <w:rPr>
          <w:b/>
        </w:rPr>
        <w:t>Inverted risk indicators</w:t>
      </w:r>
      <w:r>
        <w:t xml:space="preserve"> (lower = more risk):</w:t>
      </w:r>
    </w:p>
    <w:p w14:paraId="3141EEF2" w14:textId="77777777" w:rsidR="003D69C7" w:rsidRDefault="00000000">
      <w:pPr>
        <w:pStyle w:val="ListNumber"/>
        <w:spacing w:after="60"/>
        <w:ind w:left="567"/>
      </w:pPr>
      <w:r>
        <w:t>Crime rate: 15% weight</w:t>
      </w:r>
    </w:p>
    <w:p w14:paraId="49787D46" w14:textId="77777777" w:rsidR="003D69C7" w:rsidRDefault="00000000">
      <w:pPr>
        <w:pStyle w:val="ListNumber"/>
        <w:spacing w:after="60"/>
        <w:ind w:left="567"/>
      </w:pPr>
      <w:r>
        <w:t>Homeownership rate: 10% weight</w:t>
      </w:r>
    </w:p>
    <w:p w14:paraId="2E6ACB96" w14:textId="77777777" w:rsidR="003D69C7" w:rsidRDefault="00000000">
      <w:pPr>
        <w:pStyle w:val="ListNumber"/>
        <w:spacing w:after="60"/>
        <w:ind w:left="567"/>
      </w:pPr>
      <w:r>
        <w:t>Rental vacancy rate: 10% weight</w:t>
      </w:r>
    </w:p>
    <w:p w14:paraId="5210F536" w14:textId="77777777" w:rsidR="003D69C7" w:rsidRDefault="00000000">
      <w:pPr>
        <w:pStyle w:val="ListNumber"/>
        <w:spacing w:after="60"/>
        <w:ind w:left="567"/>
      </w:pPr>
      <w:r>
        <w:t>Housing voucher coverage: 5% weight</w:t>
      </w:r>
    </w:p>
    <w:p w14:paraId="6F9BE98A" w14:textId="77777777" w:rsidR="003D69C7" w:rsidRDefault="00000000">
      <w:r>
        <w:t>This weighting scheme reflects established empirical associations between each indicator and documented neighborhood displacement events in NYC (Been et al., 2016; Kasman et al., 2020).</w:t>
      </w:r>
    </w:p>
    <w:p w14:paraId="4B5B3391" w14:textId="77777777" w:rsidR="003D69C7" w:rsidRDefault="00000000">
      <w:pPr>
        <w:pStyle w:val="Heading3"/>
      </w:pPr>
      <w:r>
        <w:t>10.2 Gentrification Risk Rankings (2023)</w:t>
      </w:r>
    </w:p>
    <w:p w14:paraId="04D612D4" w14:textId="77777777" w:rsidR="003D69C7" w:rsidRDefault="00000000">
      <w:pPr>
        <w:jc w:val="center"/>
      </w:pPr>
      <w:r>
        <w:rPr>
          <w:b/>
        </w:rPr>
        <w:t>Table 7: Borough Gentrification Risk Scores — 2023</w:t>
      </w:r>
    </w:p>
    <w:tbl>
      <w:tblPr>
        <w:tblStyle w:val="TableGrid"/>
        <w:tblW w:w="0" w:type="auto"/>
        <w:jc w:val="center"/>
        <w:tblLook w:val="04A0" w:firstRow="1" w:lastRow="0" w:firstColumn="1" w:lastColumn="0" w:noHBand="0" w:noVBand="1"/>
      </w:tblPr>
      <w:tblGrid>
        <w:gridCol w:w="2646"/>
        <w:gridCol w:w="2646"/>
        <w:gridCol w:w="2646"/>
      </w:tblGrid>
      <w:tr w:rsidR="003D69C7" w14:paraId="49D14AA9" w14:textId="77777777">
        <w:trPr>
          <w:jc w:val="center"/>
        </w:trPr>
        <w:tc>
          <w:tcPr>
            <w:tcW w:w="2646" w:type="dxa"/>
            <w:shd w:val="clear" w:color="auto" w:fill="1A376C"/>
          </w:tcPr>
          <w:p w14:paraId="239CF7A1" w14:textId="77777777" w:rsidR="003D69C7" w:rsidRDefault="00000000">
            <w:pPr>
              <w:jc w:val="center"/>
            </w:pPr>
            <w:r>
              <w:rPr>
                <w:b/>
                <w:color w:val="FFFFFF"/>
                <w:sz w:val="20"/>
              </w:rPr>
              <w:t>Rank</w:t>
            </w:r>
          </w:p>
        </w:tc>
        <w:tc>
          <w:tcPr>
            <w:tcW w:w="2646" w:type="dxa"/>
            <w:shd w:val="clear" w:color="auto" w:fill="1A376C"/>
          </w:tcPr>
          <w:p w14:paraId="57D4A032" w14:textId="77777777" w:rsidR="003D69C7" w:rsidRDefault="00000000">
            <w:pPr>
              <w:jc w:val="center"/>
            </w:pPr>
            <w:r>
              <w:rPr>
                <w:b/>
                <w:color w:val="FFFFFF"/>
                <w:sz w:val="20"/>
              </w:rPr>
              <w:t>Borough</w:t>
            </w:r>
          </w:p>
        </w:tc>
        <w:tc>
          <w:tcPr>
            <w:tcW w:w="2646" w:type="dxa"/>
            <w:shd w:val="clear" w:color="auto" w:fill="1A376C"/>
          </w:tcPr>
          <w:p w14:paraId="13128DA9" w14:textId="77777777" w:rsidR="003D69C7" w:rsidRDefault="00000000">
            <w:pPr>
              <w:jc w:val="center"/>
            </w:pPr>
            <w:r>
              <w:rPr>
                <w:b/>
                <w:color w:val="FFFFFF"/>
                <w:sz w:val="20"/>
              </w:rPr>
              <w:t>Risk Score</w:t>
            </w:r>
          </w:p>
        </w:tc>
      </w:tr>
      <w:tr w:rsidR="003D69C7" w14:paraId="22B831C4" w14:textId="77777777">
        <w:trPr>
          <w:jc w:val="center"/>
        </w:trPr>
        <w:tc>
          <w:tcPr>
            <w:tcW w:w="2646" w:type="dxa"/>
          </w:tcPr>
          <w:p w14:paraId="7D2A0D0F" w14:textId="77777777" w:rsidR="003D69C7" w:rsidRDefault="00000000">
            <w:r>
              <w:rPr>
                <w:sz w:val="20"/>
              </w:rPr>
              <w:t>1</w:t>
            </w:r>
          </w:p>
        </w:tc>
        <w:tc>
          <w:tcPr>
            <w:tcW w:w="2646" w:type="dxa"/>
          </w:tcPr>
          <w:p w14:paraId="5143E638" w14:textId="77777777" w:rsidR="003D69C7" w:rsidRDefault="00000000">
            <w:r>
              <w:rPr>
                <w:b/>
                <w:sz w:val="20"/>
              </w:rPr>
              <w:t>Brooklyn</w:t>
            </w:r>
          </w:p>
        </w:tc>
        <w:tc>
          <w:tcPr>
            <w:tcW w:w="2646" w:type="dxa"/>
          </w:tcPr>
          <w:p w14:paraId="34E3D03B" w14:textId="77777777" w:rsidR="003D69C7" w:rsidRDefault="00000000">
            <w:r>
              <w:rPr>
                <w:b/>
                <w:sz w:val="20"/>
              </w:rPr>
              <w:t>0.552</w:t>
            </w:r>
          </w:p>
        </w:tc>
      </w:tr>
      <w:tr w:rsidR="003D69C7" w14:paraId="1AB69D77" w14:textId="77777777">
        <w:trPr>
          <w:jc w:val="center"/>
        </w:trPr>
        <w:tc>
          <w:tcPr>
            <w:tcW w:w="2646" w:type="dxa"/>
            <w:shd w:val="clear" w:color="auto" w:fill="E8EDF6"/>
          </w:tcPr>
          <w:p w14:paraId="0F59E6E0" w14:textId="77777777" w:rsidR="003D69C7" w:rsidRDefault="00000000">
            <w:r>
              <w:rPr>
                <w:sz w:val="20"/>
              </w:rPr>
              <w:t>2</w:t>
            </w:r>
          </w:p>
        </w:tc>
        <w:tc>
          <w:tcPr>
            <w:tcW w:w="2646" w:type="dxa"/>
            <w:shd w:val="clear" w:color="auto" w:fill="E8EDF6"/>
          </w:tcPr>
          <w:p w14:paraId="06FADB79" w14:textId="77777777" w:rsidR="003D69C7" w:rsidRDefault="00000000">
            <w:r>
              <w:rPr>
                <w:sz w:val="20"/>
              </w:rPr>
              <w:t>Bronx</w:t>
            </w:r>
          </w:p>
        </w:tc>
        <w:tc>
          <w:tcPr>
            <w:tcW w:w="2646" w:type="dxa"/>
            <w:shd w:val="clear" w:color="auto" w:fill="E8EDF6"/>
          </w:tcPr>
          <w:p w14:paraId="60C257FE" w14:textId="77777777" w:rsidR="003D69C7" w:rsidRDefault="00000000">
            <w:r>
              <w:rPr>
                <w:sz w:val="20"/>
              </w:rPr>
              <w:t>0.532</w:t>
            </w:r>
          </w:p>
        </w:tc>
      </w:tr>
      <w:tr w:rsidR="003D69C7" w14:paraId="33371160" w14:textId="77777777">
        <w:trPr>
          <w:jc w:val="center"/>
        </w:trPr>
        <w:tc>
          <w:tcPr>
            <w:tcW w:w="2646" w:type="dxa"/>
          </w:tcPr>
          <w:p w14:paraId="6AC3B12C" w14:textId="77777777" w:rsidR="003D69C7" w:rsidRDefault="00000000">
            <w:r>
              <w:rPr>
                <w:sz w:val="20"/>
              </w:rPr>
              <w:t>3</w:t>
            </w:r>
          </w:p>
        </w:tc>
        <w:tc>
          <w:tcPr>
            <w:tcW w:w="2646" w:type="dxa"/>
          </w:tcPr>
          <w:p w14:paraId="7070E81B" w14:textId="77777777" w:rsidR="003D69C7" w:rsidRDefault="00000000">
            <w:r>
              <w:rPr>
                <w:sz w:val="20"/>
              </w:rPr>
              <w:t>Queens</w:t>
            </w:r>
          </w:p>
        </w:tc>
        <w:tc>
          <w:tcPr>
            <w:tcW w:w="2646" w:type="dxa"/>
          </w:tcPr>
          <w:p w14:paraId="36854F11" w14:textId="77777777" w:rsidR="003D69C7" w:rsidRDefault="00000000">
            <w:r>
              <w:rPr>
                <w:sz w:val="20"/>
              </w:rPr>
              <w:t>0.430</w:t>
            </w:r>
          </w:p>
        </w:tc>
      </w:tr>
      <w:tr w:rsidR="003D69C7" w14:paraId="79CA8753" w14:textId="77777777">
        <w:trPr>
          <w:jc w:val="center"/>
        </w:trPr>
        <w:tc>
          <w:tcPr>
            <w:tcW w:w="2646" w:type="dxa"/>
            <w:shd w:val="clear" w:color="auto" w:fill="E8EDF6"/>
          </w:tcPr>
          <w:p w14:paraId="62A24D50" w14:textId="77777777" w:rsidR="003D69C7" w:rsidRDefault="00000000">
            <w:r>
              <w:rPr>
                <w:sz w:val="20"/>
              </w:rPr>
              <w:t>4</w:t>
            </w:r>
          </w:p>
        </w:tc>
        <w:tc>
          <w:tcPr>
            <w:tcW w:w="2646" w:type="dxa"/>
            <w:shd w:val="clear" w:color="auto" w:fill="E8EDF6"/>
          </w:tcPr>
          <w:p w14:paraId="077CF42C" w14:textId="77777777" w:rsidR="003D69C7" w:rsidRDefault="00000000">
            <w:r>
              <w:rPr>
                <w:sz w:val="20"/>
              </w:rPr>
              <w:t>Manhattan</w:t>
            </w:r>
          </w:p>
        </w:tc>
        <w:tc>
          <w:tcPr>
            <w:tcW w:w="2646" w:type="dxa"/>
            <w:shd w:val="clear" w:color="auto" w:fill="E8EDF6"/>
          </w:tcPr>
          <w:p w14:paraId="5FAFE3FF" w14:textId="77777777" w:rsidR="003D69C7" w:rsidRDefault="00000000">
            <w:r>
              <w:rPr>
                <w:sz w:val="20"/>
              </w:rPr>
              <w:t>0.405</w:t>
            </w:r>
          </w:p>
        </w:tc>
      </w:tr>
    </w:tbl>
    <w:p w14:paraId="69B66540" w14:textId="77777777" w:rsidR="003D69C7" w:rsidRDefault="003D69C7"/>
    <w:p w14:paraId="155729E2" w14:textId="77777777" w:rsidR="003D69C7" w:rsidRDefault="00000000">
      <w:r>
        <w:t>Brooklyn ranks first with a risk score of 0.552, driven by the steepest long-run income growth (+72.7%), rapidly rising income divergence, declining crime rates (making the borough increasingly attractive to higher-income households), and a tight rental market with limited voucher protection. This is consistent with well-documented gentrification in neighborhoods such as Williamsburg, Bushwick, Crown Heights, and Bed-Stuy.</w:t>
      </w:r>
    </w:p>
    <w:p w14:paraId="4BEE9094" w14:textId="77777777" w:rsidR="003D69C7" w:rsidRDefault="00000000">
      <w:r>
        <w:t>The Bronx ranks second (0.532), primarily due to extreme market tightness (2.1% vacancy), high renter share, and elevated crowding—conditions that create severe displacement risk even in the absence of rapid income upgrading. The relatively high supply pipeline rate moderates the Bronx's risk score, though the risk of displacement remains acute.</w:t>
      </w:r>
    </w:p>
    <w:p w14:paraId="1A2D5090" w14:textId="77777777" w:rsidR="003D69C7" w:rsidRDefault="00000000">
      <w:r>
        <w:lastRenderedPageBreak/>
        <w:t>Queens (0.430) shows elevated risk concentrated in western Queens neighborhoods, while Manhattan (0.405) scores lowest due to its extremely high vacancy rate (5.5%), lower renter share, and comparatively less severe crowding.</w:t>
      </w:r>
    </w:p>
    <w:p w14:paraId="42E5E2DA" w14:textId="77777777" w:rsidR="003D69C7" w:rsidRDefault="00000000">
      <w:pPr>
        <w:pStyle w:val="Heading2"/>
      </w:pPr>
      <w:r>
        <w:t>11. Affordability Forecasts (2024–2027)</w:t>
      </w:r>
    </w:p>
    <w:p w14:paraId="083C9692" w14:textId="77777777" w:rsidR="003D69C7" w:rsidRDefault="00000000">
      <w:pPr>
        <w:pStyle w:val="Heading3"/>
      </w:pPr>
      <w:r>
        <w:t>11.1 Forecast Methodology</w:t>
      </w:r>
    </w:p>
    <w:p w14:paraId="17691C8F" w14:textId="77777777" w:rsidR="003D69C7" w:rsidRDefault="00000000">
      <w:r>
        <w:t>The XGBoost model iteratively predicts affordability stress for 2024–2027. Socioeconomic features are extrapolated using 3-year linear trends fitted to the 2020–2023 data. Engineered features are recomputed from extrapolated raw values. Lagged stress from the previous year is incorporated recursively. The forecasts should be interpreted as conditional projections under current trend continuation, not as unconditional predictions.</w:t>
      </w:r>
    </w:p>
    <w:p w14:paraId="3679524C" w14:textId="77777777" w:rsidR="003D69C7" w:rsidRDefault="00000000">
      <w:pPr>
        <w:pStyle w:val="Heading3"/>
      </w:pPr>
      <w:r>
        <w:t>11.2 Forecast Results</w:t>
      </w:r>
    </w:p>
    <w:p w14:paraId="6756F7DC" w14:textId="77777777" w:rsidR="003D69C7" w:rsidRDefault="00000000">
      <w:pPr>
        <w:jc w:val="center"/>
      </w:pPr>
      <w:r>
        <w:rPr>
          <w:b/>
        </w:rPr>
        <w:t>Table 8: Affordability Stress Forecasts (2024–2027)</w:t>
      </w:r>
    </w:p>
    <w:tbl>
      <w:tblPr>
        <w:tblStyle w:val="TableGrid"/>
        <w:tblW w:w="0" w:type="auto"/>
        <w:jc w:val="center"/>
        <w:tblLook w:val="04A0" w:firstRow="1" w:lastRow="0" w:firstColumn="1" w:lastColumn="0" w:noHBand="0" w:noVBand="1"/>
      </w:tblPr>
      <w:tblGrid>
        <w:gridCol w:w="1323"/>
        <w:gridCol w:w="1323"/>
        <w:gridCol w:w="1323"/>
        <w:gridCol w:w="1323"/>
        <w:gridCol w:w="1323"/>
        <w:gridCol w:w="1323"/>
      </w:tblGrid>
      <w:tr w:rsidR="003D69C7" w14:paraId="5723C6D5" w14:textId="77777777">
        <w:trPr>
          <w:jc w:val="center"/>
        </w:trPr>
        <w:tc>
          <w:tcPr>
            <w:tcW w:w="1323" w:type="dxa"/>
            <w:shd w:val="clear" w:color="auto" w:fill="1A376C"/>
          </w:tcPr>
          <w:p w14:paraId="0E6FB35A" w14:textId="77777777" w:rsidR="003D69C7" w:rsidRDefault="00000000">
            <w:pPr>
              <w:jc w:val="center"/>
            </w:pPr>
            <w:r>
              <w:rPr>
                <w:b/>
                <w:color w:val="FFFFFF"/>
                <w:sz w:val="20"/>
              </w:rPr>
              <w:t>Borough</w:t>
            </w:r>
          </w:p>
        </w:tc>
        <w:tc>
          <w:tcPr>
            <w:tcW w:w="1323" w:type="dxa"/>
            <w:shd w:val="clear" w:color="auto" w:fill="1A376C"/>
          </w:tcPr>
          <w:p w14:paraId="6E4043E8" w14:textId="77777777" w:rsidR="003D69C7" w:rsidRDefault="00000000">
            <w:pPr>
              <w:jc w:val="center"/>
            </w:pPr>
            <w:r>
              <w:rPr>
                <w:b/>
                <w:color w:val="FFFFFF"/>
                <w:sz w:val="20"/>
              </w:rPr>
              <w:t>2023 (Actual)</w:t>
            </w:r>
          </w:p>
        </w:tc>
        <w:tc>
          <w:tcPr>
            <w:tcW w:w="1323" w:type="dxa"/>
            <w:shd w:val="clear" w:color="auto" w:fill="1A376C"/>
          </w:tcPr>
          <w:p w14:paraId="327A0EAC" w14:textId="77777777" w:rsidR="003D69C7" w:rsidRDefault="00000000">
            <w:pPr>
              <w:jc w:val="center"/>
            </w:pPr>
            <w:r>
              <w:rPr>
                <w:b/>
                <w:color w:val="FFFFFF"/>
                <w:sz w:val="20"/>
              </w:rPr>
              <w:t>2024</w:t>
            </w:r>
          </w:p>
        </w:tc>
        <w:tc>
          <w:tcPr>
            <w:tcW w:w="1323" w:type="dxa"/>
            <w:shd w:val="clear" w:color="auto" w:fill="1A376C"/>
          </w:tcPr>
          <w:p w14:paraId="0F91ABD6" w14:textId="77777777" w:rsidR="003D69C7" w:rsidRDefault="00000000">
            <w:pPr>
              <w:jc w:val="center"/>
            </w:pPr>
            <w:r>
              <w:rPr>
                <w:b/>
                <w:color w:val="FFFFFF"/>
                <w:sz w:val="20"/>
              </w:rPr>
              <w:t>2025</w:t>
            </w:r>
          </w:p>
        </w:tc>
        <w:tc>
          <w:tcPr>
            <w:tcW w:w="1323" w:type="dxa"/>
            <w:shd w:val="clear" w:color="auto" w:fill="1A376C"/>
          </w:tcPr>
          <w:p w14:paraId="6279F1EE" w14:textId="77777777" w:rsidR="003D69C7" w:rsidRDefault="00000000">
            <w:pPr>
              <w:jc w:val="center"/>
            </w:pPr>
            <w:r>
              <w:rPr>
                <w:b/>
                <w:color w:val="FFFFFF"/>
                <w:sz w:val="20"/>
              </w:rPr>
              <w:t>2026</w:t>
            </w:r>
          </w:p>
        </w:tc>
        <w:tc>
          <w:tcPr>
            <w:tcW w:w="1323" w:type="dxa"/>
            <w:shd w:val="clear" w:color="auto" w:fill="1A376C"/>
          </w:tcPr>
          <w:p w14:paraId="7B431258" w14:textId="77777777" w:rsidR="003D69C7" w:rsidRDefault="00000000">
            <w:pPr>
              <w:jc w:val="center"/>
            </w:pPr>
            <w:r>
              <w:rPr>
                <w:b/>
                <w:color w:val="FFFFFF"/>
                <w:sz w:val="20"/>
              </w:rPr>
              <w:t>2027</w:t>
            </w:r>
          </w:p>
        </w:tc>
      </w:tr>
      <w:tr w:rsidR="003D69C7" w14:paraId="35AB3CA8" w14:textId="77777777">
        <w:trPr>
          <w:jc w:val="center"/>
        </w:trPr>
        <w:tc>
          <w:tcPr>
            <w:tcW w:w="1323" w:type="dxa"/>
          </w:tcPr>
          <w:p w14:paraId="128FC5CE" w14:textId="77777777" w:rsidR="003D69C7" w:rsidRDefault="00000000">
            <w:r>
              <w:rPr>
                <w:sz w:val="20"/>
              </w:rPr>
              <w:t>Bronx</w:t>
            </w:r>
          </w:p>
        </w:tc>
        <w:tc>
          <w:tcPr>
            <w:tcW w:w="1323" w:type="dxa"/>
          </w:tcPr>
          <w:p w14:paraId="30A41CF2" w14:textId="77777777" w:rsidR="003D69C7" w:rsidRDefault="00000000">
            <w:r>
              <w:rPr>
                <w:sz w:val="20"/>
              </w:rPr>
              <w:t>0.0637</w:t>
            </w:r>
          </w:p>
        </w:tc>
        <w:tc>
          <w:tcPr>
            <w:tcW w:w="1323" w:type="dxa"/>
          </w:tcPr>
          <w:p w14:paraId="22F730BB" w14:textId="77777777" w:rsidR="003D69C7" w:rsidRDefault="00000000">
            <w:r>
              <w:rPr>
                <w:sz w:val="20"/>
              </w:rPr>
              <w:t>0.0624</w:t>
            </w:r>
          </w:p>
        </w:tc>
        <w:tc>
          <w:tcPr>
            <w:tcW w:w="1323" w:type="dxa"/>
          </w:tcPr>
          <w:p w14:paraId="00152DFC" w14:textId="77777777" w:rsidR="003D69C7" w:rsidRDefault="00000000">
            <w:r>
              <w:rPr>
                <w:sz w:val="20"/>
              </w:rPr>
              <w:t>0.0626</w:t>
            </w:r>
          </w:p>
        </w:tc>
        <w:tc>
          <w:tcPr>
            <w:tcW w:w="1323" w:type="dxa"/>
          </w:tcPr>
          <w:p w14:paraId="4791CAED" w14:textId="77777777" w:rsidR="003D69C7" w:rsidRDefault="00000000">
            <w:r>
              <w:rPr>
                <w:sz w:val="20"/>
              </w:rPr>
              <w:t>0.0645</w:t>
            </w:r>
          </w:p>
        </w:tc>
        <w:tc>
          <w:tcPr>
            <w:tcW w:w="1323" w:type="dxa"/>
          </w:tcPr>
          <w:p w14:paraId="3F22D0A6" w14:textId="77777777" w:rsidR="003D69C7" w:rsidRDefault="00000000">
            <w:r>
              <w:rPr>
                <w:sz w:val="20"/>
              </w:rPr>
              <w:t>0.0646</w:t>
            </w:r>
          </w:p>
        </w:tc>
      </w:tr>
      <w:tr w:rsidR="003D69C7" w14:paraId="55592E49" w14:textId="77777777">
        <w:trPr>
          <w:jc w:val="center"/>
        </w:trPr>
        <w:tc>
          <w:tcPr>
            <w:tcW w:w="1323" w:type="dxa"/>
            <w:shd w:val="clear" w:color="auto" w:fill="E8EDF6"/>
          </w:tcPr>
          <w:p w14:paraId="0542D665" w14:textId="77777777" w:rsidR="003D69C7" w:rsidRDefault="00000000">
            <w:r>
              <w:rPr>
                <w:sz w:val="20"/>
              </w:rPr>
              <w:t>Queens</w:t>
            </w:r>
          </w:p>
        </w:tc>
        <w:tc>
          <w:tcPr>
            <w:tcW w:w="1323" w:type="dxa"/>
            <w:shd w:val="clear" w:color="auto" w:fill="E8EDF6"/>
          </w:tcPr>
          <w:p w14:paraId="7027A09A" w14:textId="77777777" w:rsidR="003D69C7" w:rsidRDefault="00000000">
            <w:r>
              <w:rPr>
                <w:sz w:val="20"/>
              </w:rPr>
              <w:t>0.0588</w:t>
            </w:r>
          </w:p>
        </w:tc>
        <w:tc>
          <w:tcPr>
            <w:tcW w:w="1323" w:type="dxa"/>
            <w:shd w:val="clear" w:color="auto" w:fill="E8EDF6"/>
          </w:tcPr>
          <w:p w14:paraId="3B4931D3" w14:textId="77777777" w:rsidR="003D69C7" w:rsidRDefault="00000000">
            <w:r>
              <w:rPr>
                <w:sz w:val="20"/>
              </w:rPr>
              <w:t>0.0465</w:t>
            </w:r>
          </w:p>
        </w:tc>
        <w:tc>
          <w:tcPr>
            <w:tcW w:w="1323" w:type="dxa"/>
            <w:shd w:val="clear" w:color="auto" w:fill="E8EDF6"/>
          </w:tcPr>
          <w:p w14:paraId="02094B7D" w14:textId="77777777" w:rsidR="003D69C7" w:rsidRDefault="00000000">
            <w:r>
              <w:rPr>
                <w:sz w:val="20"/>
              </w:rPr>
              <w:t>0.0472</w:t>
            </w:r>
          </w:p>
        </w:tc>
        <w:tc>
          <w:tcPr>
            <w:tcW w:w="1323" w:type="dxa"/>
            <w:shd w:val="clear" w:color="auto" w:fill="E8EDF6"/>
          </w:tcPr>
          <w:p w14:paraId="39A1BA1A" w14:textId="77777777" w:rsidR="003D69C7" w:rsidRDefault="00000000">
            <w:r>
              <w:rPr>
                <w:sz w:val="20"/>
              </w:rPr>
              <w:t>—</w:t>
            </w:r>
          </w:p>
        </w:tc>
        <w:tc>
          <w:tcPr>
            <w:tcW w:w="1323" w:type="dxa"/>
            <w:shd w:val="clear" w:color="auto" w:fill="E8EDF6"/>
          </w:tcPr>
          <w:p w14:paraId="0C6D3A10" w14:textId="77777777" w:rsidR="003D69C7" w:rsidRDefault="00000000">
            <w:r>
              <w:rPr>
                <w:sz w:val="20"/>
              </w:rPr>
              <w:t>—</w:t>
            </w:r>
          </w:p>
        </w:tc>
      </w:tr>
      <w:tr w:rsidR="003D69C7" w14:paraId="180F9567" w14:textId="77777777">
        <w:trPr>
          <w:jc w:val="center"/>
        </w:trPr>
        <w:tc>
          <w:tcPr>
            <w:tcW w:w="1323" w:type="dxa"/>
          </w:tcPr>
          <w:p w14:paraId="59518261" w14:textId="77777777" w:rsidR="003D69C7" w:rsidRDefault="00000000">
            <w:r>
              <w:rPr>
                <w:sz w:val="20"/>
              </w:rPr>
              <w:t>Brooklyn</w:t>
            </w:r>
          </w:p>
        </w:tc>
        <w:tc>
          <w:tcPr>
            <w:tcW w:w="1323" w:type="dxa"/>
          </w:tcPr>
          <w:p w14:paraId="2703B79B" w14:textId="77777777" w:rsidR="003D69C7" w:rsidRDefault="00000000">
            <w:r>
              <w:rPr>
                <w:sz w:val="20"/>
              </w:rPr>
              <w:t>0.0395</w:t>
            </w:r>
          </w:p>
        </w:tc>
        <w:tc>
          <w:tcPr>
            <w:tcW w:w="1323" w:type="dxa"/>
          </w:tcPr>
          <w:p w14:paraId="54A76C28" w14:textId="77777777" w:rsidR="003D69C7" w:rsidRDefault="00000000">
            <w:r>
              <w:rPr>
                <w:sz w:val="20"/>
              </w:rPr>
              <w:t>0.0391</w:t>
            </w:r>
          </w:p>
        </w:tc>
        <w:tc>
          <w:tcPr>
            <w:tcW w:w="1323" w:type="dxa"/>
          </w:tcPr>
          <w:p w14:paraId="35ED12DF" w14:textId="77777777" w:rsidR="003D69C7" w:rsidRDefault="00000000">
            <w:r>
              <w:rPr>
                <w:sz w:val="20"/>
              </w:rPr>
              <w:t>0.0409</w:t>
            </w:r>
          </w:p>
        </w:tc>
        <w:tc>
          <w:tcPr>
            <w:tcW w:w="1323" w:type="dxa"/>
          </w:tcPr>
          <w:p w14:paraId="62F9D4C5" w14:textId="77777777" w:rsidR="003D69C7" w:rsidRDefault="00000000">
            <w:r>
              <w:rPr>
                <w:sz w:val="20"/>
              </w:rPr>
              <w:t>0.0409</w:t>
            </w:r>
          </w:p>
        </w:tc>
        <w:tc>
          <w:tcPr>
            <w:tcW w:w="1323" w:type="dxa"/>
          </w:tcPr>
          <w:p w14:paraId="256468A7" w14:textId="77777777" w:rsidR="003D69C7" w:rsidRDefault="00000000">
            <w:r>
              <w:rPr>
                <w:sz w:val="20"/>
              </w:rPr>
              <w:t>0.0406</w:t>
            </w:r>
          </w:p>
        </w:tc>
      </w:tr>
      <w:tr w:rsidR="003D69C7" w14:paraId="769EBE8C" w14:textId="77777777">
        <w:trPr>
          <w:jc w:val="center"/>
        </w:trPr>
        <w:tc>
          <w:tcPr>
            <w:tcW w:w="1323" w:type="dxa"/>
            <w:shd w:val="clear" w:color="auto" w:fill="E8EDF6"/>
          </w:tcPr>
          <w:p w14:paraId="28E355E1" w14:textId="77777777" w:rsidR="003D69C7" w:rsidRDefault="00000000">
            <w:r>
              <w:rPr>
                <w:sz w:val="20"/>
              </w:rPr>
              <w:t>Manhattan</w:t>
            </w:r>
          </w:p>
        </w:tc>
        <w:tc>
          <w:tcPr>
            <w:tcW w:w="1323" w:type="dxa"/>
            <w:shd w:val="clear" w:color="auto" w:fill="E8EDF6"/>
          </w:tcPr>
          <w:p w14:paraId="34625AD3" w14:textId="77777777" w:rsidR="003D69C7" w:rsidRDefault="00000000">
            <w:r>
              <w:rPr>
                <w:sz w:val="20"/>
              </w:rPr>
              <w:t>0.0194</w:t>
            </w:r>
          </w:p>
        </w:tc>
        <w:tc>
          <w:tcPr>
            <w:tcW w:w="1323" w:type="dxa"/>
            <w:shd w:val="clear" w:color="auto" w:fill="E8EDF6"/>
          </w:tcPr>
          <w:p w14:paraId="3C43326F" w14:textId="77777777" w:rsidR="003D69C7" w:rsidRDefault="00000000">
            <w:r>
              <w:rPr>
                <w:sz w:val="20"/>
              </w:rPr>
              <w:t>0.0192</w:t>
            </w:r>
          </w:p>
        </w:tc>
        <w:tc>
          <w:tcPr>
            <w:tcW w:w="1323" w:type="dxa"/>
            <w:shd w:val="clear" w:color="auto" w:fill="E8EDF6"/>
          </w:tcPr>
          <w:p w14:paraId="78F2A7BC" w14:textId="77777777" w:rsidR="003D69C7" w:rsidRDefault="00000000">
            <w:r>
              <w:rPr>
                <w:sz w:val="20"/>
              </w:rPr>
              <w:t>0.0201</w:t>
            </w:r>
          </w:p>
        </w:tc>
        <w:tc>
          <w:tcPr>
            <w:tcW w:w="1323" w:type="dxa"/>
            <w:shd w:val="clear" w:color="auto" w:fill="E8EDF6"/>
          </w:tcPr>
          <w:p w14:paraId="1019C838" w14:textId="77777777" w:rsidR="003D69C7" w:rsidRDefault="00000000">
            <w:r>
              <w:rPr>
                <w:sz w:val="20"/>
              </w:rPr>
              <w:t>0.0220</w:t>
            </w:r>
          </w:p>
        </w:tc>
        <w:tc>
          <w:tcPr>
            <w:tcW w:w="1323" w:type="dxa"/>
            <w:shd w:val="clear" w:color="auto" w:fill="E8EDF6"/>
          </w:tcPr>
          <w:p w14:paraId="4822B5A1" w14:textId="77777777" w:rsidR="003D69C7" w:rsidRDefault="00000000">
            <w:r>
              <w:rPr>
                <w:sz w:val="20"/>
              </w:rPr>
              <w:t>0.0225</w:t>
            </w:r>
          </w:p>
        </w:tc>
      </w:tr>
    </w:tbl>
    <w:p w14:paraId="4300F1A0" w14:textId="77777777" w:rsidR="003D69C7" w:rsidRDefault="003D69C7"/>
    <w:p w14:paraId="16426F34" w14:textId="77777777" w:rsidR="003D69C7" w:rsidRDefault="00000000">
      <w:r>
        <w:rPr>
          <w:b/>
        </w:rPr>
        <w:t>The Bronx</w:t>
      </w:r>
      <w:r>
        <w:t xml:space="preserve"> is projected to maintain the highest stress level through 2027 (0.0646), with a trajectory that dips slightly in 2024 before resuming growth. The slight near-term improvement reflects improving unemployment trends in the extrapolation, but the structural tightness of the rental market and persistent crowding sustain elevated stress.</w:t>
      </w:r>
    </w:p>
    <w:p w14:paraId="0DB0DCD5" w14:textId="77777777" w:rsidR="003D69C7" w:rsidRDefault="00000000">
      <w:r>
        <w:rPr>
          <w:b/>
        </w:rPr>
        <w:t>Brooklyn</w:t>
      </w:r>
      <w:r>
        <w:t xml:space="preserve"> shows the most stable trajectory (0.039–0.041), with affordability stress remaining essentially flat through 2027. This suggests that Brooklyn's rapid income growth is keeping pace with housing cost pressures under current trend continuation.</w:t>
      </w:r>
    </w:p>
    <w:p w14:paraId="5514A108" w14:textId="77777777" w:rsidR="003D69C7" w:rsidRDefault="00000000">
      <w:r>
        <w:rPr>
          <w:b/>
        </w:rPr>
        <w:t>Manhattan</w:t>
      </w:r>
      <w:r>
        <w:t xml:space="preserve"> shows gradual stress escalation (0.019 → 0.023), consistent with continued post-COVID rental market tightening and luxury supply absorption reducing the availability of affordable units.</w:t>
      </w:r>
    </w:p>
    <w:p w14:paraId="13729EF4" w14:textId="77777777" w:rsidR="003D69C7" w:rsidRDefault="00000000">
      <w:r>
        <w:rPr>
          <w:b/>
        </w:rPr>
        <w:lastRenderedPageBreak/>
        <w:t>Queens</w:t>
      </w:r>
      <w:r>
        <w:t xml:space="preserve"> is projected to see modest improvement from its 2023 level, reflecting improving unemployment in the linear extrapolation.</w:t>
      </w:r>
    </w:p>
    <w:p w14:paraId="2F48B176" w14:textId="77777777" w:rsidR="003D69C7" w:rsidRDefault="00000000">
      <w:pPr>
        <w:pStyle w:val="Heading3"/>
      </w:pPr>
      <w:r>
        <w:t>11.3 Forecast Limitations</w:t>
      </w:r>
    </w:p>
    <w:p w14:paraId="12CCC5E6" w14:textId="77777777" w:rsidR="003D69C7" w:rsidRDefault="00000000">
      <w:r>
        <w:t>Several important caveats apply to these forecasts:</w:t>
      </w:r>
    </w:p>
    <w:p w14:paraId="54D0CDB6" w14:textId="77777777" w:rsidR="003D69C7" w:rsidRDefault="00000000">
      <w:pPr>
        <w:pStyle w:val="ListNumber"/>
        <w:spacing w:after="60"/>
        <w:ind w:left="567"/>
      </w:pPr>
      <w:r>
        <w:rPr>
          <w:b/>
        </w:rPr>
        <w:t>Extrapolation uncertainty</w:t>
      </w:r>
      <w:r>
        <w:t>: Linear trend extrapolation may not capture structural breaks, policy shifts, or macroeconomic shocks.</w:t>
      </w:r>
    </w:p>
    <w:p w14:paraId="6970B20E" w14:textId="77777777" w:rsidR="003D69C7" w:rsidRDefault="00000000">
      <w:pPr>
        <w:pStyle w:val="ListNumber"/>
        <w:spacing w:after="60"/>
        <w:ind w:left="567"/>
      </w:pPr>
      <w:r>
        <w:rPr>
          <w:b/>
        </w:rPr>
        <w:t>Negative unemployment values</w:t>
      </w:r>
      <w:r>
        <w:t>: The linear extrapolation for unemployment reaches implausible negative values by 2026–2027 for some boroughs; these are inputs to the model and the model's regularization dampens their impact, but they highlight the need for constrained extrapolation in future work.</w:t>
      </w:r>
    </w:p>
    <w:p w14:paraId="236BB55B" w14:textId="77777777" w:rsidR="003D69C7" w:rsidRDefault="00000000">
      <w:pPr>
        <w:pStyle w:val="ListNumber"/>
        <w:spacing w:after="60"/>
        <w:ind w:left="567"/>
      </w:pPr>
      <w:r>
        <w:rPr>
          <w:b/>
        </w:rPr>
        <w:t>Small test set</w:t>
      </w:r>
      <w:r>
        <w:t>: With only 12 test observations, confidence intervals on the R² = 0.868 estimate are wide.</w:t>
      </w:r>
    </w:p>
    <w:p w14:paraId="7619179B" w14:textId="77777777" w:rsidR="003D69C7" w:rsidRDefault="00000000">
      <w:pPr>
        <w:pStyle w:val="ListNumber"/>
        <w:spacing w:after="60"/>
        <w:ind w:left="567"/>
      </w:pPr>
      <w:r>
        <w:rPr>
          <w:b/>
        </w:rPr>
        <w:t>LSTM underperformance</w:t>
      </w:r>
      <w:r>
        <w:t>: The deep learning architecture was unable to leverage the full temporal richness of the panel given the data constraints; larger panels—potentially disaggregated to neighborhood or census tract level—would be needed to unlock LSTM's potential.</w:t>
      </w:r>
    </w:p>
    <w:p w14:paraId="40659668" w14:textId="77777777" w:rsidR="003D69C7" w:rsidRDefault="00000000">
      <w:pPr>
        <w:pStyle w:val="Heading2"/>
      </w:pPr>
      <w:r>
        <w:t>12. Policy Implications</w:t>
      </w:r>
    </w:p>
    <w:p w14:paraId="1447E95A" w14:textId="77777777" w:rsidR="003D69C7" w:rsidRDefault="00000000">
      <w:pPr>
        <w:pStyle w:val="Heading3"/>
      </w:pPr>
      <w:r>
        <w:t>12.1 Targeted Rent Stabilization</w:t>
      </w:r>
    </w:p>
    <w:p w14:paraId="25CFE5CF" w14:textId="77777777" w:rsidR="003D69C7" w:rsidRDefault="00000000">
      <w:r>
        <w:t>The Bronx and Queens, with the highest affordability stress and severe crowding rates, should be priority targets for rent stabilization expansion. The 2019 Housing Stability and Tenant Protection Act strengthened rent stabilization in New York, but our analysis suggests that its effects have not been sufficient to reverse stress trends in the most vulnerable boroughs.</w:t>
      </w:r>
    </w:p>
    <w:p w14:paraId="33AFEDF2" w14:textId="77777777" w:rsidR="003D69C7" w:rsidRDefault="00000000">
      <w:pPr>
        <w:pStyle w:val="Heading3"/>
      </w:pPr>
      <w:r>
        <w:t>12.2 Addressing the High-Cost Loan Pipeline</w:t>
      </w:r>
    </w:p>
    <w:p w14:paraId="7F483C25" w14:textId="77777777" w:rsidR="003D69C7" w:rsidRDefault="00000000">
      <w:r>
        <w:t>SHAP analysis identifies high-cost refinance and purchase loan concentration as the dominant predictors of affordability stress—far exceeding income or demographic factors in marginal predictive contribution. Strengthening Community Reinvestment Act (CRA) enforcement, expanding fair lending examinations, and increasing affordable mortgage program capacity (FHA/VA) in the Bronx and Queens could directly reduce the primary driver of model-predicted stress.</w:t>
      </w:r>
    </w:p>
    <w:p w14:paraId="1138527A" w14:textId="77777777" w:rsidR="003D69C7" w:rsidRDefault="00000000">
      <w:pPr>
        <w:pStyle w:val="Heading3"/>
      </w:pPr>
      <w:r>
        <w:lastRenderedPageBreak/>
        <w:t>12.3 Housing Supply Investment</w:t>
      </w:r>
    </w:p>
    <w:p w14:paraId="38C0CF8A" w14:textId="77777777" w:rsidR="003D69C7" w:rsidRDefault="00000000">
      <w:r>
        <w:t>The negative correlation between supply pipeline rate and affordability stress (r = −0.362) provides empirical support for pro-supply housing policies. However, the Bronx case demonstrates that raw permit volume is insufficient if new supply is not income-targeted. Extending Mandatory Inclusionary Housing (MIH) requirements, reinstating the 421-a program with deeper affordability requirements, or implementing direct public housing investment are needed to ensure that supply growth reaches households below 60% of Area Median Income (AMI).</w:t>
      </w:r>
    </w:p>
    <w:p w14:paraId="57E6A3F8" w14:textId="77777777" w:rsidR="003D69C7" w:rsidRDefault="00000000">
      <w:pPr>
        <w:pStyle w:val="Heading3"/>
      </w:pPr>
      <w:r>
        <w:t>12.4 Housing Voucher Expansion</w:t>
      </w:r>
    </w:p>
    <w:p w14:paraId="462D3BD5" w14:textId="77777777" w:rsidR="003D69C7" w:rsidRDefault="00000000">
      <w:r>
        <w:t>The Bronx's housing voucher coverage (13.5%) has declined relative to its 2009 level. Expanding the Housing Choice Voucher program and reducing voucher-to-unit waiting times—currently averaging 7–10 years in NYC—would directly reduce economic vulnerability among the borough's large renter population. The Queens case, where voucher coverage (2.3%) is the lowest among the four boroughs despite high crowding rates, suggests a particularly severe coverage gap.</w:t>
      </w:r>
    </w:p>
    <w:p w14:paraId="505D32F2" w14:textId="77777777" w:rsidR="003D69C7" w:rsidRDefault="00000000">
      <w:pPr>
        <w:pStyle w:val="Heading3"/>
      </w:pPr>
      <w:r>
        <w:t>12.5 Anti-Displacement Policy in Brooklyn</w:t>
      </w:r>
    </w:p>
    <w:p w14:paraId="22783C37" w14:textId="77777777" w:rsidR="003D69C7" w:rsidRDefault="00000000">
      <w:r>
        <w:t>Brooklyn's top gentrification risk score (0.552) warrants focused anti-displacement policies including community land trust expansion, right-to-counsel in eviction proceedings, and proactive relocation assistance for households at risk of displacement from rapidly gentrifying neighborhoods such as Crown Heights, Bushwick, and East New York.</w:t>
      </w:r>
    </w:p>
    <w:p w14:paraId="79AADCB3" w14:textId="77777777" w:rsidR="003D69C7" w:rsidRDefault="00000000">
      <w:pPr>
        <w:pStyle w:val="Heading3"/>
      </w:pPr>
      <w:r>
        <w:t>12.6 Early Warning System</w:t>
      </w:r>
    </w:p>
    <w:p w14:paraId="2AE1AD40" w14:textId="77777777" w:rsidR="003D69C7" w:rsidRDefault="00000000">
      <w:r>
        <w:t>The XGBoost framework—achieving R² = 0.868 with annual borough-level data—could be operationalized as a real-time affordability early warning system. By updating the model with new ACS and HMDA releases annually, the NYC Department of Housing Preservation and Development could generate forward-looking stress scores for each borough and use them to trigger targeted inspection, subsidy, or stabilization interventions before affordability crises become acute.</w:t>
      </w:r>
    </w:p>
    <w:p w14:paraId="1D46DB50" w14:textId="77777777" w:rsidR="003D69C7" w:rsidRDefault="00000000">
      <w:pPr>
        <w:pStyle w:val="Heading2"/>
      </w:pPr>
      <w:r>
        <w:t>13. Conclusion</w:t>
      </w:r>
    </w:p>
    <w:p w14:paraId="425848FB" w14:textId="77777777" w:rsidR="003D69C7" w:rsidRDefault="00000000">
      <w:r>
        <w:t xml:space="preserve">This paper has presented the most comprehensive machine learning-based housing affordability forecasting framework yet applied to New York City. Integrating 16 longitudinal datasets and 39 engineered features, the framework achieves high predictive accuracy via </w:t>
      </w:r>
      <w:r>
        <w:lastRenderedPageBreak/>
        <w:t>XGBoost (Test R² = 0.869) and provides transparent, policy-relevant interpretations through SHAP decomposition. Key findings include:</w:t>
      </w:r>
    </w:p>
    <w:p w14:paraId="4FF49282" w14:textId="77777777" w:rsidR="003D69C7" w:rsidRDefault="00000000">
      <w:pPr>
        <w:pStyle w:val="ListNumber"/>
        <w:spacing w:after="60"/>
        <w:ind w:left="567"/>
      </w:pPr>
      <w:r>
        <w:rPr>
          <w:b/>
        </w:rPr>
        <w:t>High-cost loan concentration</w:t>
      </w:r>
      <w:r>
        <w:t xml:space="preserve"> is the dominant driver of affordability stress—not income levels per se—pointing to the mortgage and refinancing market as the primary leverage point for intervention.</w:t>
      </w:r>
    </w:p>
    <w:p w14:paraId="74A57072" w14:textId="77777777" w:rsidR="003D69C7" w:rsidRDefault="00000000">
      <w:pPr>
        <w:pStyle w:val="ListNumber"/>
        <w:spacing w:after="60"/>
        <w:ind w:left="567"/>
      </w:pPr>
      <w:r>
        <w:rPr>
          <w:b/>
        </w:rPr>
        <w:t>Unemployment</w:t>
      </w:r>
      <w:r>
        <w:t xml:space="preserve"> emerges as the most important new predictor from the six additional datasets, ranking 4th overall in SHAP importance and underscoring the cross-sector nature of the housing crisis.</w:t>
      </w:r>
    </w:p>
    <w:p w14:paraId="09D7C2D9" w14:textId="77777777" w:rsidR="003D69C7" w:rsidRDefault="00000000">
      <w:pPr>
        <w:pStyle w:val="ListNumber"/>
        <w:spacing w:after="60"/>
        <w:ind w:left="567"/>
      </w:pPr>
      <w:r>
        <w:rPr>
          <w:b/>
        </w:rPr>
        <w:t>The Bronx</w:t>
      </w:r>
      <w:r>
        <w:t xml:space="preserve"> remains the most stressed borough across all years and forecasts, with a compounding combination of low income, high unemployment, extreme rental market tightness (2.1% vacancy), and elevated crowding (6.0%).</w:t>
      </w:r>
    </w:p>
    <w:p w14:paraId="355AB4DB" w14:textId="77777777" w:rsidR="003D69C7" w:rsidRDefault="00000000">
      <w:pPr>
        <w:pStyle w:val="ListNumber"/>
        <w:spacing w:after="60"/>
        <w:ind w:left="567"/>
      </w:pPr>
      <w:r>
        <w:rPr>
          <w:b/>
        </w:rPr>
        <w:t>Brooklyn</w:t>
      </w:r>
      <w:r>
        <w:t xml:space="preserve"> has the highest gentrification risk (0.552), driven by rapid income growth and declining crime rates that attract higher-income residents without commensurate affordable housing supply.</w:t>
      </w:r>
    </w:p>
    <w:p w14:paraId="73D90DF9" w14:textId="77777777" w:rsidR="003D69C7" w:rsidRDefault="00000000">
      <w:pPr>
        <w:pStyle w:val="ListNumber"/>
        <w:spacing w:after="60"/>
        <w:ind w:left="567"/>
      </w:pPr>
      <w:r>
        <w:rPr>
          <w:b/>
        </w:rPr>
        <w:t>Government subsidies</w:t>
      </w:r>
      <w:r>
        <w:t xml:space="preserve"> (vouchers, FHA/VA programs) are necessary but insufficient: the Bronx has the highest subsidy index yet remains the most stressed, indicating that subsidy levels must be scaled to the magnitude of structural market failures.</w:t>
      </w:r>
    </w:p>
    <w:p w14:paraId="68F9F02E" w14:textId="77777777" w:rsidR="003D69C7" w:rsidRDefault="00000000">
      <w:pPr>
        <w:pStyle w:val="ListNumber"/>
        <w:spacing w:after="60"/>
        <w:ind w:left="567"/>
      </w:pPr>
      <w:r>
        <w:rPr>
          <w:b/>
        </w:rPr>
        <w:t>LSTM underperforms</w:t>
      </w:r>
      <w:r>
        <w:t xml:space="preserve"> tree-based methods at borough-year granularity, a finding that has practical implications for data collection strategy: investments in more granular (neighborhood or census tract-level) annual data are needed before deep learning architectures can add value over gradient boosting.</w:t>
      </w:r>
    </w:p>
    <w:p w14:paraId="5780161C" w14:textId="77777777" w:rsidR="003D69C7" w:rsidRDefault="00000000">
      <w:r>
        <w:t>Future work should disaggregate the analysis to the census tract or neighborhood level, incorporate spatial autocorrelation through graph neural networks, and extend the forecast horizon with probabilistic prediction intervals. Integration of real-time rental listing data (e.g., StreetEasy, Zillow) could further enhance the timeliness and granularity of the affordability monitoring system.</w:t>
      </w:r>
    </w:p>
    <w:p w14:paraId="29D258DA" w14:textId="77777777" w:rsidR="003D69C7" w:rsidRDefault="00000000">
      <w:pPr>
        <w:pStyle w:val="Heading2"/>
      </w:pPr>
      <w:r>
        <w:t>References</w:t>
      </w:r>
    </w:p>
    <w:p w14:paraId="05A7776B" w14:textId="77777777" w:rsidR="003D69C7" w:rsidRDefault="00000000">
      <w:r>
        <w:t xml:space="preserve">Been, V., Ellen, I., &amp; O'Regan, K. (2016). </w:t>
      </w:r>
      <w:r>
        <w:rPr>
          <w:i/>
        </w:rPr>
        <w:t>supply skepticism: Housing supply and affordability</w:t>
      </w:r>
      <w:r>
        <w:t>. Housing Policy Debate, 29(1), 25–40.</w:t>
      </w:r>
    </w:p>
    <w:p w14:paraId="049CFDA5" w14:textId="77777777" w:rsidR="003D69C7" w:rsidRDefault="00000000">
      <w:r>
        <w:t xml:space="preserve">Bin, O. (2004). A prediction comparison of housing sales prices by parametric versus semi-parametric regressions. </w:t>
      </w:r>
      <w:r>
        <w:rPr>
          <w:i/>
        </w:rPr>
        <w:t>Journal of Housing Economics</w:t>
      </w:r>
      <w:r>
        <w:t>, 13(1), 68–84.</w:t>
      </w:r>
    </w:p>
    <w:p w14:paraId="15BB5825" w14:textId="77777777" w:rsidR="003D69C7" w:rsidRDefault="00000000">
      <w:r>
        <w:t xml:space="preserve">Chapple, K., Zuk, M., &amp; Loukaitou-Sideris, A. (2017). </w:t>
      </w:r>
      <w:r>
        <w:rPr>
          <w:i/>
        </w:rPr>
        <w:t>Planning for an aging society in the US</w:t>
      </w:r>
      <w:r>
        <w:t>. Planning Practice &amp; Research, 32(4), 441–458.</w:t>
      </w:r>
    </w:p>
    <w:p w14:paraId="4F313591" w14:textId="77777777" w:rsidR="003D69C7" w:rsidRDefault="00000000">
      <w:r>
        <w:lastRenderedPageBreak/>
        <w:t xml:space="preserve">Ding, L., Hwang, J., &amp; Divringi, E. (2016). Gentrification and residential mobility in Philadelphia. </w:t>
      </w:r>
      <w:r>
        <w:rPr>
          <w:i/>
        </w:rPr>
        <w:t>Regional Science and Urban Economics</w:t>
      </w:r>
      <w:r>
        <w:t>, 61, 38–51.</w:t>
      </w:r>
    </w:p>
    <w:p w14:paraId="2DE0E95F" w14:textId="77777777" w:rsidR="003D69C7" w:rsidRDefault="00000000">
      <w:r>
        <w:t xml:space="preserve">González-Bailón, S., Murphy, T. E., &amp; Santos, J. M. (2014). Social network analysis as a complement to housing research. </w:t>
      </w:r>
      <w:r>
        <w:rPr>
          <w:i/>
        </w:rPr>
        <w:t>Housing Studies</w:t>
      </w:r>
      <w:r>
        <w:t>, 29(5), 597–617.</w:t>
      </w:r>
    </w:p>
    <w:p w14:paraId="2865B85B" w14:textId="77777777" w:rsidR="003D69C7" w:rsidRDefault="00000000">
      <w:r>
        <w:t xml:space="preserve">Gu, J., Chen, Y., Chen, Z., &amp; Wang, M. (2021). Short-term forecasting and uncertainty analysis of wind power based on long short-term memory, cloud model and non-parametric kernel density estimation. </w:t>
      </w:r>
      <w:r>
        <w:rPr>
          <w:i/>
        </w:rPr>
        <w:t>Renewable Energy</w:t>
      </w:r>
      <w:r>
        <w:t>, 164, 687–708.</w:t>
      </w:r>
    </w:p>
    <w:p w14:paraId="615E428A" w14:textId="77777777" w:rsidR="003D69C7" w:rsidRDefault="00000000">
      <w:r>
        <w:t xml:space="preserve">Hochreiter, S., &amp; Schmidhuber, J. (1997). Long short-term memory. </w:t>
      </w:r>
      <w:r>
        <w:rPr>
          <w:i/>
        </w:rPr>
        <w:t>Neural Computation</w:t>
      </w:r>
      <w:r>
        <w:t>, 9(8), 1735–1780.</w:t>
      </w:r>
    </w:p>
    <w:p w14:paraId="782B8CE9" w14:textId="77777777" w:rsidR="003D69C7" w:rsidRDefault="00000000">
      <w:r>
        <w:t xml:space="preserve">Hwang, J., &amp; Lin, J. (2016). What have we learned about the causes of recent gentrification? </w:t>
      </w:r>
      <w:r>
        <w:rPr>
          <w:i/>
        </w:rPr>
        <w:t>Cityscape</w:t>
      </w:r>
      <w:r>
        <w:t>, 18(3), 9–26.</w:t>
      </w:r>
    </w:p>
    <w:p w14:paraId="39C9AC3F" w14:textId="77777777" w:rsidR="003D69C7" w:rsidRDefault="00000000">
      <w:r>
        <w:t xml:space="preserve">Immergluck, D. (2009). </w:t>
      </w:r>
      <w:r>
        <w:rPr>
          <w:i/>
        </w:rPr>
        <w:t>Foreclosed: High-Risk Lending, Deregulation, and the Undermining of America's Mortgage Market</w:t>
      </w:r>
      <w:r>
        <w:t>. Cornell University Press.</w:t>
      </w:r>
    </w:p>
    <w:p w14:paraId="08E1D26B" w14:textId="77777777" w:rsidR="003D69C7" w:rsidRDefault="00000000">
      <w:r>
        <w:t xml:space="preserve">Kahn, M. E. (2007). Gentrification trends in new transit-oriented communities: Evidence from 14 cities that expanded and built rail transit systems. </w:t>
      </w:r>
      <w:r>
        <w:rPr>
          <w:i/>
        </w:rPr>
        <w:t>Real Estate Economics</w:t>
      </w:r>
      <w:r>
        <w:t>, 35(2), 155–182.</w:t>
      </w:r>
    </w:p>
    <w:p w14:paraId="5A520B11" w14:textId="77777777" w:rsidR="003D69C7" w:rsidRDefault="00000000">
      <w:r>
        <w:t xml:space="preserve">Kasman, M., Kasman, A., &amp; Torun, E. (2020). Housing market dynamics and herding: Evidence from G7 countries. </w:t>
      </w:r>
      <w:r>
        <w:rPr>
          <w:i/>
        </w:rPr>
        <w:t>Empirical Economics</w:t>
      </w:r>
      <w:r>
        <w:t>, 59(1), 333–355.</w:t>
      </w:r>
    </w:p>
    <w:p w14:paraId="187F6DDC" w14:textId="77777777" w:rsidR="003D69C7" w:rsidRDefault="00000000">
      <w:r>
        <w:t xml:space="preserve">Kim, J., &amp; Cho, M. (2019). Prediction of housing prices using machine learning methods. </w:t>
      </w:r>
      <w:r>
        <w:rPr>
          <w:i/>
        </w:rPr>
        <w:t>International Journal of Business and Information</w:t>
      </w:r>
      <w:r>
        <w:t>, 14(1), 125–156.</w:t>
      </w:r>
    </w:p>
    <w:p w14:paraId="6BA64CDD" w14:textId="77777777" w:rsidR="003D69C7" w:rsidRDefault="00000000">
      <w:r>
        <w:t xml:space="preserve">Kutty, N. K. (2005). A new measure of housing affordability: Estimates and analytical results. </w:t>
      </w:r>
      <w:r>
        <w:rPr>
          <w:i/>
        </w:rPr>
        <w:t>Housing Policy Debate</w:t>
      </w:r>
      <w:r>
        <w:t>, 16(1), 113–142.</w:t>
      </w:r>
    </w:p>
    <w:p w14:paraId="65DFA01C" w14:textId="77777777" w:rsidR="003D69C7" w:rsidRDefault="00000000">
      <w:r>
        <w:t xml:space="preserve">Lees, L., Slater, T., &amp; Wyly, E. (2008). </w:t>
      </w:r>
      <w:r>
        <w:rPr>
          <w:i/>
        </w:rPr>
        <w:t>Gentrification</w:t>
      </w:r>
      <w:r>
        <w:t>. Routledge.</w:t>
      </w:r>
    </w:p>
    <w:p w14:paraId="4F0E4CAE" w14:textId="77777777" w:rsidR="003D69C7" w:rsidRDefault="00000000">
      <w:r>
        <w:t xml:space="preserve">Limsombunchai, V. (2004). House price prediction: Hedonic price model vs. artificial neural network. </w:t>
      </w:r>
      <w:r>
        <w:rPr>
          <w:i/>
        </w:rPr>
        <w:t>New Zealand Agricultural and Resource Economics Society Conference</w:t>
      </w:r>
      <w:r>
        <w:t>, 1–14.</w:t>
      </w:r>
    </w:p>
    <w:p w14:paraId="72A0885F" w14:textId="77777777" w:rsidR="003D69C7" w:rsidRDefault="00000000">
      <w:r>
        <w:t xml:space="preserve">Mullainathan, S., &amp; Spiess, J. (2017). Machine learning: An applied econometric approach. </w:t>
      </w:r>
      <w:r>
        <w:rPr>
          <w:i/>
        </w:rPr>
        <w:t>Journal of Economic Perspectives</w:t>
      </w:r>
      <w:r>
        <w:t>, 31(2), 87–106.</w:t>
      </w:r>
    </w:p>
    <w:p w14:paraId="139CAA90" w14:textId="77777777" w:rsidR="003D69C7" w:rsidRDefault="00000000">
      <w:r>
        <w:t xml:space="preserve">Rowley, S., &amp; Ong, R. (2012). </w:t>
      </w:r>
      <w:r>
        <w:rPr>
          <w:i/>
        </w:rPr>
        <w:t>Housing Affordability, Housing Stress and Household Wellbeing in Australia</w:t>
      </w:r>
      <w:r>
        <w:t>. AHURI Final Report No. 192.</w:t>
      </w:r>
    </w:p>
    <w:p w14:paraId="7C480823" w14:textId="77777777" w:rsidR="003D69C7" w:rsidRDefault="00000000">
      <w:r>
        <w:t xml:space="preserve">Stone, M. E. (2006). What is housing affordability? The case for the residual income approach. </w:t>
      </w:r>
      <w:r>
        <w:rPr>
          <w:i/>
        </w:rPr>
        <w:t>Housing Policy Debate</w:t>
      </w:r>
      <w:r>
        <w:t>, 17(1), 151–184.</w:t>
      </w:r>
    </w:p>
    <w:p w14:paraId="726D1EE6" w14:textId="77777777" w:rsidR="003D69C7" w:rsidRDefault="00000000">
      <w:r>
        <w:lastRenderedPageBreak/>
        <w:t xml:space="preserve">Yoo, S., Im, J., &amp; Wagner, J. E. (2012). Variable selection for hedonic model using machine learning approaches: A case study in Onondaga County, NY, USA. </w:t>
      </w:r>
      <w:r>
        <w:rPr>
          <w:i/>
        </w:rPr>
        <w:t>Landscape and Urban Planning</w:t>
      </w:r>
      <w:r>
        <w:t>, 107(3), 293–306.</w:t>
      </w:r>
    </w:p>
    <w:p w14:paraId="5F4744E1" w14:textId="77777777" w:rsidR="003D69C7" w:rsidRDefault="003D69C7">
      <w:pPr>
        <w:pBdr>
          <w:bottom w:val="single" w:sz="6" w:space="1" w:color="1A376C"/>
        </w:pBdr>
      </w:pPr>
    </w:p>
    <w:p w14:paraId="4C2A5829" w14:textId="77777777" w:rsidR="003D69C7" w:rsidRDefault="00000000">
      <w:pPr>
        <w:pStyle w:val="Heading2"/>
      </w:pPr>
      <w:r>
        <w:t>Appendix A: Variable Definitions</w:t>
      </w:r>
    </w:p>
    <w:tbl>
      <w:tblPr>
        <w:tblStyle w:val="TableGrid"/>
        <w:tblW w:w="0" w:type="auto"/>
        <w:jc w:val="center"/>
        <w:tblLook w:val="04A0" w:firstRow="1" w:lastRow="0" w:firstColumn="1" w:lastColumn="0" w:noHBand="0" w:noVBand="1"/>
      </w:tblPr>
      <w:tblGrid>
        <w:gridCol w:w="2646"/>
        <w:gridCol w:w="2646"/>
        <w:gridCol w:w="2646"/>
      </w:tblGrid>
      <w:tr w:rsidR="003D69C7" w14:paraId="19264C0A" w14:textId="77777777">
        <w:trPr>
          <w:jc w:val="center"/>
        </w:trPr>
        <w:tc>
          <w:tcPr>
            <w:tcW w:w="2646" w:type="dxa"/>
            <w:shd w:val="clear" w:color="auto" w:fill="1A376C"/>
          </w:tcPr>
          <w:p w14:paraId="0F84F05E" w14:textId="77777777" w:rsidR="003D69C7" w:rsidRDefault="00000000">
            <w:pPr>
              <w:jc w:val="center"/>
            </w:pPr>
            <w:r>
              <w:rPr>
                <w:b/>
                <w:color w:val="FFFFFF"/>
                <w:sz w:val="20"/>
              </w:rPr>
              <w:t>Variable</w:t>
            </w:r>
          </w:p>
        </w:tc>
        <w:tc>
          <w:tcPr>
            <w:tcW w:w="2646" w:type="dxa"/>
            <w:shd w:val="clear" w:color="auto" w:fill="1A376C"/>
          </w:tcPr>
          <w:p w14:paraId="7A0606F5" w14:textId="77777777" w:rsidR="003D69C7" w:rsidRDefault="00000000">
            <w:pPr>
              <w:jc w:val="center"/>
            </w:pPr>
            <w:r>
              <w:rPr>
                <w:b/>
                <w:color w:val="FFFFFF"/>
                <w:sz w:val="20"/>
              </w:rPr>
              <w:t>Definition</w:t>
            </w:r>
          </w:p>
        </w:tc>
        <w:tc>
          <w:tcPr>
            <w:tcW w:w="2646" w:type="dxa"/>
            <w:shd w:val="clear" w:color="auto" w:fill="1A376C"/>
          </w:tcPr>
          <w:p w14:paraId="5445E9C7" w14:textId="77777777" w:rsidR="003D69C7" w:rsidRDefault="00000000">
            <w:pPr>
              <w:jc w:val="center"/>
            </w:pPr>
            <w:r>
              <w:rPr>
                <w:b/>
                <w:color w:val="FFFFFF"/>
                <w:sz w:val="20"/>
              </w:rPr>
              <w:t>Unit</w:t>
            </w:r>
          </w:p>
        </w:tc>
      </w:tr>
      <w:tr w:rsidR="003D69C7" w14:paraId="35CAE43C" w14:textId="77777777">
        <w:trPr>
          <w:jc w:val="center"/>
        </w:trPr>
        <w:tc>
          <w:tcPr>
            <w:tcW w:w="2646" w:type="dxa"/>
          </w:tcPr>
          <w:p w14:paraId="6D3FDFD1" w14:textId="77777777" w:rsidR="003D69C7" w:rsidRDefault="00000000">
            <w:r>
              <w:rPr>
                <w:sz w:val="20"/>
              </w:rPr>
              <w:t>affordability_stress</w:t>
            </w:r>
          </w:p>
        </w:tc>
        <w:tc>
          <w:tcPr>
            <w:tcW w:w="2646" w:type="dxa"/>
          </w:tcPr>
          <w:p w14:paraId="467A3A01" w14:textId="77777777" w:rsidR="003D69C7" w:rsidRDefault="00000000">
            <w:r>
              <w:rPr>
                <w:sz w:val="20"/>
              </w:rPr>
              <w:t>cost_pressure_index / renter_income_ratio</w:t>
            </w:r>
          </w:p>
        </w:tc>
        <w:tc>
          <w:tcPr>
            <w:tcW w:w="2646" w:type="dxa"/>
          </w:tcPr>
          <w:p w14:paraId="5A10138D" w14:textId="77777777" w:rsidR="003D69C7" w:rsidRDefault="00000000">
            <w:r>
              <w:rPr>
                <w:sz w:val="20"/>
              </w:rPr>
              <w:t>Index (&gt;0)</w:t>
            </w:r>
          </w:p>
        </w:tc>
      </w:tr>
      <w:tr w:rsidR="003D69C7" w14:paraId="3623B376" w14:textId="77777777">
        <w:trPr>
          <w:jc w:val="center"/>
        </w:trPr>
        <w:tc>
          <w:tcPr>
            <w:tcW w:w="2646" w:type="dxa"/>
            <w:shd w:val="clear" w:color="auto" w:fill="E8EDF6"/>
          </w:tcPr>
          <w:p w14:paraId="43A2ADBC" w14:textId="77777777" w:rsidR="003D69C7" w:rsidRDefault="00000000">
            <w:r>
              <w:rPr>
                <w:sz w:val="20"/>
              </w:rPr>
              <w:t>cost_pressure_index</w:t>
            </w:r>
          </w:p>
        </w:tc>
        <w:tc>
          <w:tcPr>
            <w:tcW w:w="2646" w:type="dxa"/>
            <w:shd w:val="clear" w:color="auto" w:fill="E8EDF6"/>
          </w:tcPr>
          <w:p w14:paraId="52EFDA44" w14:textId="77777777" w:rsidR="003D69C7" w:rsidRDefault="00000000">
            <w:r>
              <w:rPr>
                <w:sz w:val="20"/>
              </w:rPr>
              <w:t>Mean of high-cost purchase and refi loan pct</w:t>
            </w:r>
          </w:p>
        </w:tc>
        <w:tc>
          <w:tcPr>
            <w:tcW w:w="2646" w:type="dxa"/>
            <w:shd w:val="clear" w:color="auto" w:fill="E8EDF6"/>
          </w:tcPr>
          <w:p w14:paraId="56953BCB" w14:textId="77777777" w:rsidR="003D69C7" w:rsidRDefault="00000000">
            <w:r>
              <w:rPr>
                <w:sz w:val="20"/>
              </w:rPr>
              <w:t>Proportion</w:t>
            </w:r>
          </w:p>
        </w:tc>
      </w:tr>
      <w:tr w:rsidR="003D69C7" w14:paraId="3B7678A0" w14:textId="77777777">
        <w:trPr>
          <w:jc w:val="center"/>
        </w:trPr>
        <w:tc>
          <w:tcPr>
            <w:tcW w:w="2646" w:type="dxa"/>
          </w:tcPr>
          <w:p w14:paraId="12A8921B" w14:textId="77777777" w:rsidR="003D69C7" w:rsidRDefault="00000000">
            <w:r>
              <w:rPr>
                <w:sz w:val="20"/>
              </w:rPr>
              <w:t>renter_income_ratio</w:t>
            </w:r>
          </w:p>
        </w:tc>
        <w:tc>
          <w:tcPr>
            <w:tcW w:w="2646" w:type="dxa"/>
          </w:tcPr>
          <w:p w14:paraId="67F9E049" w14:textId="77777777" w:rsidR="003D69C7" w:rsidRDefault="00000000">
            <w:r>
              <w:rPr>
                <w:sz w:val="20"/>
              </w:rPr>
              <w:t>Renter median income / overall median income</w:t>
            </w:r>
          </w:p>
        </w:tc>
        <w:tc>
          <w:tcPr>
            <w:tcW w:w="2646" w:type="dxa"/>
          </w:tcPr>
          <w:p w14:paraId="781E3F7C" w14:textId="77777777" w:rsidR="003D69C7" w:rsidRDefault="00000000">
            <w:r>
              <w:rPr>
                <w:sz w:val="20"/>
              </w:rPr>
              <w:t>Ratio (0–1)</w:t>
            </w:r>
          </w:p>
        </w:tc>
      </w:tr>
      <w:tr w:rsidR="003D69C7" w14:paraId="1F926FCC" w14:textId="77777777">
        <w:trPr>
          <w:jc w:val="center"/>
        </w:trPr>
        <w:tc>
          <w:tcPr>
            <w:tcW w:w="2646" w:type="dxa"/>
            <w:shd w:val="clear" w:color="auto" w:fill="E8EDF6"/>
          </w:tcPr>
          <w:p w14:paraId="4AFE6046" w14:textId="77777777" w:rsidR="003D69C7" w:rsidRDefault="00000000">
            <w:r>
              <w:rPr>
                <w:sz w:val="20"/>
              </w:rPr>
              <w:t>income_gap</w:t>
            </w:r>
          </w:p>
        </w:tc>
        <w:tc>
          <w:tcPr>
            <w:tcW w:w="2646" w:type="dxa"/>
            <w:shd w:val="clear" w:color="auto" w:fill="E8EDF6"/>
          </w:tcPr>
          <w:p w14:paraId="1BC04894" w14:textId="77777777" w:rsidR="003D69C7" w:rsidRDefault="00000000">
            <w:r>
              <w:rPr>
                <w:sz w:val="20"/>
              </w:rPr>
              <w:t>Median HH income − Renter median income</w:t>
            </w:r>
          </w:p>
        </w:tc>
        <w:tc>
          <w:tcPr>
            <w:tcW w:w="2646" w:type="dxa"/>
            <w:shd w:val="clear" w:color="auto" w:fill="E8EDF6"/>
          </w:tcPr>
          <w:p w14:paraId="3AAD25DD" w14:textId="77777777" w:rsidR="003D69C7" w:rsidRDefault="00000000">
            <w:r>
              <w:rPr>
                <w:sz w:val="20"/>
              </w:rPr>
              <w:t>USD</w:t>
            </w:r>
          </w:p>
        </w:tc>
      </w:tr>
      <w:tr w:rsidR="003D69C7" w14:paraId="5112E1AA" w14:textId="77777777">
        <w:trPr>
          <w:jc w:val="center"/>
        </w:trPr>
        <w:tc>
          <w:tcPr>
            <w:tcW w:w="2646" w:type="dxa"/>
          </w:tcPr>
          <w:p w14:paraId="4FD796C9" w14:textId="77777777" w:rsidR="003D69C7" w:rsidRDefault="00000000">
            <w:r>
              <w:rPr>
                <w:sz w:val="20"/>
              </w:rPr>
              <w:t>market_tightness</w:t>
            </w:r>
          </w:p>
        </w:tc>
        <w:tc>
          <w:tcPr>
            <w:tcW w:w="2646" w:type="dxa"/>
          </w:tcPr>
          <w:p w14:paraId="1CC08745" w14:textId="77777777" w:rsidR="003D69C7" w:rsidRDefault="00000000">
            <w:r>
              <w:rPr>
                <w:sz w:val="20"/>
              </w:rPr>
              <w:t>1 / (rental_vacancy_rate + 0.005)</w:t>
            </w:r>
          </w:p>
        </w:tc>
        <w:tc>
          <w:tcPr>
            <w:tcW w:w="2646" w:type="dxa"/>
          </w:tcPr>
          <w:p w14:paraId="21122B46" w14:textId="77777777" w:rsidR="003D69C7" w:rsidRDefault="00000000">
            <w:r>
              <w:rPr>
                <w:sz w:val="20"/>
              </w:rPr>
              <w:t>Index</w:t>
            </w:r>
          </w:p>
        </w:tc>
      </w:tr>
      <w:tr w:rsidR="003D69C7" w14:paraId="363DC58F" w14:textId="77777777">
        <w:trPr>
          <w:jc w:val="center"/>
        </w:trPr>
        <w:tc>
          <w:tcPr>
            <w:tcW w:w="2646" w:type="dxa"/>
            <w:shd w:val="clear" w:color="auto" w:fill="E8EDF6"/>
          </w:tcPr>
          <w:p w14:paraId="5C680A4D" w14:textId="77777777" w:rsidR="003D69C7" w:rsidRDefault="00000000">
            <w:r>
              <w:rPr>
                <w:sz w:val="20"/>
              </w:rPr>
              <w:t>housing_burden_composite</w:t>
            </w:r>
          </w:p>
        </w:tc>
        <w:tc>
          <w:tcPr>
            <w:tcW w:w="2646" w:type="dxa"/>
            <w:shd w:val="clear" w:color="auto" w:fill="E8EDF6"/>
          </w:tcPr>
          <w:p w14:paraId="1E601A1F" w14:textId="77777777" w:rsidR="003D69C7" w:rsidRDefault="00000000">
            <w:r>
              <w:rPr>
                <w:sz w:val="20"/>
              </w:rPr>
              <w:t>Unemployment rate + Severe crowding rate</w:t>
            </w:r>
          </w:p>
        </w:tc>
        <w:tc>
          <w:tcPr>
            <w:tcW w:w="2646" w:type="dxa"/>
            <w:shd w:val="clear" w:color="auto" w:fill="E8EDF6"/>
          </w:tcPr>
          <w:p w14:paraId="67D6CB2F" w14:textId="77777777" w:rsidR="003D69C7" w:rsidRDefault="00000000">
            <w:r>
              <w:rPr>
                <w:sz w:val="20"/>
              </w:rPr>
              <w:t>Proportion</w:t>
            </w:r>
          </w:p>
        </w:tc>
      </w:tr>
      <w:tr w:rsidR="003D69C7" w14:paraId="37F4036B" w14:textId="77777777">
        <w:trPr>
          <w:jc w:val="center"/>
        </w:trPr>
        <w:tc>
          <w:tcPr>
            <w:tcW w:w="2646" w:type="dxa"/>
          </w:tcPr>
          <w:p w14:paraId="7AD0BF9C" w14:textId="77777777" w:rsidR="003D69C7" w:rsidRDefault="00000000">
            <w:r>
              <w:rPr>
                <w:sz w:val="20"/>
              </w:rPr>
              <w:t>supply_pipeline_rate</w:t>
            </w:r>
          </w:p>
        </w:tc>
        <w:tc>
          <w:tcPr>
            <w:tcW w:w="2646" w:type="dxa"/>
          </w:tcPr>
          <w:p w14:paraId="3553BA82" w14:textId="77777777" w:rsidR="003D69C7" w:rsidRDefault="00000000">
            <w:r>
              <w:rPr>
                <w:sz w:val="20"/>
              </w:rPr>
              <w:t>New permits / Population × 10,000</w:t>
            </w:r>
          </w:p>
        </w:tc>
        <w:tc>
          <w:tcPr>
            <w:tcW w:w="2646" w:type="dxa"/>
          </w:tcPr>
          <w:p w14:paraId="6826EA36" w14:textId="77777777" w:rsidR="003D69C7" w:rsidRDefault="00000000">
            <w:r>
              <w:rPr>
                <w:sz w:val="20"/>
              </w:rPr>
              <w:t>Units/10K pop</w:t>
            </w:r>
          </w:p>
        </w:tc>
      </w:tr>
      <w:tr w:rsidR="003D69C7" w14:paraId="1A6555D1" w14:textId="77777777">
        <w:trPr>
          <w:jc w:val="center"/>
        </w:trPr>
        <w:tc>
          <w:tcPr>
            <w:tcW w:w="2646" w:type="dxa"/>
            <w:shd w:val="clear" w:color="auto" w:fill="E8EDF6"/>
          </w:tcPr>
          <w:p w14:paraId="2733E5A2" w14:textId="77777777" w:rsidR="003D69C7" w:rsidRDefault="00000000">
            <w:r>
              <w:rPr>
                <w:sz w:val="20"/>
              </w:rPr>
              <w:t>government_support_index</w:t>
            </w:r>
          </w:p>
        </w:tc>
        <w:tc>
          <w:tcPr>
            <w:tcW w:w="2646" w:type="dxa"/>
            <w:shd w:val="clear" w:color="auto" w:fill="E8EDF6"/>
          </w:tcPr>
          <w:p w14:paraId="0CFD2F74" w14:textId="77777777" w:rsidR="003D69C7" w:rsidRDefault="00000000">
            <w:r>
              <w:rPr>
                <w:sz w:val="20"/>
              </w:rPr>
              <w:t>FHA/VA loan pct + Housing voucher pct</w:t>
            </w:r>
          </w:p>
        </w:tc>
        <w:tc>
          <w:tcPr>
            <w:tcW w:w="2646" w:type="dxa"/>
            <w:shd w:val="clear" w:color="auto" w:fill="E8EDF6"/>
          </w:tcPr>
          <w:p w14:paraId="68122013" w14:textId="77777777" w:rsidR="003D69C7" w:rsidRDefault="00000000">
            <w:r>
              <w:rPr>
                <w:sz w:val="20"/>
              </w:rPr>
              <w:t>Proportion</w:t>
            </w:r>
          </w:p>
        </w:tc>
      </w:tr>
      <w:tr w:rsidR="003D69C7" w14:paraId="07D9CC06" w14:textId="77777777">
        <w:trPr>
          <w:jc w:val="center"/>
        </w:trPr>
        <w:tc>
          <w:tcPr>
            <w:tcW w:w="2646" w:type="dxa"/>
          </w:tcPr>
          <w:p w14:paraId="3C99EF65" w14:textId="77777777" w:rsidR="003D69C7" w:rsidRDefault="00000000">
            <w:r>
              <w:rPr>
                <w:sz w:val="20"/>
              </w:rPr>
              <w:t>economic_vulnerability_idx</w:t>
            </w:r>
          </w:p>
        </w:tc>
        <w:tc>
          <w:tcPr>
            <w:tcW w:w="2646" w:type="dxa"/>
          </w:tcPr>
          <w:p w14:paraId="7881BF91" w14:textId="77777777" w:rsidR="003D69C7" w:rsidRDefault="00000000">
            <w:r>
              <w:rPr>
                <w:sz w:val="20"/>
              </w:rPr>
              <w:t>0.4×(1−renter_ratio) + 0.4×unemp + 0.2×crowding</w:t>
            </w:r>
          </w:p>
        </w:tc>
        <w:tc>
          <w:tcPr>
            <w:tcW w:w="2646" w:type="dxa"/>
          </w:tcPr>
          <w:p w14:paraId="249F21A0" w14:textId="77777777" w:rsidR="003D69C7" w:rsidRDefault="00000000">
            <w:r>
              <w:rPr>
                <w:sz w:val="20"/>
              </w:rPr>
              <w:t>Index (0–1)</w:t>
            </w:r>
          </w:p>
        </w:tc>
      </w:tr>
      <w:tr w:rsidR="003D69C7" w14:paraId="3923C2FF" w14:textId="77777777">
        <w:trPr>
          <w:jc w:val="center"/>
        </w:trPr>
        <w:tc>
          <w:tcPr>
            <w:tcW w:w="2646" w:type="dxa"/>
            <w:shd w:val="clear" w:color="auto" w:fill="E8EDF6"/>
          </w:tcPr>
          <w:p w14:paraId="4974ADF0" w14:textId="77777777" w:rsidR="003D69C7" w:rsidRDefault="00000000">
            <w:r>
              <w:rPr>
                <w:sz w:val="20"/>
              </w:rPr>
              <w:t>permit_growth_yoy</w:t>
            </w:r>
          </w:p>
        </w:tc>
        <w:tc>
          <w:tcPr>
            <w:tcW w:w="2646" w:type="dxa"/>
            <w:shd w:val="clear" w:color="auto" w:fill="E8EDF6"/>
          </w:tcPr>
          <w:p w14:paraId="1C41AD07" w14:textId="77777777" w:rsidR="003D69C7" w:rsidRDefault="00000000">
            <w:r>
              <w:rPr>
                <w:sz w:val="20"/>
              </w:rPr>
              <w:t>YoY % change in new building permits</w:t>
            </w:r>
          </w:p>
        </w:tc>
        <w:tc>
          <w:tcPr>
            <w:tcW w:w="2646" w:type="dxa"/>
            <w:shd w:val="clear" w:color="auto" w:fill="E8EDF6"/>
          </w:tcPr>
          <w:p w14:paraId="1E979B0B" w14:textId="77777777" w:rsidR="003D69C7" w:rsidRDefault="00000000">
            <w:r>
              <w:rPr>
                <w:sz w:val="20"/>
              </w:rPr>
              <w:t>Proportion</w:t>
            </w:r>
          </w:p>
        </w:tc>
      </w:tr>
    </w:tbl>
    <w:p w14:paraId="2BFC8DD9" w14:textId="77777777" w:rsidR="003D69C7" w:rsidRDefault="003D69C7"/>
    <w:p w14:paraId="12DA962D" w14:textId="77777777" w:rsidR="003D69C7" w:rsidRDefault="00000000">
      <w:pPr>
        <w:pStyle w:val="Heading2"/>
      </w:pPr>
      <w:r>
        <w:t>Appendix B: Software and Reproducibility</w:t>
      </w:r>
    </w:p>
    <w:p w14:paraId="66BFF5BE" w14:textId="77777777" w:rsidR="003D69C7" w:rsidRDefault="00000000">
      <w:r>
        <w:t>All analyses were conducted in Python 3.12 using the following key libraries:</w:t>
      </w:r>
    </w:p>
    <w:p w14:paraId="6D43591B" w14:textId="77777777" w:rsidR="003D69C7" w:rsidRDefault="00000000">
      <w:pPr>
        <w:pStyle w:val="ListBullet"/>
        <w:spacing w:after="60"/>
        <w:ind w:left="567"/>
      </w:pPr>
      <w:r>
        <w:lastRenderedPageBreak/>
        <w:t>pandas 2.0.0, NumPy 1.26.4</w:t>
      </w:r>
    </w:p>
    <w:p w14:paraId="4BBE4DE7" w14:textId="77777777" w:rsidR="003D69C7" w:rsidRDefault="00000000">
      <w:pPr>
        <w:pStyle w:val="ListBullet"/>
        <w:spacing w:after="60"/>
        <w:ind w:left="567"/>
      </w:pPr>
      <w:r>
        <w:t>scikit-learn (RandomForestRegressor, SimpleImputer, MinMaxScaler)</w:t>
      </w:r>
    </w:p>
    <w:p w14:paraId="5EBF82BD" w14:textId="77777777" w:rsidR="003D69C7" w:rsidRDefault="00000000">
      <w:pPr>
        <w:pStyle w:val="ListBullet"/>
        <w:spacing w:after="60"/>
        <w:ind w:left="567"/>
      </w:pPr>
      <w:r>
        <w:t>XGBoost (xgb.XGBRegressor)</w:t>
      </w:r>
    </w:p>
    <w:p w14:paraId="7407751B" w14:textId="77777777" w:rsidR="003D69C7" w:rsidRDefault="00000000">
      <w:pPr>
        <w:pStyle w:val="ListBullet"/>
        <w:spacing w:after="60"/>
        <w:ind w:left="567"/>
      </w:pPr>
      <w:r>
        <w:t>TensorFlow 2.18.0 / Keras (LSTM, BatchNormalization, ReduceLROnPlateau)</w:t>
      </w:r>
    </w:p>
    <w:p w14:paraId="5D2494F4" w14:textId="77777777" w:rsidR="003D69C7" w:rsidRDefault="00000000">
      <w:pPr>
        <w:pStyle w:val="ListBullet"/>
        <w:spacing w:after="60"/>
        <w:ind w:left="567"/>
      </w:pPr>
      <w:r>
        <w:t>SHAP (TreeExplainer)</w:t>
      </w:r>
    </w:p>
    <w:p w14:paraId="5F733020" w14:textId="77777777" w:rsidR="003D69C7" w:rsidRDefault="00000000">
      <w:pPr>
        <w:pStyle w:val="ListBullet"/>
        <w:spacing w:after="60"/>
        <w:ind w:left="567"/>
      </w:pPr>
      <w:r>
        <w:t>matplotlib, seaborn (visualization)</w:t>
      </w:r>
    </w:p>
    <w:p w14:paraId="610A3382" w14:textId="77777777" w:rsidR="003D69C7" w:rsidRDefault="00000000">
      <w:r>
        <w:t xml:space="preserve">The full analysis pipeline is implemented in </w:t>
      </w:r>
      <w:r>
        <w:rPr>
          <w:rFonts w:ascii="Courier New" w:hAnsi="Courier New"/>
          <w:sz w:val="20"/>
        </w:rPr>
        <w:t>NYC_Housing_Affordability_Forecasting.ipynb</w:t>
      </w:r>
      <w:r>
        <w:t>. All 16 input CSV files, the merged dataset (</w:t>
      </w:r>
      <w:r>
        <w:rPr>
          <w:rFonts w:ascii="Courier New" w:hAnsi="Courier New"/>
          <w:sz w:val="20"/>
        </w:rPr>
        <w:t>nyc_affordability_full_dataset.csv</w:t>
      </w:r>
      <w:r>
        <w:t>), forecast results (</w:t>
      </w:r>
      <w:r>
        <w:rPr>
          <w:rFonts w:ascii="Courier New" w:hAnsi="Courier New"/>
          <w:sz w:val="20"/>
        </w:rPr>
        <w:t>nyc_affordability_forecast_2024_2027.csv</w:t>
      </w:r>
      <w:r>
        <w:t>), model performance (</w:t>
      </w:r>
      <w:r>
        <w:rPr>
          <w:rFonts w:ascii="Courier New" w:hAnsi="Courier New"/>
          <w:sz w:val="20"/>
        </w:rPr>
        <w:t>model_performance_results.csv</w:t>
      </w:r>
      <w:r>
        <w:t>), and SHAP importance (</w:t>
      </w:r>
      <w:r>
        <w:rPr>
          <w:rFonts w:ascii="Courier New" w:hAnsi="Courier New"/>
          <w:sz w:val="20"/>
        </w:rPr>
        <w:t>shap_feature_importance.csv</w:t>
      </w:r>
      <w:r>
        <w:t>) are included in the repository.</w:t>
      </w:r>
    </w:p>
    <w:p w14:paraId="5F66F40B" w14:textId="77777777" w:rsidR="003D69C7" w:rsidRDefault="003D69C7">
      <w:pPr>
        <w:pBdr>
          <w:bottom w:val="single" w:sz="6" w:space="1" w:color="1A376C"/>
        </w:pBdr>
      </w:pPr>
    </w:p>
    <w:p w14:paraId="0BAD2078" w14:textId="77777777" w:rsidR="003D69C7" w:rsidRDefault="00000000">
      <w:pPr>
        <w:jc w:val="center"/>
      </w:pPr>
      <w:r>
        <w:rPr>
          <w:i/>
        </w:rPr>
        <w:t>Word count: approximately 6,200 words (excluding tables and appendices)</w:t>
      </w:r>
    </w:p>
    <w:p w14:paraId="0BC3403D" w14:textId="77777777" w:rsidR="003D69C7" w:rsidRDefault="00000000">
      <w:pPr>
        <w:jc w:val="center"/>
      </w:pPr>
      <w:r>
        <w:rPr>
          <w:i/>
        </w:rPr>
        <w:t>Figures: 22 publication-quality PNG figures generated by the notebook</w:t>
      </w:r>
    </w:p>
    <w:p w14:paraId="5C8410D1" w14:textId="77777777" w:rsidR="003D69C7" w:rsidRDefault="00000000">
      <w:pPr>
        <w:jc w:val="center"/>
      </w:pPr>
      <w:r>
        <w:rPr>
          <w:i/>
        </w:rPr>
        <w:t>Data period: 2005–2023 (historical) | 2024–2027 (forecast)</w:t>
      </w:r>
    </w:p>
    <w:sectPr w:rsidR="003D69C7" w:rsidSect="00034616">
      <w:footerReference w:type="even" r:id="rId8"/>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5E695" w14:textId="77777777" w:rsidR="00577665" w:rsidRDefault="00577665" w:rsidP="00660B18">
      <w:pPr>
        <w:spacing w:after="0" w:line="240" w:lineRule="auto"/>
      </w:pPr>
      <w:r>
        <w:separator/>
      </w:r>
    </w:p>
  </w:endnote>
  <w:endnote w:type="continuationSeparator" w:id="0">
    <w:p w14:paraId="287FF634" w14:textId="77777777" w:rsidR="00577665" w:rsidRDefault="00577665" w:rsidP="00660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5876294"/>
      <w:docPartObj>
        <w:docPartGallery w:val="Page Numbers (Bottom of Page)"/>
        <w:docPartUnique/>
      </w:docPartObj>
    </w:sdtPr>
    <w:sdtContent>
      <w:p w14:paraId="12E892B9" w14:textId="756510AC" w:rsidR="000B18E7" w:rsidRDefault="000B18E7" w:rsidP="00987E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9F9373" w14:textId="77777777" w:rsidR="000B18E7" w:rsidRDefault="000B18E7" w:rsidP="000B18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1496688"/>
      <w:docPartObj>
        <w:docPartGallery w:val="Page Numbers (Bottom of Page)"/>
        <w:docPartUnique/>
      </w:docPartObj>
    </w:sdtPr>
    <w:sdtContent>
      <w:p w14:paraId="44D3BCE3" w14:textId="1F21C7BA" w:rsidR="000B18E7" w:rsidRDefault="000B18E7" w:rsidP="00987E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530D6B21" w14:textId="77777777" w:rsidR="000B18E7" w:rsidRDefault="000B18E7" w:rsidP="000B18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F277F" w14:textId="77777777" w:rsidR="00577665" w:rsidRDefault="00577665" w:rsidP="00660B18">
      <w:pPr>
        <w:spacing w:after="0" w:line="240" w:lineRule="auto"/>
      </w:pPr>
      <w:r>
        <w:separator/>
      </w:r>
    </w:p>
  </w:footnote>
  <w:footnote w:type="continuationSeparator" w:id="0">
    <w:p w14:paraId="5112C6BF" w14:textId="77777777" w:rsidR="00577665" w:rsidRDefault="00577665" w:rsidP="00660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574264">
    <w:abstractNumId w:val="8"/>
  </w:num>
  <w:num w:numId="2" w16cid:durableId="734813688">
    <w:abstractNumId w:val="6"/>
  </w:num>
  <w:num w:numId="3" w16cid:durableId="1325091602">
    <w:abstractNumId w:val="5"/>
  </w:num>
  <w:num w:numId="4" w16cid:durableId="184177247">
    <w:abstractNumId w:val="4"/>
  </w:num>
  <w:num w:numId="5" w16cid:durableId="728116280">
    <w:abstractNumId w:val="7"/>
  </w:num>
  <w:num w:numId="6" w16cid:durableId="889194937">
    <w:abstractNumId w:val="3"/>
  </w:num>
  <w:num w:numId="7" w16cid:durableId="1584029368">
    <w:abstractNumId w:val="2"/>
  </w:num>
  <w:num w:numId="8" w16cid:durableId="1236696157">
    <w:abstractNumId w:val="1"/>
  </w:num>
  <w:num w:numId="9" w16cid:durableId="162276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E7"/>
    <w:rsid w:val="0015074B"/>
    <w:rsid w:val="0029639D"/>
    <w:rsid w:val="002F527A"/>
    <w:rsid w:val="00326F90"/>
    <w:rsid w:val="003D69C7"/>
    <w:rsid w:val="00577665"/>
    <w:rsid w:val="00660B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1A133"/>
  <w14:defaultImageDpi w14:val="300"/>
  <w15:docId w15:val="{CD5DA801-0671-5D43-A53E-0D71AABE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1A376C"/>
      <w:sz w:val="32"/>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A376C"/>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A376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660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6532</Words>
  <Characters>37235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Azizur Rahman</cp:lastModifiedBy>
  <cp:revision>2</cp:revision>
  <dcterms:created xsi:type="dcterms:W3CDTF">2013-12-23T23:15:00Z</dcterms:created>
  <dcterms:modified xsi:type="dcterms:W3CDTF">2026-02-18T08:26:00Z</dcterms:modified>
  <cp:category/>
</cp:coreProperties>
</file>