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8E"/>
          <w:sz w:val="32"/>
        </w:rPr>
        <w:t>Beyond Binary: Four-Class Risk Stratification from Gastrointestinal</w:t>
        <w:br/>
        <w:t>Endoscopy Using Asymmetric-Cost CNN-Transformer Learning</w:t>
        <w:br/>
        <w:t>and Demographic Equity Analysis</w:t>
      </w:r>
    </w:p>
    <w:p/>
    <w:p>
      <w:pPr>
        <w:jc w:val="center"/>
      </w:pPr>
      <w:r>
        <w:rPr>
          <w:b/>
          <w:sz w:val="24"/>
        </w:rPr>
        <w:t>Azizur Rahman</w:t>
      </w:r>
    </w:p>
    <w:p>
      <w:pPr>
        <w:jc w:val="center"/>
      </w:pPr>
      <w:r>
        <w:rPr>
          <w:i/>
          <w:sz w:val="22"/>
        </w:rPr>
        <w:t>Indiana Wesleyan University · RadTH Technologies</w:t>
        <w:br/>
        <w:t>azizurusa22@gmail.com</w:t>
      </w:r>
    </w:p>
    <w:p/>
    <w:p>
      <w:pPr>
        <w:jc w:val="center"/>
      </w:pPr>
      <w:r>
        <w:rPr>
          <w:i/>
          <w:color w:val="777777"/>
          <w:sz w:val="20"/>
        </w:rPr>
        <w:t>Target Venue: Computers in Biology and Medicine</w:t>
      </w:r>
    </w:p>
    <w:p>
      <w:r>
        <w:br w:type="page"/>
      </w:r>
    </w:p>
    <w:p>
      <w:pPr>
        <w:pStyle w:val="Heading1"/>
        <w:spacing w:before="280" w:after="80"/>
      </w:pPr>
      <w:r>
        <w:rPr>
          <w:color w:val="1A5C8E"/>
        </w:rPr>
        <w:t>Abstract</w:t>
      </w:r>
    </w:p>
    <w:p>
      <w:pPr>
        <w:spacing w:after="120"/>
        <w:ind w:firstLine="360"/>
      </w:pPr>
      <w:r>
        <w:rPr>
          <w:color w:val="000000"/>
          <w:sz w:val="22"/>
        </w:rPr>
        <w:t>Gastrointestinal (GI) cancers account for over 3.5 million deaths annually, yet early-stage lesions remain undetected in up to 26% of endoscopic examinations due to subtle mucosal changes and endoscopist fatigue. Existing AI-assisted endoscopy systems reduce this complex clinical decision to a binary lesion-present/absent output that does not correspond to any actionable clinical classification scheme and offers no guidance on urgency of intervention. We address this gap by presenting the first CNN-vs-Transformer benchmark for four-class gastrointestinal lesion risk stratification, directly aligned with American College of Gastroenterology (ACG) and European Society of Gastrointestinal Endoscopy (ESGE) clinical practice guidelines.</w:t>
      </w:r>
    </w:p>
    <w:p>
      <w:pPr>
        <w:spacing w:after="120"/>
        <w:ind w:firstLine="360"/>
      </w:pPr>
      <w:r>
        <w:rPr>
          <w:color w:val="000000"/>
          <w:sz w:val="22"/>
        </w:rPr>
        <w:t>We map 23 HyperKvasir classes to four clinically actionable risk tiers — Normal (routine surveillance), Inflammatory (medical management), Pre-malignant (biopsy required), and High-Risk (immediate intervention) — and train four deep learning architectures (DenseNet-121, EfficientNet-B4, ViT-B/16, Swin-T) under a novel Asymmetric Endoscopy Loss (AEL) that assigns a 5× misclassification penalty to the High-Risk class, reflecting the clinical reality that missed High-Risk lesions reduce five-year survival from 90% to under 20%. CLAHE preprocessing enhances mucosal texture and vascular architecture prior to augmentation. Cross-dataset generalization is evaluated on Kvasir-v2. GradCAM heatmaps localize clinically meaningful features per risk tier, and Monte Carlo Dropout quantifies predictive uncertainty, flagging borderline cases for mandatory endoscopist review. An endoscopist workload simulation quantifies burden reduction while maintaining zero missed High-Risk lesions. Demographic equity is assessed using the Cross-Demographic Consistency of Tier-level Equity Index (CD-CTEI) across age and sex subgroups.</w:t>
      </w:r>
    </w:p>
    <w:p>
      <w:pPr>
        <w:spacing w:after="120"/>
        <w:ind w:firstLine="360"/>
      </w:pPr>
      <w:r>
        <w:rPr>
          <w:i/>
          <w:color w:val="000000"/>
          <w:sz w:val="22"/>
        </w:rPr>
        <w:t>Keywords: gastrointestinal endoscopy; risk stratification; asymmetric loss function; CNN-Transformer comparison; DenseNet; EfficientNet; Vision Transformer; Swin Transformer; GradCAM; Monte Carlo Dropout; clinical equity; HyperKvasir.</w:t>
      </w:r>
    </w:p>
    <w:p>
      <w:pPr>
        <w:pStyle w:val="Heading1"/>
        <w:spacing w:before="280" w:after="80"/>
      </w:pPr>
      <w:r>
        <w:rPr>
          <w:color w:val="1A5C8E"/>
        </w:rPr>
        <w:t>1. Introduction</w:t>
      </w:r>
    </w:p>
    <w:p>
      <w:pPr>
        <w:spacing w:after="120"/>
        <w:ind w:firstLine="360"/>
      </w:pPr>
      <w:r>
        <w:rPr>
          <w:color w:val="000000"/>
          <w:sz w:val="22"/>
        </w:rPr>
        <w:t>Gastrointestinal cancers — encompassing colorectal, gastric, oesophageal, and small bowel malignancies — collectively represent the leading cause of cancer-related mortality worldwide, accounting for approximately 3.5 million deaths annually (Sung et al., 2021). The vast majority of these deaths are preventable: when detected at Stage I, colorectal cancer carries a five-year survival rate exceeding 90%; when detected at Stage IV, this figure falls to below 14% (American Cancer Society, 2023). Endoscopy is the gold-standard screening modality, yet population-level miss rates for precancerous lesions remain alarmingly high. Adenoma detection rates vary substantially across endoscopists, and landmark studies have demonstrated that a 1% increase in adenoma detection rate correlates with a 3% reduction in interval colorectal cancer incidence (Corley et al., 2014). Human factors including fatigue, attentional drift, and experience heterogeneity contribute to a 26% miss rate for significant mucosal abnormalities (van Rijn et al., 2006).</w:t>
      </w:r>
    </w:p>
    <w:p>
      <w:pPr>
        <w:spacing w:after="120"/>
        <w:ind w:firstLine="360"/>
      </w:pPr>
      <w:r>
        <w:rPr>
          <w:color w:val="000000"/>
          <w:sz w:val="22"/>
        </w:rPr>
        <w:t>Artificial intelligence systems for GI endoscopy have grown substantially over the last decade. Convolutional neural networks (CNNs) have been applied to polyp detection (Misawa et al., 2018; Urban et al., 2018), Barrett's oesophagus grading (de Groof et al., 2020), and inflammatory bowel disease assessment. However, virtually all deployed systems operate as binary classifiers: lesion present vs. absent. This output does not map to any established clinical classification scheme, provides no guidance on urgency of intervention, and forces the endoscopist to independently assess severity — precisely the cognitively demanding task that AI assistance is intended to reduce.</w:t>
      </w:r>
    </w:p>
    <w:p>
      <w:pPr>
        <w:spacing w:after="120"/>
        <w:ind w:firstLine="360"/>
      </w:pPr>
      <w:r>
        <w:rPr>
          <w:color w:val="000000"/>
          <w:sz w:val="22"/>
        </w:rPr>
        <w:t>The American College of Gastroenterology (ACG) and European Society of Gastrointestinal Endoscopy (ESGE) publish widely adopted clinical practice guidelines that stratify GI findings into four actionable risk categories, each carrying a distinct recommended clinical response: routine surveillance intervals for normal findings; medical management and annual follow-up for inflammatory lesions; mandatory biopsy with 3–6 month surveillance for pre-malignant findings; and immediate resection or oncology referral for high-risk lesions (Shaukat et al., 2021; Bisschops et al., 2022). An AI system whose output is directly aligned with these guidelines can generate actionable triage decisions rather than binary flags, and can be evaluated against clinically meaningful performance criteria (e.g., zero missed High-Risk lesions).</w:t>
      </w:r>
    </w:p>
    <w:p>
      <w:pPr>
        <w:spacing w:after="120"/>
        <w:ind w:firstLine="360"/>
      </w:pPr>
      <w:r>
        <w:rPr>
          <w:color w:val="000000"/>
          <w:sz w:val="22"/>
        </w:rPr>
        <w:t>The introduction of Vision Transformers (ViT; Dosovitskiy et al., 2020) and hierarchical variants including the Swin Transformer (Liu et al., 2021) has raised important questions about the relative merits of attention-based vs. convolutional inductive biases for medical image analysis. Transformers capture global context through self-attention — potentially beneficial for mucosal pattern recognition across the full endoscopic frame — but require large pre-training corpora and differ substantially from CNNs in their feature extraction mechanism. No published work has conducted a systematic CNN-vs-Transformer benchmark under a clinically aligned multi-class endoscopy task.</w:t>
      </w:r>
    </w:p>
    <w:p>
      <w:pPr>
        <w:spacing w:after="120"/>
        <w:ind w:firstLine="360"/>
      </w:pPr>
      <w:r>
        <w:rPr>
          <w:color w:val="000000"/>
          <w:sz w:val="22"/>
        </w:rPr>
        <w:t>In this paper we make the following contributions: (1) the first four-class GI lesion risk stratification framework directly aligned with ACG/ESGE clinical practice guidelines; (2) a novel Asymmetric Endoscopy Loss (AEL) that encodes clinical cost asymmetry through class-specific misclassification weights derived from guideline-mandated intervention urgency; (3) the first systematic CNN-vs-Transformer benchmark (DenseNet-121, EfficientNet-B4, ViT-B/16, Swin-T) on this four-class task; (4) cross-dataset generalisation evaluation on an independent Kvasir-v2 cohort; (5) GradCAM explainability localising clinically meaningful features per risk tier; (6) Monte Carlo Dropout uncertainty quantification with a risk-adaptive referral protocol; (7) an AEL ablation study against standard cross-entropy and Focal Loss; (8) an endoscopist workload simulation quantifying AI-assisted burden reduction; and (9) CD-CTEI demographic equity analysis across age and sex subgroups.</w:t>
      </w:r>
    </w:p>
    <w:p>
      <w:pPr>
        <w:pStyle w:val="Heading1"/>
        <w:spacing w:before="280" w:after="80"/>
      </w:pPr>
      <w:r>
        <w:rPr>
          <w:color w:val="1A5C8E"/>
        </w:rPr>
        <w:t>2. Related Work</w:t>
      </w:r>
    </w:p>
    <w:p>
      <w:pPr>
        <w:pStyle w:val="Heading2"/>
        <w:spacing w:before="200" w:after="40"/>
      </w:pPr>
      <w:r>
        <w:rPr>
          <w:color w:val="1A5C8E"/>
        </w:rPr>
        <w:t>2.1 AI for Gastrointestinal Endoscopy</w:t>
      </w:r>
    </w:p>
    <w:p>
      <w:pPr>
        <w:spacing w:after="120"/>
        <w:ind w:firstLine="360"/>
      </w:pPr>
      <w:r>
        <w:rPr>
          <w:color w:val="000000"/>
          <w:sz w:val="22"/>
        </w:rPr>
        <w:t>Deep learning has been applied across multiple GI endoscopy tasks. For polyp detection, Misawa et al. (2018) demonstrated real-time CNN-based detection with sensitivity comparable to experienced endoscopists. Urban et al. (2018) achieved 96% accuracy on screening colonoscopy using a deeply supervised CNN. For Barrett's oesophagus, de Groof et al. (2020) showed that CNNs can delineate neoplastic regions with accuracy exceeding that of community gastroenterologists. For inflammatory bowel disease, deep learning has been used to predict endoscopic remission and grade mucosal healing. Despite this breadth, all of these systems treat the endoscopy AI problem as binary classification or detection. None produces output aligned with clinical risk stratification schemas that would directly inform clinical decision pathways.</w:t>
      </w:r>
    </w:p>
    <w:p>
      <w:pPr>
        <w:spacing w:after="120"/>
        <w:ind w:firstLine="360"/>
      </w:pPr>
      <w:r>
        <w:rPr>
          <w:color w:val="000000"/>
          <w:sz w:val="22"/>
        </w:rPr>
        <w:t>HyperKvasir (Borgli et al., 2020) represents the most comprehensive publicly available GI endoscopy dataset, containing 110,079 images across 23 labeled and unlabeled classes spanning the full GI tract. It has been used for multi-class classification (Thambawita et al., 2021) but not for ACG/ESGE-aligned risk stratification. Kvasir-v2 (Pogorelov et al., 2017) provides an independent 8,000-image cohort for cross-dataset evaluation.</w:t>
      </w:r>
    </w:p>
    <w:p>
      <w:pPr>
        <w:pStyle w:val="Heading2"/>
        <w:spacing w:before="200" w:after="40"/>
      </w:pPr>
      <w:r>
        <w:rPr>
          <w:color w:val="1A5C8E"/>
        </w:rPr>
        <w:t>2.2 CNN vs. Vision Transformer in Medical Imaging</w:t>
      </w:r>
    </w:p>
    <w:p>
      <w:pPr>
        <w:spacing w:after="120"/>
        <w:ind w:firstLine="360"/>
      </w:pPr>
      <w:r>
        <w:rPr>
          <w:color w:val="000000"/>
          <w:sz w:val="22"/>
        </w:rPr>
        <w:t>Dosovitskiy et al. (2020) demonstrated that pure self-attention architectures can match or exceed CNNs on image classification when pre-trained at sufficient scale. Liu et al. (2021) introduced the Swin Transformer, which uses hierarchical shifted-window attention to achieve computational efficiency while retaining multi-scale feature extraction properties important for dense prediction tasks. In medical imaging, CNNs have long been the dominant paradigm; however, recent comparative studies suggest that Transformers offer advantages for tasks requiring long-range spatial context, such as lesion boundary detection and diffuse tissue change assessment. To date, no systematic benchmark has compared CNNs and Transformers on a clinically aligned multi-class GI risk stratification task using identical training conditions, loss functions, and evaluation protocols.</w:t>
      </w:r>
    </w:p>
    <w:p>
      <w:pPr>
        <w:pStyle w:val="Heading2"/>
        <w:spacing w:before="200" w:after="40"/>
      </w:pPr>
      <w:r>
        <w:rPr>
          <w:color w:val="1A5C8E"/>
        </w:rPr>
        <w:t>2.3 Asymmetric and Clinically-Weighted Loss Functions</w:t>
      </w:r>
    </w:p>
    <w:p>
      <w:pPr>
        <w:spacing w:after="120"/>
        <w:ind w:firstLine="360"/>
      </w:pPr>
      <w:r>
        <w:rPr>
          <w:color w:val="000000"/>
          <w:sz w:val="22"/>
        </w:rPr>
        <w:t>Standard cross-entropy loss assigns equal cost to all misclassification errors, which is clinically inappropriate in high-stakes medical settings. Lin et al. (2017) introduced Focal Loss to down-weight well-classified examples and focus learning on hard negatives, primarily for object detection. In clinical AI, asymmetric loss functions have been proposed to penalise false negatives more heavily than false positives in cancer screening contexts. Our Asymmetric Endoscopy Loss (AEL) differs from prior work in that its weight vector is derived explicitly from the ACG/ESGE clinical intervention hierarchy rather than from data-driven class frequency considerations, making the loss function directly interpretable in clinical terms.</w:t>
      </w:r>
    </w:p>
    <w:p>
      <w:pPr>
        <w:pStyle w:val="Heading2"/>
        <w:spacing w:before="200" w:after="40"/>
      </w:pPr>
      <w:r>
        <w:rPr>
          <w:color w:val="1A5C8E"/>
        </w:rPr>
        <w:t>2.4 Explainability and Uncertainty in Clinical AI</w:t>
      </w:r>
    </w:p>
    <w:p>
      <w:pPr>
        <w:spacing w:after="120"/>
        <w:ind w:firstLine="360"/>
      </w:pPr>
      <w:r>
        <w:rPr>
          <w:color w:val="000000"/>
          <w:sz w:val="22"/>
        </w:rPr>
        <w:t>GradCAM (Selvaraju et al., 2017) produces class-discriminative saliency maps by weighting feature maps with their gradient-derived importance, without requiring architectural modification. It has been widely applied in endoscopy AI to localise polyp regions, Barrett's mucosal changes, and ulcerative colitis patterns. Monte Carlo Dropout (Gal &amp; Ghahramani, 2016) provides a principled Bayesian approximation of predictive uncertainty by sampling from the posterior distribution via repeated stochastic forward passes at inference time. Uncertainty-aware referral protocols — deferring uncertain predictions to human experts — have been shown to improve effective system accuracy while reducing unnecessary human review burden.</w:t>
      </w:r>
    </w:p>
    <w:p>
      <w:pPr>
        <w:pStyle w:val="Heading2"/>
        <w:spacing w:before="200" w:after="40"/>
      </w:pPr>
      <w:r>
        <w:rPr>
          <w:color w:val="1A5C8E"/>
        </w:rPr>
        <w:t>2.5 Algorithmic Fairness in Medical AI</w:t>
      </w:r>
    </w:p>
    <w:p>
      <w:pPr>
        <w:spacing w:after="120"/>
        <w:ind w:firstLine="360"/>
      </w:pPr>
      <w:r>
        <w:rPr>
          <w:color w:val="000000"/>
          <w:sz w:val="22"/>
        </w:rPr>
        <w:t>Performance disparities across demographic subgroups represent a well-documented risk in clinical AI deployment. Obermeyer et al. (2019) demonstrated that commercial clinical risk algorithms exhibited systematic bias across racial subgroups. In endoscopy, performance variations across age groups are clinically significant because adenoma prevalence, mucosal morphology, and preparation quality all vary with age. We quantify demographic equity using CD-CTEI, a metric that captures performance consistency across subgroups while accounting for variance in within-group performance distributions.</w:t>
      </w:r>
    </w:p>
    <w:p>
      <w:pPr>
        <w:pStyle w:val="Heading1"/>
        <w:spacing w:before="280" w:after="80"/>
      </w:pPr>
      <w:r>
        <w:rPr>
          <w:color w:val="1A5C8E"/>
        </w:rPr>
        <w:t>3. Methodology</w:t>
      </w:r>
    </w:p>
    <w:p>
      <w:pPr>
        <w:pStyle w:val="Heading2"/>
        <w:spacing w:before="200" w:after="40"/>
      </w:pPr>
      <w:r>
        <w:rPr>
          <w:color w:val="1A5C8E"/>
        </w:rPr>
        <w:t>3.1 Datasets</w:t>
      </w:r>
    </w:p>
    <w:p>
      <w:pPr>
        <w:spacing w:after="120"/>
        <w:ind w:firstLine="360"/>
      </w:pPr>
      <w:r>
        <w:rPr>
          <w:color w:val="000000"/>
          <w:sz w:val="22"/>
        </w:rPr>
        <w:t>Primary training uses HyperKvasir (Borgli et al., 2020), the largest publicly available GI endoscopy dataset, comprising 110,079 images across 23 labeled classes spanning the complete upper and lower GI tract. The labeled image subset used in this work contains 23 class folders organised into anatomical landmarks, pathological findings, quality-of-mucosal-views, and therapeutic interventions. Quality-degraded classes (bbps-0-1, impacted-stool) are excluded from training.</w:t>
      </w:r>
    </w:p>
    <w:p>
      <w:pPr>
        <w:spacing w:after="120"/>
        <w:ind w:firstLine="360"/>
      </w:pPr>
      <w:r>
        <w:rPr>
          <w:color w:val="000000"/>
          <w:sz w:val="22"/>
        </w:rPr>
        <w:t>External validation uses Kvasir-v2 (Pogorelov et al., 2017), an independently collected dataset of 8,000 endoscopy images across 8 classes. All Kvasir-v2 classes are mapped to the same four-class risk schema and used exclusively for zero-shot cross-dataset evaluation; no Kvasir-v2 images appear in training or validation. The use of two independent datasets — collected by different institutions using different equipment — provides a strong test of model generalisation.</w:t>
      </w:r>
    </w:p>
    <w:p>
      <w:pPr>
        <w:pStyle w:val="Heading2"/>
        <w:spacing w:before="200" w:after="40"/>
      </w:pPr>
      <w:r>
        <w:rPr>
          <w:color w:val="1A5C8E"/>
        </w:rPr>
        <w:t>3.2 Four-Class Clinical Risk Schema</w:t>
      </w:r>
    </w:p>
    <w:p>
      <w:pPr>
        <w:spacing w:after="120"/>
        <w:ind w:firstLine="360"/>
      </w:pPr>
      <w:r>
        <w:rPr>
          <w:color w:val="000000"/>
          <w:sz w:val="22"/>
        </w:rPr>
        <w:t>We derive a four-class risk stratification schema from ACG colorectal cancer screening guidelines (Shaukat et al., 2021) and ESGE quality parameters for colonoscopy (Bisschops et al., 2022). Each HyperKvasir class is mapped to one of four clinically actionable risk tiers. The mapping prioritises clinical urgency of intervention rather than pathological severity alone, ensuring the schema is directly actionable by the referring endoscopist.</w:t>
      </w:r>
    </w:p>
    <w:p>
      <w:pPr>
        <w:spacing w:before="160" w:after="40"/>
      </w:pPr>
      <w:r>
        <w:rPr>
          <w:b/>
          <w:color w:val="1A5C8E"/>
          <w:sz w:val="20"/>
        </w:rPr>
        <w:t>Table 1. Four-class clinical risk schema with ACG/ESGE guideline alignment.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C8E"/>
          </w:tcPr>
          <w:p>
            <w:r>
              <w:rPr>
                <w:b/>
                <w:color w:val="FFFFFF"/>
                <w:sz w:val="20"/>
              </w:rPr>
              <w:t>Class</w:t>
            </w:r>
          </w:p>
        </w:tc>
        <w:tc>
          <w:tcPr>
            <w:tcW w:type="dxa" w:w="2160"/>
            <w:shd w:val="clear" w:color="auto" w:fill="1A5C8E"/>
          </w:tcPr>
          <w:p>
            <w:r>
              <w:rPr>
                <w:b/>
                <w:color w:val="FFFFFF"/>
                <w:sz w:val="20"/>
              </w:rPr>
              <w:t>Label</w:t>
            </w:r>
          </w:p>
        </w:tc>
        <w:tc>
          <w:tcPr>
            <w:tcW w:type="dxa" w:w="2160"/>
            <w:shd w:val="clear" w:color="auto" w:fill="1A5C8E"/>
          </w:tcPr>
          <w:p>
            <w:r>
              <w:rPr>
                <w:b/>
                <w:color w:val="FFFFFF"/>
                <w:sz w:val="20"/>
              </w:rPr>
              <w:t>HyperKvasir Source Classes</w:t>
            </w:r>
          </w:p>
        </w:tc>
        <w:tc>
          <w:tcPr>
            <w:tcW w:type="dxa" w:w="2160"/>
            <w:shd w:val="clear" w:color="auto" w:fill="1A5C8E"/>
          </w:tcPr>
          <w:p>
            <w:r>
              <w:rPr>
                <w:b/>
                <w:color w:val="FFFFFF"/>
                <w:sz w:val="20"/>
              </w:rPr>
              <w:t>Clinical Action</w:t>
            </w:r>
          </w:p>
        </w:tc>
      </w:tr>
      <w:tr>
        <w:tc>
          <w:tcPr>
            <w:tcW w:type="dxa" w:w="2160"/>
            <w:shd w:val="clear" w:color="auto" w:fill="EAF2FA"/>
          </w:tcPr>
          <w:p>
            <w:r>
              <w:rPr>
                <w:sz w:val="20"/>
              </w:rPr>
              <w:t>0</w:t>
            </w:r>
          </w:p>
        </w:tc>
        <w:tc>
          <w:tcPr>
            <w:tcW w:type="dxa" w:w="2160"/>
            <w:shd w:val="clear" w:color="auto" w:fill="EAF2FA"/>
          </w:tcPr>
          <w:p>
            <w:r>
              <w:rPr>
                <w:sz w:val="20"/>
              </w:rPr>
              <w:t>Normal</w:t>
            </w:r>
          </w:p>
        </w:tc>
        <w:tc>
          <w:tcPr>
            <w:tcW w:type="dxa" w:w="2160"/>
            <w:shd w:val="clear" w:color="auto" w:fill="EAF2FA"/>
          </w:tcPr>
          <w:p>
            <w:r>
              <w:rPr>
                <w:sz w:val="20"/>
              </w:rPr>
              <w:t>cecum, pylorus, z-line, retroflex-stomach, retroflex-rectum, ileum, bbps-2-3</w:t>
            </w:r>
          </w:p>
        </w:tc>
        <w:tc>
          <w:tcPr>
            <w:tcW w:type="dxa" w:w="2160"/>
            <w:shd w:val="clear" w:color="auto" w:fill="EAF2FA"/>
          </w:tcPr>
          <w:p>
            <w:r>
              <w:rPr>
                <w:sz w:val="20"/>
              </w:rPr>
              <w:t>Routine surveillance interval (5–10 years)</w:t>
            </w:r>
          </w:p>
        </w:tc>
      </w:tr>
      <w:tr>
        <w:tc>
          <w:tcPr>
            <w:tcW w:type="dxa" w:w="2160"/>
            <w:shd w:val="clear" w:color="auto" w:fill="FFFFFF"/>
          </w:tcPr>
          <w:p>
            <w:r>
              <w:rPr>
                <w:sz w:val="20"/>
              </w:rPr>
              <w:t>1</w:t>
            </w:r>
          </w:p>
        </w:tc>
        <w:tc>
          <w:tcPr>
            <w:tcW w:type="dxa" w:w="2160"/>
            <w:shd w:val="clear" w:color="auto" w:fill="FFFFFF"/>
          </w:tcPr>
          <w:p>
            <w:r>
              <w:rPr>
                <w:sz w:val="20"/>
              </w:rPr>
              <w:t>Inflammatory</w:t>
            </w:r>
          </w:p>
        </w:tc>
        <w:tc>
          <w:tcPr>
            <w:tcW w:type="dxa" w:w="2160"/>
            <w:shd w:val="clear" w:color="auto" w:fill="FFFFFF"/>
          </w:tcPr>
          <w:p>
            <w:r>
              <w:rPr>
                <w:sz w:val="20"/>
              </w:rPr>
              <w:t>esophagitis-a, ulcerative-colitis-grade-0-1, ulcerative-colitis-grade-1, hemorrhoids</w:t>
            </w:r>
          </w:p>
        </w:tc>
        <w:tc>
          <w:tcPr>
            <w:tcW w:type="dxa" w:w="2160"/>
            <w:shd w:val="clear" w:color="auto" w:fill="FFFFFF"/>
          </w:tcPr>
          <w:p>
            <w:r>
              <w:rPr>
                <w:sz w:val="20"/>
              </w:rPr>
              <w:t>Medical management + annual endoscopic follow-up</w:t>
            </w:r>
          </w:p>
        </w:tc>
      </w:tr>
      <w:tr>
        <w:tc>
          <w:tcPr>
            <w:tcW w:type="dxa" w:w="2160"/>
            <w:shd w:val="clear" w:color="auto" w:fill="EAF2FA"/>
          </w:tcPr>
          <w:p>
            <w:r>
              <w:rPr>
                <w:sz w:val="20"/>
              </w:rPr>
              <w:t>2</w:t>
            </w:r>
          </w:p>
        </w:tc>
        <w:tc>
          <w:tcPr>
            <w:tcW w:type="dxa" w:w="2160"/>
            <w:shd w:val="clear" w:color="auto" w:fill="EAF2FA"/>
          </w:tcPr>
          <w:p>
            <w:r>
              <w:rPr>
                <w:sz w:val="20"/>
              </w:rPr>
              <w:t>Pre-malignant</w:t>
            </w:r>
          </w:p>
        </w:tc>
        <w:tc>
          <w:tcPr>
            <w:tcW w:type="dxa" w:w="2160"/>
            <w:shd w:val="clear" w:color="auto" w:fill="EAF2FA"/>
          </w:tcPr>
          <w:p>
            <w:r>
              <w:rPr>
                <w:sz w:val="20"/>
              </w:rPr>
              <w:t>barretts, barretts-short-segment, esophagitis-b-d, polyps, ulcerative-colitis-grade-1-2, ulcerative-colitis-grade-2</w:t>
            </w:r>
          </w:p>
        </w:tc>
        <w:tc>
          <w:tcPr>
            <w:tcW w:type="dxa" w:w="2160"/>
            <w:shd w:val="clear" w:color="auto" w:fill="EAF2FA"/>
          </w:tcPr>
          <w:p>
            <w:r>
              <w:rPr>
                <w:sz w:val="20"/>
              </w:rPr>
              <w:t>Mandatory biopsy + 3–6 month surveillance</w:t>
            </w:r>
          </w:p>
        </w:tc>
      </w:tr>
      <w:tr>
        <w:tc>
          <w:tcPr>
            <w:tcW w:type="dxa" w:w="2160"/>
            <w:shd w:val="clear" w:color="auto" w:fill="FFFFFF"/>
          </w:tcPr>
          <w:p>
            <w:r>
              <w:rPr>
                <w:sz w:val="20"/>
              </w:rPr>
              <w:t>3</w:t>
            </w:r>
          </w:p>
        </w:tc>
        <w:tc>
          <w:tcPr>
            <w:tcW w:type="dxa" w:w="2160"/>
            <w:shd w:val="clear" w:color="auto" w:fill="FFFFFF"/>
          </w:tcPr>
          <w:p>
            <w:r>
              <w:rPr>
                <w:sz w:val="20"/>
              </w:rPr>
              <w:t>High-Risk</w:t>
            </w:r>
          </w:p>
        </w:tc>
        <w:tc>
          <w:tcPr>
            <w:tcW w:type="dxa" w:w="2160"/>
            <w:shd w:val="clear" w:color="auto" w:fill="FFFFFF"/>
          </w:tcPr>
          <w:p>
            <w:r>
              <w:rPr>
                <w:sz w:val="20"/>
              </w:rPr>
              <w:t>ulcerative-colitis-grade-2-3, ulcerative-colitis-grade-3, dyed-lifted-polyps, dyed-resection-margins</w:t>
            </w:r>
          </w:p>
        </w:tc>
        <w:tc>
          <w:tcPr>
            <w:tcW w:type="dxa" w:w="2160"/>
            <w:shd w:val="clear" w:color="auto" w:fill="FFFFFF"/>
          </w:tcPr>
          <w:p>
            <w:r>
              <w:rPr>
                <w:sz w:val="20"/>
              </w:rPr>
              <w:t>Immediate resection or oncology referral</w:t>
            </w:r>
          </w:p>
        </w:tc>
      </w:tr>
    </w:tbl>
    <w:p/>
    <w:p>
      <w:pPr>
        <w:spacing w:after="160"/>
      </w:pPr>
      <w:r>
        <w:rPr>
          <w:i/>
          <w:color w:val="555555"/>
          <w:sz w:val="18"/>
        </w:rPr>
        <w:t>Schema derived from Shaukat et al. (2021) ACG colorectal cancer screening guidelines and Bisschops et al. (2022) ESGE quality parameters for colonoscopy.</w:t>
      </w:r>
    </w:p>
    <w:p>
      <w:pPr>
        <w:pStyle w:val="Heading2"/>
        <w:spacing w:before="200" w:after="40"/>
      </w:pPr>
      <w:r>
        <w:rPr>
          <w:color w:val="1A5C8E"/>
        </w:rPr>
        <w:t>3.3 Preprocessing Pipeline</w:t>
      </w:r>
    </w:p>
    <w:p>
      <w:pPr>
        <w:spacing w:after="120"/>
        <w:ind w:firstLine="360"/>
      </w:pPr>
      <w:r>
        <w:rPr>
          <w:color w:val="000000"/>
          <w:sz w:val="22"/>
        </w:rPr>
        <w:t>All images undergo Contrast Limited Adaptive Histogram Equalization (CLAHE) prior to augmentation. CLAHE is applied to the L-channel (luminance) of the CIE LAB colour space with clip limit 2.0 and tile grid size 8×8, enhancing mucosal texture contrast, vascular pit patterns, and haustral fold architecture without introducing colour artefacts. This preprocessing step is motivated by clinical practice: CLAHE enhancement of endoscopy images has been shown to improve lesion visibility, particularly for flat or subtle mucosal abnormalities. Following CLAHE, images are resized to 256×256 and randomly cropped to 224×224 during training. Augmentations include random horizontal and vertical flips (p=0.5 and p=0.2 respectively), random rotation (±15°), and colour jitter (brightness ±0.2, contrast ±0.2, saturation ±0.1). Images are normalised using ImageNet channel statistics (μ=[0.485, 0.456, 0.406], σ=[0.229, 0.224, 0.225]). Validation and test images undergo CLAHE and resizing only, with no stochastic augmentation.</w:t>
      </w:r>
    </w:p>
    <w:p>
      <w:pPr>
        <w:pStyle w:val="Heading2"/>
        <w:spacing w:before="200" w:after="40"/>
      </w:pPr>
      <w:r>
        <w:rPr>
          <w:color w:val="1A5C8E"/>
        </w:rPr>
        <w:t>3.4 Model Architectures</w:t>
      </w:r>
    </w:p>
    <w:p>
      <w:pPr>
        <w:spacing w:after="120"/>
        <w:ind w:firstLine="360"/>
      </w:pPr>
      <w:r>
        <w:rPr>
          <w:color w:val="000000"/>
          <w:sz w:val="22"/>
        </w:rPr>
        <w:t>We benchmark four architectures representing two computational paradigms: convolutional networks (DenseNet-121, EfficientNet-B4) and Vision Transformers (ViT-B/16, Swin-T). All models are pre-trained on ImageNet and fine-tuned with task-specific classification heads. This paired design enables direct comparison of inductive bias (local vs. global receptive field) under identical training conditions.</w:t>
      </w:r>
    </w:p>
    <w:p>
      <w:pPr>
        <w:spacing w:after="120"/>
        <w:ind w:firstLine="360"/>
      </w:pPr>
      <w:r>
        <w:rPr>
          <w:color w:val="000000"/>
          <w:sz w:val="22"/>
        </w:rPr>
        <w:t>DenseNet-121 (Huang et al., 2017) employs dense connectivity — each layer receives feature maps from all preceding layers — promoting feature reuse and gradient flow. Its 7M-parameter footprint makes it computationally efficient for deployment on resource-constrained endoscopy systems. EfficientNet-B4 (Tan &amp; Le, 2019) uses compound scaling of depth, width, and resolution, achieving strong performance per parameter (19M parameters). ViT-B/16 (Dosovitskiy et al., 2020) partitions the input image into 16×16 non-overlapping patches and models global patch relationships via multi-head self-attention, with 86M parameters pre-trained on ImageNet-21k. Swin-T (Liu et al., 2021) introduces hierarchical attention within non-overlapping local windows with cross-window connectivity via shifted windows, providing multi-scale spatial representations with 28M parameters.</w:t>
      </w:r>
    </w:p>
    <w:p>
      <w:pPr>
        <w:spacing w:after="120"/>
        <w:ind w:firstLine="360"/>
      </w:pPr>
      <w:r>
        <w:rPr>
          <w:color w:val="000000"/>
          <w:sz w:val="22"/>
        </w:rPr>
        <w:t>Classification heads: DenseNet-121 replaces the final fully connected layer with Dropout(0.5) → Linear(1024→4). EfficientNet-B4 uses Dropout(0.4) → Linear(1792→256) → ReLU → Dropout(0.2) → Linear(256→4). ViT-B/16 uses Dropout(0.1) → Linear(768→4). Swin-T uses Dropout(0.2) → Linear(768→4). Dropout rates are calibrated to model capacity: deeper CNNs require stronger regularisation; Transformers overfit less with heavy dropout due to their inherent attention-based regularisation.</w:t>
      </w:r>
    </w:p>
    <w:p>
      <w:pPr>
        <w:spacing w:before="160" w:after="40"/>
      </w:pPr>
      <w:r>
        <w:rPr>
          <w:b/>
          <w:color w:val="1A5C8E"/>
          <w:sz w:val="20"/>
        </w:rPr>
        <w:t>Table 2. Model architectures benchmarked in this study.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A5C8E"/>
          </w:tcPr>
          <w:p>
            <w:r>
              <w:rPr>
                <w:b/>
                <w:color w:val="FFFFFF"/>
                <w:sz w:val="20"/>
              </w:rPr>
              <w:t>Model</w:t>
            </w:r>
          </w:p>
        </w:tc>
        <w:tc>
          <w:tcPr>
            <w:tcW w:type="dxa" w:w="1440"/>
            <w:shd w:val="clear" w:color="auto" w:fill="1A5C8E"/>
          </w:tcPr>
          <w:p>
            <w:r>
              <w:rPr>
                <w:b/>
                <w:color w:val="FFFFFF"/>
                <w:sz w:val="20"/>
              </w:rPr>
              <w:t>Type</w:t>
            </w:r>
          </w:p>
        </w:tc>
        <w:tc>
          <w:tcPr>
            <w:tcW w:type="dxa" w:w="1440"/>
            <w:shd w:val="clear" w:color="auto" w:fill="1A5C8E"/>
          </w:tcPr>
          <w:p>
            <w:r>
              <w:rPr>
                <w:b/>
                <w:color w:val="FFFFFF"/>
                <w:sz w:val="20"/>
              </w:rPr>
              <w:t>Pre-training</w:t>
            </w:r>
          </w:p>
        </w:tc>
        <w:tc>
          <w:tcPr>
            <w:tcW w:type="dxa" w:w="1440"/>
            <w:shd w:val="clear" w:color="auto" w:fill="1A5C8E"/>
          </w:tcPr>
          <w:p>
            <w:r>
              <w:rPr>
                <w:b/>
                <w:color w:val="FFFFFF"/>
                <w:sz w:val="20"/>
              </w:rPr>
              <w:t>Parameters</w:t>
            </w:r>
          </w:p>
        </w:tc>
        <w:tc>
          <w:tcPr>
            <w:tcW w:type="dxa" w:w="1440"/>
            <w:shd w:val="clear" w:color="auto" w:fill="1A5C8E"/>
          </w:tcPr>
          <w:p>
            <w:r>
              <w:rPr>
                <w:b/>
                <w:color w:val="FFFFFF"/>
                <w:sz w:val="20"/>
              </w:rPr>
              <w:t>Input Size</w:t>
            </w:r>
          </w:p>
        </w:tc>
        <w:tc>
          <w:tcPr>
            <w:tcW w:type="dxa" w:w="1440"/>
            <w:shd w:val="clear" w:color="auto" w:fill="1A5C8E"/>
          </w:tcPr>
          <w:p>
            <w:r>
              <w:rPr>
                <w:b/>
                <w:color w:val="FFFFFF"/>
                <w:sz w:val="20"/>
              </w:rPr>
              <w:t>Dropout</w:t>
            </w:r>
          </w:p>
        </w:tc>
      </w:tr>
      <w:tr>
        <w:tc>
          <w:tcPr>
            <w:tcW w:type="dxa" w:w="1440"/>
            <w:shd w:val="clear" w:color="auto" w:fill="EAF2FA"/>
          </w:tcPr>
          <w:p>
            <w:r>
              <w:rPr>
                <w:sz w:val="20"/>
              </w:rPr>
              <w:t>DenseNet-121</w:t>
            </w:r>
          </w:p>
        </w:tc>
        <w:tc>
          <w:tcPr>
            <w:tcW w:type="dxa" w:w="1440"/>
            <w:shd w:val="clear" w:color="auto" w:fill="EAF2FA"/>
          </w:tcPr>
          <w:p>
            <w:r>
              <w:rPr>
                <w:sz w:val="20"/>
              </w:rPr>
              <w:t>CNN</w:t>
            </w:r>
          </w:p>
        </w:tc>
        <w:tc>
          <w:tcPr>
            <w:tcW w:type="dxa" w:w="1440"/>
            <w:shd w:val="clear" w:color="auto" w:fill="EAF2FA"/>
          </w:tcPr>
          <w:p>
            <w:r>
              <w:rPr>
                <w:sz w:val="20"/>
              </w:rPr>
              <w:t>ImageNet-1k</w:t>
            </w:r>
          </w:p>
        </w:tc>
        <w:tc>
          <w:tcPr>
            <w:tcW w:type="dxa" w:w="1440"/>
            <w:shd w:val="clear" w:color="auto" w:fill="EAF2FA"/>
          </w:tcPr>
          <w:p>
            <w:r>
              <w:rPr>
                <w:sz w:val="20"/>
              </w:rPr>
              <w:t>7.0M</w:t>
            </w:r>
          </w:p>
        </w:tc>
        <w:tc>
          <w:tcPr>
            <w:tcW w:type="dxa" w:w="1440"/>
            <w:shd w:val="clear" w:color="auto" w:fill="EAF2FA"/>
          </w:tcPr>
          <w:p>
            <w:r>
              <w:rPr>
                <w:sz w:val="20"/>
              </w:rPr>
              <w:t>224×224</w:t>
            </w:r>
          </w:p>
        </w:tc>
        <w:tc>
          <w:tcPr>
            <w:tcW w:type="dxa" w:w="1440"/>
            <w:shd w:val="clear" w:color="auto" w:fill="EAF2FA"/>
          </w:tcPr>
          <w:p>
            <w:r>
              <w:rPr>
                <w:sz w:val="20"/>
              </w:rPr>
              <w:t>0.5</w:t>
            </w:r>
          </w:p>
        </w:tc>
      </w:tr>
      <w:tr>
        <w:tc>
          <w:tcPr>
            <w:tcW w:type="dxa" w:w="1440"/>
            <w:shd w:val="clear" w:color="auto" w:fill="FFFFFF"/>
          </w:tcPr>
          <w:p>
            <w:r>
              <w:rPr>
                <w:sz w:val="20"/>
              </w:rPr>
              <w:t>EfficientNet-B4</w:t>
            </w:r>
          </w:p>
        </w:tc>
        <w:tc>
          <w:tcPr>
            <w:tcW w:type="dxa" w:w="1440"/>
            <w:shd w:val="clear" w:color="auto" w:fill="FFFFFF"/>
          </w:tcPr>
          <w:p>
            <w:r>
              <w:rPr>
                <w:sz w:val="20"/>
              </w:rPr>
              <w:t>CNN</w:t>
            </w:r>
          </w:p>
        </w:tc>
        <w:tc>
          <w:tcPr>
            <w:tcW w:type="dxa" w:w="1440"/>
            <w:shd w:val="clear" w:color="auto" w:fill="FFFFFF"/>
          </w:tcPr>
          <w:p>
            <w:r>
              <w:rPr>
                <w:sz w:val="20"/>
              </w:rPr>
              <w:t>ImageNet-1k</w:t>
            </w:r>
          </w:p>
        </w:tc>
        <w:tc>
          <w:tcPr>
            <w:tcW w:type="dxa" w:w="1440"/>
            <w:shd w:val="clear" w:color="auto" w:fill="FFFFFF"/>
          </w:tcPr>
          <w:p>
            <w:r>
              <w:rPr>
                <w:sz w:val="20"/>
              </w:rPr>
              <w:t>19.0M</w:t>
            </w:r>
          </w:p>
        </w:tc>
        <w:tc>
          <w:tcPr>
            <w:tcW w:type="dxa" w:w="1440"/>
            <w:shd w:val="clear" w:color="auto" w:fill="FFFFFF"/>
          </w:tcPr>
          <w:p>
            <w:r>
              <w:rPr>
                <w:sz w:val="20"/>
              </w:rPr>
              <w:t>224×224</w:t>
            </w:r>
          </w:p>
        </w:tc>
        <w:tc>
          <w:tcPr>
            <w:tcW w:type="dxa" w:w="1440"/>
            <w:shd w:val="clear" w:color="auto" w:fill="FFFFFF"/>
          </w:tcPr>
          <w:p>
            <w:r>
              <w:rPr>
                <w:sz w:val="20"/>
              </w:rPr>
              <w:t>0.4</w:t>
            </w:r>
          </w:p>
        </w:tc>
      </w:tr>
      <w:tr>
        <w:tc>
          <w:tcPr>
            <w:tcW w:type="dxa" w:w="1440"/>
            <w:shd w:val="clear" w:color="auto" w:fill="EAF2FA"/>
          </w:tcPr>
          <w:p>
            <w:r>
              <w:rPr>
                <w:sz w:val="20"/>
              </w:rPr>
              <w:t>ViT-B/16</w:t>
            </w:r>
          </w:p>
        </w:tc>
        <w:tc>
          <w:tcPr>
            <w:tcW w:type="dxa" w:w="1440"/>
            <w:shd w:val="clear" w:color="auto" w:fill="EAF2FA"/>
          </w:tcPr>
          <w:p>
            <w:r>
              <w:rPr>
                <w:sz w:val="20"/>
              </w:rPr>
              <w:t>Transformer</w:t>
            </w:r>
          </w:p>
        </w:tc>
        <w:tc>
          <w:tcPr>
            <w:tcW w:type="dxa" w:w="1440"/>
            <w:shd w:val="clear" w:color="auto" w:fill="EAF2FA"/>
          </w:tcPr>
          <w:p>
            <w:r>
              <w:rPr>
                <w:sz w:val="20"/>
              </w:rPr>
              <w:t>ImageNet-21k</w:t>
            </w:r>
          </w:p>
        </w:tc>
        <w:tc>
          <w:tcPr>
            <w:tcW w:type="dxa" w:w="1440"/>
            <w:shd w:val="clear" w:color="auto" w:fill="EAF2FA"/>
          </w:tcPr>
          <w:p>
            <w:r>
              <w:rPr>
                <w:sz w:val="20"/>
              </w:rPr>
              <w:t>86.6M</w:t>
            </w:r>
          </w:p>
        </w:tc>
        <w:tc>
          <w:tcPr>
            <w:tcW w:type="dxa" w:w="1440"/>
            <w:shd w:val="clear" w:color="auto" w:fill="EAF2FA"/>
          </w:tcPr>
          <w:p>
            <w:r>
              <w:rPr>
                <w:sz w:val="20"/>
              </w:rPr>
              <w:t>224×224</w:t>
            </w:r>
          </w:p>
        </w:tc>
        <w:tc>
          <w:tcPr>
            <w:tcW w:type="dxa" w:w="1440"/>
            <w:shd w:val="clear" w:color="auto" w:fill="EAF2FA"/>
          </w:tcPr>
          <w:p>
            <w:r>
              <w:rPr>
                <w:sz w:val="20"/>
              </w:rPr>
              <w:t>0.1</w:t>
            </w:r>
          </w:p>
        </w:tc>
      </w:tr>
      <w:tr>
        <w:tc>
          <w:tcPr>
            <w:tcW w:type="dxa" w:w="1440"/>
            <w:shd w:val="clear" w:color="auto" w:fill="FFFFFF"/>
          </w:tcPr>
          <w:p>
            <w:r>
              <w:rPr>
                <w:sz w:val="20"/>
              </w:rPr>
              <w:t>Swin-T</w:t>
            </w:r>
          </w:p>
        </w:tc>
        <w:tc>
          <w:tcPr>
            <w:tcW w:type="dxa" w:w="1440"/>
            <w:shd w:val="clear" w:color="auto" w:fill="FFFFFF"/>
          </w:tcPr>
          <w:p>
            <w:r>
              <w:rPr>
                <w:sz w:val="20"/>
              </w:rPr>
              <w:t>Transformer</w:t>
            </w:r>
          </w:p>
        </w:tc>
        <w:tc>
          <w:tcPr>
            <w:tcW w:type="dxa" w:w="1440"/>
            <w:shd w:val="clear" w:color="auto" w:fill="FFFFFF"/>
          </w:tcPr>
          <w:p>
            <w:r>
              <w:rPr>
                <w:sz w:val="20"/>
              </w:rPr>
              <w:t>ImageNet-1k</w:t>
            </w:r>
          </w:p>
        </w:tc>
        <w:tc>
          <w:tcPr>
            <w:tcW w:type="dxa" w:w="1440"/>
            <w:shd w:val="clear" w:color="auto" w:fill="FFFFFF"/>
          </w:tcPr>
          <w:p>
            <w:r>
              <w:rPr>
                <w:sz w:val="20"/>
              </w:rPr>
              <w:t>28.3M</w:t>
            </w:r>
          </w:p>
        </w:tc>
        <w:tc>
          <w:tcPr>
            <w:tcW w:type="dxa" w:w="1440"/>
            <w:shd w:val="clear" w:color="auto" w:fill="FFFFFF"/>
          </w:tcPr>
          <w:p>
            <w:r>
              <w:rPr>
                <w:sz w:val="20"/>
              </w:rPr>
              <w:t>224×224</w:t>
            </w:r>
          </w:p>
        </w:tc>
        <w:tc>
          <w:tcPr>
            <w:tcW w:type="dxa" w:w="1440"/>
            <w:shd w:val="clear" w:color="auto" w:fill="FFFFFF"/>
          </w:tcPr>
          <w:p>
            <w:r>
              <w:rPr>
                <w:sz w:val="20"/>
              </w:rPr>
              <w:t>0.2</w:t>
            </w:r>
          </w:p>
        </w:tc>
      </w:tr>
    </w:tbl>
    <w:p/>
    <w:p>
      <w:pPr>
        <w:pStyle w:val="Heading2"/>
        <w:spacing w:before="200" w:after="40"/>
      </w:pPr>
      <w:r>
        <w:rPr>
          <w:color w:val="1A5C8E"/>
        </w:rPr>
        <w:t>3.5 Asymmetric Endoscopy Loss (AEL)</w:t>
      </w:r>
    </w:p>
    <w:p>
      <w:pPr>
        <w:spacing w:after="120"/>
        <w:ind w:firstLine="360"/>
      </w:pPr>
      <w:r>
        <w:rPr>
          <w:color w:val="000000"/>
          <w:sz w:val="22"/>
        </w:rPr>
        <w:t>Standard cross-entropy loss treats all misclassification errors as equivalent. This is clinically inappropriate for GI lesion risk stratification: missing a High-Risk lesion delays resection and reduces five-year survival from &gt;90% to &lt;20%, while misclassifying a Normal finding as Inflammatory incurs only minor unnecessary follow-up cost. We introduce the Asymmetric Endoscopy Loss (AEL), a class-weighted cross-entropy function whose weight vector is derived directly from the ACG/ESGE intervention urgency hierarchy:</w:t>
      </w:r>
    </w:p>
    <w:p>
      <w:pPr>
        <w:spacing w:before="80" w:after="80"/>
        <w:jc w:val="center"/>
      </w:pPr>
      <w:r>
        <w:rPr>
          <w:i/>
          <w:sz w:val="22"/>
        </w:rPr>
        <w:t>AEL(ŷ, y) = CrossEntropy(ŷ, y ; w)    where  w = [1.0, 2.0, 3.0, 5.0]</w:t>
      </w:r>
    </w:p>
    <w:p>
      <w:pPr>
        <w:spacing w:after="120"/>
        <w:ind w:firstLine="360"/>
      </w:pPr>
      <w:r>
        <w:rPr>
          <w:color w:val="000000"/>
          <w:sz w:val="22"/>
        </w:rPr>
        <w:t>Weights are assigned as follows: Normal (w=1.0) — misclassification incurs only unnecessary surveillance cost; Inflammatory (w=2.0) — missed inflammatory lesions delay medical management and increase risk of progression; Pre-malignant (w=3.0) — missed biopsy allows unmonitored malignant transformation; High-Risk (w=5.0) — missed intervention results in preventable cancer mortality. The 5× penalty for High-Risk misclassification directly optimises for the clinically most consequential error type, trading marginal accuracy on the Normal class for substantially improved recall on High-Risk lesions.</w:t>
      </w:r>
    </w:p>
    <w:p>
      <w:pPr>
        <w:pStyle w:val="Heading2"/>
        <w:spacing w:before="200" w:after="40"/>
      </w:pPr>
      <w:r>
        <w:rPr>
          <w:color w:val="1A5C8E"/>
        </w:rPr>
        <w:t>3.6 Training Protocol</w:t>
      </w:r>
    </w:p>
    <w:p>
      <w:pPr>
        <w:spacing w:after="120"/>
        <w:ind w:firstLine="360"/>
      </w:pPr>
      <w:r>
        <w:rPr>
          <w:color w:val="000000"/>
          <w:sz w:val="22"/>
        </w:rPr>
        <w:t>All models are trained for 25 epochs using the AdamW optimiser (Loshchilov &amp; Hutter, 2019) with initial learning rate 2×10⁻⁴ and weight decay 1×10⁻⁴. The learning rate follows a cosine annealing schedule (CosineAnnealingLR) from 2×10⁻⁴ to 1×10⁻⁶ over the training horizon. Gradient norms are clipped at 1.0 to prevent exploding gradients. Class imbalance is addressed using WeightedRandomSampler with per-class sampling weights inversely proportional to class frequency, ensuring each mini-batch approximates a balanced class distribution. Batch size is 32. The Normal class is capped at 3,000 images to prevent label dominance. All random operations use SEED=42 with cudnn.deterministic=True for full reproducibility. Checkpoints are saved at each epoch achieving a new best macro F1 on the validation set.</w:t>
      </w:r>
    </w:p>
    <w:p>
      <w:pPr>
        <w:spacing w:before="160" w:after="40"/>
      </w:pPr>
      <w:r>
        <w:rPr>
          <w:b/>
          <w:color w:val="1A5C8E"/>
          <w:sz w:val="20"/>
        </w:rPr>
        <w:t>Table 3. Training hyperparameters (identical for all four models).</w:t>
      </w:r>
    </w:p>
    <w:tbl>
      <w:tblPr>
        <w:tblStyle w:val="TableGrid"/>
        <w:tblW w:type="auto" w:w="0"/>
        <w:tblLook w:firstColumn="1" w:firstRow="1" w:lastColumn="0" w:lastRow="0" w:noHBand="0" w:noVBand="1" w:val="04A0"/>
      </w:tblPr>
      <w:tblGrid>
        <w:gridCol w:w="4320"/>
        <w:gridCol w:w="4320"/>
      </w:tblGrid>
      <w:tr>
        <w:tc>
          <w:tcPr>
            <w:tcW w:type="dxa" w:w="4320"/>
            <w:shd w:val="clear" w:color="auto" w:fill="1A5C8E"/>
          </w:tcPr>
          <w:p>
            <w:r>
              <w:rPr>
                <w:b/>
                <w:color w:val="FFFFFF"/>
                <w:sz w:val="20"/>
              </w:rPr>
              <w:t>Hyperparameter</w:t>
            </w:r>
          </w:p>
        </w:tc>
        <w:tc>
          <w:tcPr>
            <w:tcW w:type="dxa" w:w="4320"/>
            <w:shd w:val="clear" w:color="auto" w:fill="1A5C8E"/>
          </w:tcPr>
          <w:p>
            <w:r>
              <w:rPr>
                <w:b/>
                <w:color w:val="FFFFFF"/>
                <w:sz w:val="20"/>
              </w:rPr>
              <w:t>Value</w:t>
            </w:r>
          </w:p>
        </w:tc>
      </w:tr>
      <w:tr>
        <w:tc>
          <w:tcPr>
            <w:tcW w:type="dxa" w:w="4320"/>
            <w:shd w:val="clear" w:color="auto" w:fill="EAF2FA"/>
          </w:tcPr>
          <w:p>
            <w:r>
              <w:rPr>
                <w:sz w:val="20"/>
              </w:rPr>
              <w:t>Optimiser</w:t>
            </w:r>
          </w:p>
        </w:tc>
        <w:tc>
          <w:tcPr>
            <w:tcW w:type="dxa" w:w="4320"/>
            <w:shd w:val="clear" w:color="auto" w:fill="EAF2FA"/>
          </w:tcPr>
          <w:p>
            <w:r>
              <w:rPr>
                <w:sz w:val="20"/>
              </w:rPr>
              <w:t>AdamW</w:t>
            </w:r>
          </w:p>
        </w:tc>
      </w:tr>
      <w:tr>
        <w:tc>
          <w:tcPr>
            <w:tcW w:type="dxa" w:w="4320"/>
            <w:shd w:val="clear" w:color="auto" w:fill="FFFFFF"/>
          </w:tcPr>
          <w:p>
            <w:r>
              <w:rPr>
                <w:sz w:val="20"/>
              </w:rPr>
              <w:t>Learning rate</w:t>
            </w:r>
          </w:p>
        </w:tc>
        <w:tc>
          <w:tcPr>
            <w:tcW w:type="dxa" w:w="4320"/>
            <w:shd w:val="clear" w:color="auto" w:fill="FFFFFF"/>
          </w:tcPr>
          <w:p>
            <w:r>
              <w:rPr>
                <w:sz w:val="20"/>
              </w:rPr>
              <w:t>2×10⁻⁴</w:t>
            </w:r>
          </w:p>
        </w:tc>
      </w:tr>
      <w:tr>
        <w:tc>
          <w:tcPr>
            <w:tcW w:type="dxa" w:w="4320"/>
            <w:shd w:val="clear" w:color="auto" w:fill="EAF2FA"/>
          </w:tcPr>
          <w:p>
            <w:r>
              <w:rPr>
                <w:sz w:val="20"/>
              </w:rPr>
              <w:t>Weight decay</w:t>
            </w:r>
          </w:p>
        </w:tc>
        <w:tc>
          <w:tcPr>
            <w:tcW w:type="dxa" w:w="4320"/>
            <w:shd w:val="clear" w:color="auto" w:fill="EAF2FA"/>
          </w:tcPr>
          <w:p>
            <w:r>
              <w:rPr>
                <w:sz w:val="20"/>
              </w:rPr>
              <w:t>1×10⁻⁴</w:t>
            </w:r>
          </w:p>
        </w:tc>
      </w:tr>
      <w:tr>
        <w:tc>
          <w:tcPr>
            <w:tcW w:type="dxa" w:w="4320"/>
            <w:shd w:val="clear" w:color="auto" w:fill="FFFFFF"/>
          </w:tcPr>
          <w:p>
            <w:r>
              <w:rPr>
                <w:sz w:val="20"/>
              </w:rPr>
              <w:t>LR schedule</w:t>
            </w:r>
          </w:p>
        </w:tc>
        <w:tc>
          <w:tcPr>
            <w:tcW w:type="dxa" w:w="4320"/>
            <w:shd w:val="clear" w:color="auto" w:fill="FFFFFF"/>
          </w:tcPr>
          <w:p>
            <w:r>
              <w:rPr>
                <w:sz w:val="20"/>
              </w:rPr>
              <w:t>CosineAnnealingLR (η_min=1×10⁻⁶)</w:t>
            </w:r>
          </w:p>
        </w:tc>
      </w:tr>
      <w:tr>
        <w:tc>
          <w:tcPr>
            <w:tcW w:type="dxa" w:w="4320"/>
            <w:shd w:val="clear" w:color="auto" w:fill="EAF2FA"/>
          </w:tcPr>
          <w:p>
            <w:r>
              <w:rPr>
                <w:sz w:val="20"/>
              </w:rPr>
              <w:t>Epochs</w:t>
            </w:r>
          </w:p>
        </w:tc>
        <w:tc>
          <w:tcPr>
            <w:tcW w:type="dxa" w:w="4320"/>
            <w:shd w:val="clear" w:color="auto" w:fill="EAF2FA"/>
          </w:tcPr>
          <w:p>
            <w:r>
              <w:rPr>
                <w:sz w:val="20"/>
              </w:rPr>
              <w:t>25</w:t>
            </w:r>
          </w:p>
        </w:tc>
      </w:tr>
      <w:tr>
        <w:tc>
          <w:tcPr>
            <w:tcW w:type="dxa" w:w="4320"/>
            <w:shd w:val="clear" w:color="auto" w:fill="FFFFFF"/>
          </w:tcPr>
          <w:p>
            <w:r>
              <w:rPr>
                <w:sz w:val="20"/>
              </w:rPr>
              <w:t>Batch size</w:t>
            </w:r>
          </w:p>
        </w:tc>
        <w:tc>
          <w:tcPr>
            <w:tcW w:type="dxa" w:w="4320"/>
            <w:shd w:val="clear" w:color="auto" w:fill="FFFFFF"/>
          </w:tcPr>
          <w:p>
            <w:r>
              <w:rPr>
                <w:sz w:val="20"/>
              </w:rPr>
              <w:t>32</w:t>
            </w:r>
          </w:p>
        </w:tc>
      </w:tr>
      <w:tr>
        <w:tc>
          <w:tcPr>
            <w:tcW w:type="dxa" w:w="4320"/>
            <w:shd w:val="clear" w:color="auto" w:fill="EAF2FA"/>
          </w:tcPr>
          <w:p>
            <w:r>
              <w:rPr>
                <w:sz w:val="20"/>
              </w:rPr>
              <w:t>Gradient clipping</w:t>
            </w:r>
          </w:p>
        </w:tc>
        <w:tc>
          <w:tcPr>
            <w:tcW w:type="dxa" w:w="4320"/>
            <w:shd w:val="clear" w:color="auto" w:fill="EAF2FA"/>
          </w:tcPr>
          <w:p>
            <w:r>
              <w:rPr>
                <w:sz w:val="20"/>
              </w:rPr>
              <w:t>1.0 (L2 norm)</w:t>
            </w:r>
          </w:p>
        </w:tc>
      </w:tr>
      <w:tr>
        <w:tc>
          <w:tcPr>
            <w:tcW w:type="dxa" w:w="4320"/>
            <w:shd w:val="clear" w:color="auto" w:fill="FFFFFF"/>
          </w:tcPr>
          <w:p>
            <w:r>
              <w:rPr>
                <w:sz w:val="20"/>
              </w:rPr>
              <w:t>Class balancing</w:t>
            </w:r>
          </w:p>
        </w:tc>
        <w:tc>
          <w:tcPr>
            <w:tcW w:type="dxa" w:w="4320"/>
            <w:shd w:val="clear" w:color="auto" w:fill="FFFFFF"/>
          </w:tcPr>
          <w:p>
            <w:r>
              <w:rPr>
                <w:sz w:val="20"/>
              </w:rPr>
              <w:t>WeightedRandomSampler</w:t>
            </w:r>
          </w:p>
        </w:tc>
      </w:tr>
      <w:tr>
        <w:tc>
          <w:tcPr>
            <w:tcW w:type="dxa" w:w="4320"/>
            <w:shd w:val="clear" w:color="auto" w:fill="EAF2FA"/>
          </w:tcPr>
          <w:p>
            <w:r>
              <w:rPr>
                <w:sz w:val="20"/>
              </w:rPr>
              <w:t>Normal class cap</w:t>
            </w:r>
          </w:p>
        </w:tc>
        <w:tc>
          <w:tcPr>
            <w:tcW w:type="dxa" w:w="4320"/>
            <w:shd w:val="clear" w:color="auto" w:fill="EAF2FA"/>
          </w:tcPr>
          <w:p>
            <w:r>
              <w:rPr>
                <w:sz w:val="20"/>
              </w:rPr>
              <w:t>3,000 images</w:t>
            </w:r>
          </w:p>
        </w:tc>
      </w:tr>
      <w:tr>
        <w:tc>
          <w:tcPr>
            <w:tcW w:type="dxa" w:w="4320"/>
            <w:shd w:val="clear" w:color="auto" w:fill="FFFFFF"/>
          </w:tcPr>
          <w:p>
            <w:r>
              <w:rPr>
                <w:sz w:val="20"/>
              </w:rPr>
              <w:t>Random seed</w:t>
            </w:r>
          </w:p>
        </w:tc>
        <w:tc>
          <w:tcPr>
            <w:tcW w:type="dxa" w:w="4320"/>
            <w:shd w:val="clear" w:color="auto" w:fill="FFFFFF"/>
          </w:tcPr>
          <w:p>
            <w:r>
              <w:rPr>
                <w:sz w:val="20"/>
              </w:rPr>
              <w:t>42</w:t>
            </w:r>
          </w:p>
        </w:tc>
      </w:tr>
    </w:tbl>
    <w:p/>
    <w:p>
      <w:pPr>
        <w:pStyle w:val="Heading2"/>
        <w:spacing w:before="200" w:after="40"/>
      </w:pPr>
      <w:r>
        <w:rPr>
          <w:color w:val="1A5C8E"/>
        </w:rPr>
        <w:t>3.7 Dataset Splits</w:t>
      </w:r>
    </w:p>
    <w:p>
      <w:pPr>
        <w:spacing w:after="120"/>
        <w:ind w:firstLine="360"/>
      </w:pPr>
      <w:r>
        <w:rPr>
          <w:color w:val="000000"/>
          <w:sz w:val="22"/>
        </w:rPr>
        <w:t>After class-to-risk mapping and Normal class capping, the merged dataset is split stratified by label into training (70%), validation (15%), and test (15%) sets using scikit-learn train_test_split with SEED=42. Stratification ensures class proportions are preserved across all splits. All Kvasir-v2 images are held out entirely for cross-dataset evaluation and do not appear in any training or validation split.</w:t>
      </w:r>
    </w:p>
    <w:p>
      <w:pPr>
        <w:spacing w:before="160" w:after="40"/>
      </w:pPr>
      <w:r>
        <w:rPr>
          <w:b/>
          <w:color w:val="1A5C8E"/>
          <w:sz w:val="20"/>
        </w:rPr>
        <w:t>Table 4. Dataset split statistics after mapping and Normal class capping.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5C8E"/>
          </w:tcPr>
          <w:p>
            <w:r>
              <w:rPr>
                <w:b/>
                <w:color w:val="FFFFFF"/>
                <w:sz w:val="20"/>
              </w:rPr>
              <w:t>Risk Class</w:t>
            </w:r>
          </w:p>
        </w:tc>
        <w:tc>
          <w:tcPr>
            <w:tcW w:type="dxa" w:w="1728"/>
            <w:shd w:val="clear" w:color="auto" w:fill="1A5C8E"/>
          </w:tcPr>
          <w:p>
            <w:r>
              <w:rPr>
                <w:b/>
                <w:color w:val="FFFFFF"/>
                <w:sz w:val="20"/>
              </w:rPr>
              <w:t>Full Dataset</w:t>
            </w:r>
          </w:p>
        </w:tc>
        <w:tc>
          <w:tcPr>
            <w:tcW w:type="dxa" w:w="1728"/>
            <w:shd w:val="clear" w:color="auto" w:fill="1A5C8E"/>
          </w:tcPr>
          <w:p>
            <w:r>
              <w:rPr>
                <w:b/>
                <w:color w:val="FFFFFF"/>
                <w:sz w:val="20"/>
              </w:rPr>
              <w:t>Train (70%)</w:t>
            </w:r>
          </w:p>
        </w:tc>
        <w:tc>
          <w:tcPr>
            <w:tcW w:type="dxa" w:w="1728"/>
            <w:shd w:val="clear" w:color="auto" w:fill="1A5C8E"/>
          </w:tcPr>
          <w:p>
            <w:r>
              <w:rPr>
                <w:b/>
                <w:color w:val="FFFFFF"/>
                <w:sz w:val="20"/>
              </w:rPr>
              <w:t>Val (15%)</w:t>
            </w:r>
          </w:p>
        </w:tc>
        <w:tc>
          <w:tcPr>
            <w:tcW w:type="dxa" w:w="1728"/>
            <w:shd w:val="clear" w:color="auto" w:fill="1A5C8E"/>
          </w:tcPr>
          <w:p>
            <w:r>
              <w:rPr>
                <w:b/>
                <w:color w:val="FFFFFF"/>
                <w:sz w:val="20"/>
              </w:rPr>
              <w:t>Test (15%)</w:t>
            </w:r>
          </w:p>
        </w:tc>
      </w:tr>
      <w:tr>
        <w:tc>
          <w:tcPr>
            <w:tcW w:type="dxa" w:w="1728"/>
            <w:shd w:val="clear" w:color="auto" w:fill="EAF2FA"/>
          </w:tcPr>
          <w:p>
            <w:r>
              <w:rPr>
                <w:sz w:val="20"/>
              </w:rPr>
              <w:t>Normal (0)</w:t>
            </w:r>
          </w:p>
        </w:tc>
        <w:tc>
          <w:tcPr>
            <w:tcW w:type="dxa" w:w="1728"/>
            <w:shd w:val="clear" w:color="auto" w:fill="EAF2FA"/>
          </w:tcPr>
          <w:p>
            <w:r>
              <w:rPr>
                <w:sz w:val="20"/>
              </w:rPr>
              <w:t>~3,000</w:t>
            </w:r>
          </w:p>
        </w:tc>
        <w:tc>
          <w:tcPr>
            <w:tcW w:type="dxa" w:w="1728"/>
            <w:shd w:val="clear" w:color="auto" w:fill="EAF2FA"/>
          </w:tcPr>
          <w:p>
            <w:r>
              <w:rPr>
                <w:sz w:val="20"/>
              </w:rPr>
              <w:t>~2,100</w:t>
            </w:r>
          </w:p>
        </w:tc>
        <w:tc>
          <w:tcPr>
            <w:tcW w:type="dxa" w:w="1728"/>
            <w:shd w:val="clear" w:color="auto" w:fill="EAF2FA"/>
          </w:tcPr>
          <w:p>
            <w:r>
              <w:rPr>
                <w:sz w:val="20"/>
              </w:rPr>
              <w:t>~450</w:t>
            </w:r>
          </w:p>
        </w:tc>
        <w:tc>
          <w:tcPr>
            <w:tcW w:type="dxa" w:w="1728"/>
            <w:shd w:val="clear" w:color="auto" w:fill="EAF2FA"/>
          </w:tcPr>
          <w:p>
            <w:r>
              <w:rPr>
                <w:sz w:val="20"/>
              </w:rPr>
              <w:t>~450</w:t>
            </w:r>
          </w:p>
        </w:tc>
      </w:tr>
      <w:tr>
        <w:tc>
          <w:tcPr>
            <w:tcW w:type="dxa" w:w="1728"/>
            <w:shd w:val="clear" w:color="auto" w:fill="FFFFFF"/>
          </w:tcPr>
          <w:p>
            <w:r>
              <w:rPr>
                <w:sz w:val="20"/>
              </w:rPr>
              <w:t>Inflammatory (1)</w:t>
            </w:r>
          </w:p>
        </w:tc>
        <w:tc>
          <w:tcPr>
            <w:tcW w:type="dxa" w:w="1728"/>
            <w:shd w:val="clear" w:color="auto" w:fill="FFFFFF"/>
          </w:tcPr>
          <w:p>
            <w:r>
              <w:rPr>
                <w:sz w:val="20"/>
              </w:rPr>
              <w:t>~645</w:t>
            </w:r>
          </w:p>
        </w:tc>
        <w:tc>
          <w:tcPr>
            <w:tcW w:type="dxa" w:w="1728"/>
            <w:shd w:val="clear" w:color="auto" w:fill="FFFFFF"/>
          </w:tcPr>
          <w:p>
            <w:r>
              <w:rPr>
                <w:sz w:val="20"/>
              </w:rPr>
              <w:t>~452</w:t>
            </w:r>
          </w:p>
        </w:tc>
        <w:tc>
          <w:tcPr>
            <w:tcW w:type="dxa" w:w="1728"/>
            <w:shd w:val="clear" w:color="auto" w:fill="FFFFFF"/>
          </w:tcPr>
          <w:p>
            <w:r>
              <w:rPr>
                <w:sz w:val="20"/>
              </w:rPr>
              <w:t>~97</w:t>
            </w:r>
          </w:p>
        </w:tc>
        <w:tc>
          <w:tcPr>
            <w:tcW w:type="dxa" w:w="1728"/>
            <w:shd w:val="clear" w:color="auto" w:fill="FFFFFF"/>
          </w:tcPr>
          <w:p>
            <w:r>
              <w:rPr>
                <w:sz w:val="20"/>
              </w:rPr>
              <w:t>~97</w:t>
            </w:r>
          </w:p>
        </w:tc>
      </w:tr>
      <w:tr>
        <w:tc>
          <w:tcPr>
            <w:tcW w:type="dxa" w:w="1728"/>
            <w:shd w:val="clear" w:color="auto" w:fill="EAF2FA"/>
          </w:tcPr>
          <w:p>
            <w:r>
              <w:rPr>
                <w:sz w:val="20"/>
              </w:rPr>
              <w:t>Pre-malignant (2)</w:t>
            </w:r>
          </w:p>
        </w:tc>
        <w:tc>
          <w:tcPr>
            <w:tcW w:type="dxa" w:w="1728"/>
            <w:shd w:val="clear" w:color="auto" w:fill="EAF2FA"/>
          </w:tcPr>
          <w:p>
            <w:r>
              <w:rPr>
                <w:sz w:val="20"/>
              </w:rPr>
              <w:t>~1,836</w:t>
            </w:r>
          </w:p>
        </w:tc>
        <w:tc>
          <w:tcPr>
            <w:tcW w:type="dxa" w:w="1728"/>
            <w:shd w:val="clear" w:color="auto" w:fill="EAF2FA"/>
          </w:tcPr>
          <w:p>
            <w:r>
              <w:rPr>
                <w:sz w:val="20"/>
              </w:rPr>
              <w:t>~1,285</w:t>
            </w:r>
          </w:p>
        </w:tc>
        <w:tc>
          <w:tcPr>
            <w:tcW w:type="dxa" w:w="1728"/>
            <w:shd w:val="clear" w:color="auto" w:fill="EAF2FA"/>
          </w:tcPr>
          <w:p>
            <w:r>
              <w:rPr>
                <w:sz w:val="20"/>
              </w:rPr>
              <w:t>~276</w:t>
            </w:r>
          </w:p>
        </w:tc>
        <w:tc>
          <w:tcPr>
            <w:tcW w:type="dxa" w:w="1728"/>
            <w:shd w:val="clear" w:color="auto" w:fill="EAF2FA"/>
          </w:tcPr>
          <w:p>
            <w:r>
              <w:rPr>
                <w:sz w:val="20"/>
              </w:rPr>
              <w:t>~276</w:t>
            </w:r>
          </w:p>
        </w:tc>
      </w:tr>
      <w:tr>
        <w:tc>
          <w:tcPr>
            <w:tcW w:type="dxa" w:w="1728"/>
            <w:shd w:val="clear" w:color="auto" w:fill="FFFFFF"/>
          </w:tcPr>
          <w:p>
            <w:r>
              <w:rPr>
                <w:sz w:val="20"/>
              </w:rPr>
              <w:t>High-Risk (3)</w:t>
            </w:r>
          </w:p>
        </w:tc>
        <w:tc>
          <w:tcPr>
            <w:tcW w:type="dxa" w:w="1728"/>
            <w:shd w:val="clear" w:color="auto" w:fill="FFFFFF"/>
          </w:tcPr>
          <w:p>
            <w:r>
              <w:rPr>
                <w:sz w:val="20"/>
              </w:rPr>
              <w:t>~2,152</w:t>
            </w:r>
          </w:p>
        </w:tc>
        <w:tc>
          <w:tcPr>
            <w:tcW w:type="dxa" w:w="1728"/>
            <w:shd w:val="clear" w:color="auto" w:fill="FFFFFF"/>
          </w:tcPr>
          <w:p>
            <w:r>
              <w:rPr>
                <w:sz w:val="20"/>
              </w:rPr>
              <w:t>~1,506</w:t>
            </w:r>
          </w:p>
        </w:tc>
        <w:tc>
          <w:tcPr>
            <w:tcW w:type="dxa" w:w="1728"/>
            <w:shd w:val="clear" w:color="auto" w:fill="FFFFFF"/>
          </w:tcPr>
          <w:p>
            <w:r>
              <w:rPr>
                <w:sz w:val="20"/>
              </w:rPr>
              <w:t>~323</w:t>
            </w:r>
          </w:p>
        </w:tc>
        <w:tc>
          <w:tcPr>
            <w:tcW w:type="dxa" w:w="1728"/>
            <w:shd w:val="clear" w:color="auto" w:fill="FFFFFF"/>
          </w:tcPr>
          <w:p>
            <w:r>
              <w:rPr>
                <w:sz w:val="20"/>
              </w:rPr>
              <w:t>~323</w:t>
            </w:r>
          </w:p>
        </w:tc>
      </w:tr>
      <w:tr>
        <w:tc>
          <w:tcPr>
            <w:tcW w:type="dxa" w:w="1728"/>
            <w:shd w:val="clear" w:color="auto" w:fill="EAF2FA"/>
          </w:tcPr>
          <w:p>
            <w:r>
              <w:rPr>
                <w:sz w:val="20"/>
              </w:rPr>
              <w:t>Total</w:t>
            </w:r>
          </w:p>
        </w:tc>
        <w:tc>
          <w:tcPr>
            <w:tcW w:type="dxa" w:w="1728"/>
            <w:shd w:val="clear" w:color="auto" w:fill="EAF2FA"/>
          </w:tcPr>
          <w:p>
            <w:r>
              <w:rPr>
                <w:sz w:val="20"/>
              </w:rPr>
              <w:t>~7,633</w:t>
            </w:r>
          </w:p>
        </w:tc>
        <w:tc>
          <w:tcPr>
            <w:tcW w:type="dxa" w:w="1728"/>
            <w:shd w:val="clear" w:color="auto" w:fill="EAF2FA"/>
          </w:tcPr>
          <w:p>
            <w:r>
              <w:rPr>
                <w:sz w:val="20"/>
              </w:rPr>
              <w:t>~5,343</w:t>
            </w:r>
          </w:p>
        </w:tc>
        <w:tc>
          <w:tcPr>
            <w:tcW w:type="dxa" w:w="1728"/>
            <w:shd w:val="clear" w:color="auto" w:fill="EAF2FA"/>
          </w:tcPr>
          <w:p>
            <w:r>
              <w:rPr>
                <w:sz w:val="20"/>
              </w:rPr>
              <w:t>~1,145</w:t>
            </w:r>
          </w:p>
        </w:tc>
        <w:tc>
          <w:tcPr>
            <w:tcW w:type="dxa" w:w="1728"/>
            <w:shd w:val="clear" w:color="auto" w:fill="EAF2FA"/>
          </w:tcPr>
          <w:p>
            <w:r>
              <w:rPr>
                <w:sz w:val="20"/>
              </w:rPr>
              <w:t>~1,145</w:t>
            </w:r>
          </w:p>
        </w:tc>
      </w:tr>
    </w:tbl>
    <w:p/>
    <w:p>
      <w:pPr>
        <w:spacing w:after="160"/>
      </w:pPr>
      <w:r>
        <w:rPr>
          <w:i/>
          <w:color w:val="555555"/>
          <w:sz w:val="18"/>
        </w:rPr>
        <w:t>Approximate values shown. Exact counts depend on final class mapping execution.</w:t>
      </w:r>
    </w:p>
    <w:p>
      <w:pPr>
        <w:pStyle w:val="Heading2"/>
        <w:spacing w:before="200" w:after="40"/>
      </w:pPr>
      <w:r>
        <w:rPr>
          <w:color w:val="1A5C8E"/>
        </w:rPr>
        <w:t>3.8 GradCAM Explainability</w:t>
      </w:r>
    </w:p>
    <w:p>
      <w:pPr>
        <w:spacing w:after="120"/>
        <w:ind w:firstLine="360"/>
      </w:pPr>
      <w:r>
        <w:rPr>
          <w:color w:val="000000"/>
          <w:sz w:val="22"/>
        </w:rPr>
        <w:t>Gradient-weighted Class Activation Mapping (GradCAM; Selvaraju et al., 2017) is applied to the final convolutional layer (DenseNet-121, EfficientNet-B4) and the final attention layer norm (ViT-B/16, Swin-T) to produce class-discriminative saliency maps. For CNN architectures, GradCAM weights channel-wise feature maps by the mean gradient of the target class score with respect to that feature map, followed by ReLU activation. For Transformer architectures, the token sequence is reshaped to a 2D spatial grid after gradient weighting to produce a spatial heatmap. All GradCAM computations use the non-deprecated register_full_backward_hook API (PyTorch ≥ 2.0). Heatmaps are bilinearly upsampled to 224×224 and overlaid on the original image using a 60/40 image/heatmap blend ratio.</w:t>
      </w:r>
    </w:p>
    <w:p>
      <w:pPr>
        <w:pStyle w:val="Heading2"/>
        <w:spacing w:before="200" w:after="40"/>
      </w:pPr>
      <w:r>
        <w:rPr>
          <w:color w:val="1A5C8E"/>
        </w:rPr>
        <w:t>3.9 Monte Carlo Dropout Uncertainty Quantification</w:t>
      </w:r>
    </w:p>
    <w:p>
      <w:pPr>
        <w:spacing w:after="120"/>
        <w:ind w:firstLine="360"/>
      </w:pPr>
      <w:r>
        <w:rPr>
          <w:color w:val="000000"/>
          <w:sz w:val="22"/>
        </w:rPr>
        <w:t>At inference time, Monte Carlo Dropout (Gal &amp; Ghahramani, 2016) is applied by setting all Dropout layers to training mode while keeping all other layers in evaluation mode, then sampling 30 stochastic forward passes per image. The mean predictive probability and predictive entropy are computed over the sample distribution. A risk-adaptive referral protocol flags images for mandatory endoscopist review under two conditions: (1) maximum predictive probability below 0.75 (high uncertainty), or (2) predicted class ≥ Pre-malignant (High-Risk and Pre-malignant findings always require human review regardless of confidence). This protocol prioritises patient safety by ensuring all clinically significant findings receive human oversight.</w:t>
      </w:r>
    </w:p>
    <w:p>
      <w:pPr>
        <w:spacing w:before="80" w:after="80"/>
        <w:jc w:val="center"/>
      </w:pPr>
      <w:r>
        <w:rPr>
          <w:i/>
          <w:sz w:val="22"/>
        </w:rPr>
        <w:t>H(x) = −∑ p(y|x) log p(y|x)    (Predictive entropy, 30 MC samples)</w:t>
      </w:r>
    </w:p>
    <w:p>
      <w:pPr>
        <w:pStyle w:val="Heading2"/>
        <w:spacing w:before="200" w:after="40"/>
      </w:pPr>
      <w:r>
        <w:rPr>
          <w:color w:val="1A5C8E"/>
        </w:rPr>
        <w:t>3.10 Endoscopist Workload Simulation</w:t>
      </w:r>
    </w:p>
    <w:p>
      <w:pPr>
        <w:spacing w:after="120"/>
        <w:ind w:firstLine="360"/>
      </w:pPr>
      <w:r>
        <w:rPr>
          <w:color w:val="000000"/>
          <w:sz w:val="22"/>
        </w:rPr>
        <w:t>We simulate an AI-assisted screening workflow on the held-out test set. Each image is processed by the trained model with MC Dropout; images below the confidence threshold or predicted as Pre-malignant/High-Risk are flagged for endoscopist review. All remaining images are auto-cleared by the AI system. We report workload reduction (percentage auto-cleared), missed High-Risk lesions (target: zero), and flag breakdown by reason. A threshold sensitivity sweep from 0.60 to 0.90 quantifies the workload/safety trade-off curve.</w:t>
      </w:r>
    </w:p>
    <w:p>
      <w:pPr>
        <w:pStyle w:val="Heading2"/>
        <w:spacing w:before="200" w:after="40"/>
      </w:pPr>
      <w:r>
        <w:rPr>
          <w:color w:val="1A5C8E"/>
        </w:rPr>
        <w:t>3.11 Cross-Demographic Equity Analysis (CD-CTEI)</w:t>
      </w:r>
    </w:p>
    <w:p>
      <w:pPr>
        <w:spacing w:after="120"/>
        <w:ind w:firstLine="360"/>
      </w:pPr>
      <w:r>
        <w:rPr>
          <w:color w:val="000000"/>
          <w:sz w:val="22"/>
        </w:rPr>
        <w:t>We evaluate performance consistency across demographic subgroups using the Cross-Demographic Consistency of Tier-level Equity Index (CD-CTEI):</w:t>
      </w:r>
    </w:p>
    <w:p>
      <w:pPr>
        <w:spacing w:before="80" w:after="80"/>
        <w:jc w:val="center"/>
      </w:pPr>
      <w:r>
        <w:rPr>
          <w:i/>
          <w:sz w:val="22"/>
        </w:rPr>
        <w:t>CD-CTEI = 1 − σ(F₁) / μ(F₁)</w:t>
      </w:r>
    </w:p>
    <w:p>
      <w:pPr>
        <w:spacing w:after="120"/>
        <w:ind w:firstLine="360"/>
      </w:pPr>
      <w:r>
        <w:rPr>
          <w:color w:val="000000"/>
          <w:sz w:val="22"/>
        </w:rPr>
        <w:t>where σ and μ denote the standard deviation and mean of per-group macro F1 scores across demographic subgroups (age: &lt;40, 40–60, &gt;60; sex: male, female). CD-CTEI ranges from 0 (maximal inequity) to 1 (perfect consistency). We adopt a threshold of CD-CTEI ≥ 0.95 as the acceptance criterion for equitable deployment, consistent with recent guidelines on algorithmic fairness in clinical AI. Subgroups with macro F1 below 0.85 are flagged for targeted model improvement.</w:t>
      </w:r>
    </w:p>
    <w:p>
      <w:pPr>
        <w:pStyle w:val="Heading1"/>
        <w:spacing w:before="280" w:after="80"/>
      </w:pPr>
      <w:r>
        <w:rPr>
          <w:color w:val="1A5C8E"/>
        </w:rPr>
        <w:t>4. Experiments and Results</w:t>
      </w:r>
    </w:p>
    <w:p>
      <w:pPr>
        <w:pStyle w:val="Heading2"/>
        <w:spacing w:before="200" w:after="40"/>
      </w:pPr>
      <w:r>
        <w:rPr>
          <w:color w:val="1A5C8E"/>
        </w:rPr>
        <w:t>4.1 Implementation Details</w:t>
      </w:r>
    </w:p>
    <w:p>
      <w:pPr>
        <w:spacing w:after="120"/>
        <w:ind w:firstLine="360"/>
      </w:pPr>
      <w:r>
        <w:rPr>
          <w:color w:val="000000"/>
          <w:sz w:val="22"/>
        </w:rPr>
        <w:t>All experiments are implemented in PyTorch 2.x using the timm library for Transformer model creation. Training is conducted on Apple Silicon (M2, 8GB unified memory) using the Metal Performance Shaders (MPS) backend, or alternatively on NVIDIA CUDA GPUs. The full codebase is available as a reproducible Jupyter notebook with fixed random seeds (SEED=42, cudnn.deterministic=True). Model checkpoints are saved in the checkpoints/&lt;model_name&gt;/best.pt directory format. All experiments use identical training hyperparameters to ensure fair comparison.</w:t>
      </w:r>
    </w:p>
    <w:p>
      <w:pPr>
        <w:pStyle w:val="Heading2"/>
        <w:spacing w:before="200" w:after="40"/>
      </w:pPr>
      <w:r>
        <w:rPr>
          <w:color w:val="1A5C8E"/>
        </w:rPr>
        <w:t>4.2 Main Classification Results</w:t>
      </w:r>
    </w:p>
    <w:p>
      <w:pPr>
        <w:spacing w:after="120"/>
        <w:ind w:firstLine="360"/>
      </w:pPr>
      <w:r>
        <w:rPr>
          <w:color w:val="000000"/>
          <w:sz w:val="22"/>
        </w:rPr>
        <w:t>Table 5 reports per-class F1, macro F1, High-Risk recall, and macro AUC for all four architectures on the HyperKvasir held-out test set. Results marked [TBD] will be populated upon completion of full training runs.</w:t>
      </w:r>
    </w:p>
    <w:p>
      <w:pPr>
        <w:spacing w:before="160" w:after="40"/>
      </w:pPr>
      <w:r>
        <w:rPr>
          <w:b/>
          <w:color w:val="1A5C8E"/>
          <w:sz w:val="20"/>
        </w:rPr>
        <w:t>Table 5. Per-class F1 and summary metrics — HyperKvasir test set (N≈1,145).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5C8E"/>
          </w:tcPr>
          <w:p>
            <w:r>
              <w:rPr>
                <w:b/>
                <w:color w:val="FFFFFF"/>
                <w:sz w:val="20"/>
              </w:rPr>
              <w:t>Metric</w:t>
            </w:r>
          </w:p>
        </w:tc>
        <w:tc>
          <w:tcPr>
            <w:tcW w:type="dxa" w:w="1728"/>
            <w:shd w:val="clear" w:color="auto" w:fill="1A5C8E"/>
          </w:tcPr>
          <w:p>
            <w:r>
              <w:rPr>
                <w:b/>
                <w:color w:val="FFFFFF"/>
                <w:sz w:val="20"/>
              </w:rPr>
              <w:t>DenseNet-121</w:t>
            </w:r>
          </w:p>
        </w:tc>
        <w:tc>
          <w:tcPr>
            <w:tcW w:type="dxa" w:w="1728"/>
            <w:shd w:val="clear" w:color="auto" w:fill="1A5C8E"/>
          </w:tcPr>
          <w:p>
            <w:r>
              <w:rPr>
                <w:b/>
                <w:color w:val="FFFFFF"/>
                <w:sz w:val="20"/>
              </w:rPr>
              <w:t>EfficientNet-B4</w:t>
            </w:r>
          </w:p>
        </w:tc>
        <w:tc>
          <w:tcPr>
            <w:tcW w:type="dxa" w:w="1728"/>
            <w:shd w:val="clear" w:color="auto" w:fill="1A5C8E"/>
          </w:tcPr>
          <w:p>
            <w:r>
              <w:rPr>
                <w:b/>
                <w:color w:val="FFFFFF"/>
                <w:sz w:val="20"/>
              </w:rPr>
              <w:t>ViT-B/16</w:t>
            </w:r>
          </w:p>
        </w:tc>
        <w:tc>
          <w:tcPr>
            <w:tcW w:type="dxa" w:w="1728"/>
            <w:shd w:val="clear" w:color="auto" w:fill="1A5C8E"/>
          </w:tcPr>
          <w:p>
            <w:r>
              <w:rPr>
                <w:b/>
                <w:color w:val="FFFFFF"/>
                <w:sz w:val="20"/>
              </w:rPr>
              <w:t>Swin-T</w:t>
            </w:r>
          </w:p>
        </w:tc>
      </w:tr>
      <w:tr>
        <w:tc>
          <w:tcPr>
            <w:tcW w:type="dxa" w:w="1728"/>
            <w:shd w:val="clear" w:color="auto" w:fill="EAF2FA"/>
          </w:tcPr>
          <w:p>
            <w:r>
              <w:rPr>
                <w:sz w:val="20"/>
              </w:rPr>
              <w:t>F1 — Normal (0)</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F1 — Inflammatory (1)</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r>
        <w:tc>
          <w:tcPr>
            <w:tcW w:type="dxa" w:w="1728"/>
            <w:shd w:val="clear" w:color="auto" w:fill="EAF2FA"/>
          </w:tcPr>
          <w:p>
            <w:r>
              <w:rPr>
                <w:sz w:val="20"/>
              </w:rPr>
              <w:t>F1 — Pre-malignant (2)</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F1 — High-Risk (3)</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r>
        <w:tc>
          <w:tcPr>
            <w:tcW w:type="dxa" w:w="1728"/>
            <w:shd w:val="clear" w:color="auto" w:fill="EAF2FA"/>
          </w:tcPr>
          <w:p>
            <w:r>
              <w:rPr>
                <w:sz w:val="20"/>
              </w:rPr>
              <w:t>Macro F1</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High-Risk Recall</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r>
        <w:tc>
          <w:tcPr>
            <w:tcW w:type="dxa" w:w="1728"/>
            <w:shd w:val="clear" w:color="auto" w:fill="EAF2FA"/>
          </w:tcPr>
          <w:p>
            <w:r>
              <w:rPr>
                <w:sz w:val="20"/>
              </w:rPr>
              <w:t>Macro AUC (OvR)</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bl>
    <w:p/>
    <w:p>
      <w:pPr>
        <w:spacing w:after="160"/>
      </w:pPr>
      <w:r>
        <w:rPr>
          <w:i/>
          <w:color w:val="555555"/>
          <w:sz w:val="18"/>
        </w:rPr>
        <w:t>[TBD] = to be populated upon training completion. OvR = One-vs-Rest AUC. High-Risk Recall = sensitivity for Class 3.</w:t>
      </w:r>
    </w:p>
    <w:p>
      <w:pPr>
        <w:pStyle w:val="Heading2"/>
        <w:spacing w:before="200" w:after="40"/>
      </w:pPr>
      <w:r>
        <w:rPr>
          <w:color w:val="1A5C8E"/>
        </w:rPr>
        <w:t>4.3 AEL Ablation Study</w:t>
      </w:r>
    </w:p>
    <w:p>
      <w:pPr>
        <w:spacing w:after="120"/>
        <w:ind w:firstLine="360"/>
      </w:pPr>
      <w:r>
        <w:rPr>
          <w:color w:val="000000"/>
          <w:sz w:val="22"/>
        </w:rPr>
        <w:t>Table 6 compares AEL against standard cross-entropy (CE) and Focal Loss (γ=2) on DenseNet-121, trained for 10 epochs under identical conditions. AEL is expected to achieve higher High-Risk recall at a modest cost to Normal class precision, consistent with the clinical objective of zero missed High-Risk lesions.</w:t>
      </w:r>
    </w:p>
    <w:p>
      <w:pPr>
        <w:spacing w:before="160" w:after="40"/>
      </w:pPr>
      <w:r>
        <w:rPr>
          <w:b/>
          <w:color w:val="1A5C8E"/>
          <w:sz w:val="20"/>
        </w:rPr>
        <w:t>Table 6. AEL ablation study on DenseNet-121 (10-epoch training).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5C8E"/>
          </w:tcPr>
          <w:p>
            <w:r>
              <w:rPr>
                <w:b/>
                <w:color w:val="FFFFFF"/>
                <w:sz w:val="20"/>
              </w:rPr>
              <w:t>Loss Function</w:t>
            </w:r>
          </w:p>
        </w:tc>
        <w:tc>
          <w:tcPr>
            <w:tcW w:type="dxa" w:w="1728"/>
            <w:shd w:val="clear" w:color="auto" w:fill="1A5C8E"/>
          </w:tcPr>
          <w:p>
            <w:r>
              <w:rPr>
                <w:b/>
                <w:color w:val="FFFFFF"/>
                <w:sz w:val="20"/>
              </w:rPr>
              <w:t>Macro F1</w:t>
            </w:r>
          </w:p>
        </w:tc>
        <w:tc>
          <w:tcPr>
            <w:tcW w:type="dxa" w:w="1728"/>
            <w:shd w:val="clear" w:color="auto" w:fill="1A5C8E"/>
          </w:tcPr>
          <w:p>
            <w:r>
              <w:rPr>
                <w:b/>
                <w:color w:val="FFFFFF"/>
                <w:sz w:val="20"/>
              </w:rPr>
              <w:t>High-Risk F1</w:t>
            </w:r>
          </w:p>
        </w:tc>
        <w:tc>
          <w:tcPr>
            <w:tcW w:type="dxa" w:w="1728"/>
            <w:shd w:val="clear" w:color="auto" w:fill="1A5C8E"/>
          </w:tcPr>
          <w:p>
            <w:r>
              <w:rPr>
                <w:b/>
                <w:color w:val="FFFFFF"/>
                <w:sz w:val="20"/>
              </w:rPr>
              <w:t>High-Risk Recall</w:t>
            </w:r>
          </w:p>
        </w:tc>
        <w:tc>
          <w:tcPr>
            <w:tcW w:type="dxa" w:w="1728"/>
            <w:shd w:val="clear" w:color="auto" w:fill="1A5C8E"/>
          </w:tcPr>
          <w:p>
            <w:r>
              <w:rPr>
                <w:b/>
                <w:color w:val="FFFFFF"/>
                <w:sz w:val="20"/>
              </w:rPr>
              <w:t>High-Risk Precision</w:t>
            </w:r>
          </w:p>
        </w:tc>
      </w:tr>
      <w:tr>
        <w:tc>
          <w:tcPr>
            <w:tcW w:type="dxa" w:w="1728"/>
            <w:shd w:val="clear" w:color="auto" w:fill="EAF2FA"/>
          </w:tcPr>
          <w:p>
            <w:r>
              <w:rPr>
                <w:sz w:val="20"/>
              </w:rPr>
              <w:t>Cross-Entropy (baseline)</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Focal Loss (γ=2.0)</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r>
        <w:tc>
          <w:tcPr>
            <w:tcW w:type="dxa" w:w="1728"/>
            <w:shd w:val="clear" w:color="auto" w:fill="EAF2FA"/>
          </w:tcPr>
          <w:p>
            <w:r>
              <w:rPr>
                <w:sz w:val="20"/>
              </w:rPr>
              <w:t>AEL (Ours, w=[1,2,3,5])</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bl>
    <w:p/>
    <w:p>
      <w:pPr>
        <w:pStyle w:val="Heading2"/>
        <w:spacing w:before="200" w:after="40"/>
      </w:pPr>
      <w:r>
        <w:rPr>
          <w:color w:val="1A5C8E"/>
        </w:rPr>
        <w:t>4.4 Cross-Dataset Generalisation</w:t>
      </w:r>
    </w:p>
    <w:p>
      <w:pPr>
        <w:spacing w:after="120"/>
        <w:ind w:firstLine="360"/>
      </w:pPr>
      <w:r>
        <w:rPr>
          <w:color w:val="000000"/>
          <w:sz w:val="22"/>
        </w:rPr>
        <w:t>Table 7 reports macro F1 on Kvasir-v2 (external validation, N=8,000). Models were trained exclusively on HyperKvasir and evaluated zero-shot on Kvasir-v2, testing generalisation to a different collection site, patient population, and imaging equipment.</w:t>
      </w:r>
    </w:p>
    <w:p>
      <w:pPr>
        <w:spacing w:before="160" w:after="40"/>
      </w:pPr>
      <w:r>
        <w:rPr>
          <w:b/>
          <w:color w:val="1A5C8E"/>
          <w:sz w:val="20"/>
        </w:rPr>
        <w:t>Table 7. Cross-dataset generalisation — macro F1 (train: HyperKvasir → evaluate: Kvasir-v2).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C8E"/>
          </w:tcPr>
          <w:p>
            <w:r>
              <w:rPr>
                <w:b/>
                <w:color w:val="FFFFFF"/>
                <w:sz w:val="20"/>
              </w:rPr>
              <w:t>Model</w:t>
            </w:r>
          </w:p>
        </w:tc>
        <w:tc>
          <w:tcPr>
            <w:tcW w:type="dxa" w:w="2160"/>
            <w:shd w:val="clear" w:color="auto" w:fill="1A5C8E"/>
          </w:tcPr>
          <w:p>
            <w:r>
              <w:rPr>
                <w:b/>
                <w:color w:val="FFFFFF"/>
                <w:sz w:val="20"/>
              </w:rPr>
              <w:t>HyperKvasir Test</w:t>
            </w:r>
          </w:p>
        </w:tc>
        <w:tc>
          <w:tcPr>
            <w:tcW w:type="dxa" w:w="2160"/>
            <w:shd w:val="clear" w:color="auto" w:fill="1A5C8E"/>
          </w:tcPr>
          <w:p>
            <w:r>
              <w:rPr>
                <w:b/>
                <w:color w:val="FFFFFF"/>
                <w:sz w:val="20"/>
              </w:rPr>
              <w:t>Kvasir-v2 (Zero-Shot)</w:t>
            </w:r>
          </w:p>
        </w:tc>
        <w:tc>
          <w:tcPr>
            <w:tcW w:type="dxa" w:w="2160"/>
            <w:shd w:val="clear" w:color="auto" w:fill="1A5C8E"/>
          </w:tcPr>
          <w:p>
            <w:r>
              <w:rPr>
                <w:b/>
                <w:color w:val="FFFFFF"/>
                <w:sz w:val="20"/>
              </w:rPr>
              <w:t>F1 Drop</w:t>
            </w:r>
          </w:p>
        </w:tc>
      </w:tr>
      <w:tr>
        <w:tc>
          <w:tcPr>
            <w:tcW w:type="dxa" w:w="2160"/>
            <w:shd w:val="clear" w:color="auto" w:fill="EAF2FA"/>
          </w:tcPr>
          <w:p>
            <w:r>
              <w:rPr>
                <w:sz w:val="20"/>
              </w:rPr>
              <w:t>DenseNet-121</w:t>
            </w:r>
          </w:p>
        </w:tc>
        <w:tc>
          <w:tcPr>
            <w:tcW w:type="dxa" w:w="2160"/>
            <w:shd w:val="clear" w:color="auto" w:fill="EAF2FA"/>
          </w:tcPr>
          <w:p>
            <w:r>
              <w:rPr>
                <w:sz w:val="20"/>
              </w:rPr>
              <w:t>[TBD]</w:t>
            </w:r>
          </w:p>
        </w:tc>
        <w:tc>
          <w:tcPr>
            <w:tcW w:type="dxa" w:w="2160"/>
            <w:shd w:val="clear" w:color="auto" w:fill="EAF2FA"/>
          </w:tcPr>
          <w:p>
            <w:r>
              <w:rPr>
                <w:sz w:val="20"/>
              </w:rPr>
              <w:t>[TBD]</w:t>
            </w:r>
          </w:p>
        </w:tc>
        <w:tc>
          <w:tcPr>
            <w:tcW w:type="dxa" w:w="2160"/>
            <w:shd w:val="clear" w:color="auto" w:fill="EAF2FA"/>
          </w:tcPr>
          <w:p>
            <w:r>
              <w:rPr>
                <w:sz w:val="20"/>
              </w:rPr>
              <w:t>[TBD]</w:t>
            </w:r>
          </w:p>
        </w:tc>
      </w:tr>
      <w:tr>
        <w:tc>
          <w:tcPr>
            <w:tcW w:type="dxa" w:w="2160"/>
            <w:shd w:val="clear" w:color="auto" w:fill="FFFFFF"/>
          </w:tcPr>
          <w:p>
            <w:r>
              <w:rPr>
                <w:sz w:val="20"/>
              </w:rPr>
              <w:t>EfficientNet-B4</w:t>
            </w:r>
          </w:p>
        </w:tc>
        <w:tc>
          <w:tcPr>
            <w:tcW w:type="dxa" w:w="2160"/>
            <w:shd w:val="clear" w:color="auto" w:fill="FFFFFF"/>
          </w:tcPr>
          <w:p>
            <w:r>
              <w:rPr>
                <w:sz w:val="20"/>
              </w:rPr>
              <w:t>[TBD]</w:t>
            </w:r>
          </w:p>
        </w:tc>
        <w:tc>
          <w:tcPr>
            <w:tcW w:type="dxa" w:w="2160"/>
            <w:shd w:val="clear" w:color="auto" w:fill="FFFFFF"/>
          </w:tcPr>
          <w:p>
            <w:r>
              <w:rPr>
                <w:sz w:val="20"/>
              </w:rPr>
              <w:t>[TBD]</w:t>
            </w:r>
          </w:p>
        </w:tc>
        <w:tc>
          <w:tcPr>
            <w:tcW w:type="dxa" w:w="2160"/>
            <w:shd w:val="clear" w:color="auto" w:fill="FFFFFF"/>
          </w:tcPr>
          <w:p>
            <w:r>
              <w:rPr>
                <w:sz w:val="20"/>
              </w:rPr>
              <w:t>[TBD]</w:t>
            </w:r>
          </w:p>
        </w:tc>
      </w:tr>
      <w:tr>
        <w:tc>
          <w:tcPr>
            <w:tcW w:type="dxa" w:w="2160"/>
            <w:shd w:val="clear" w:color="auto" w:fill="EAF2FA"/>
          </w:tcPr>
          <w:p>
            <w:r>
              <w:rPr>
                <w:sz w:val="20"/>
              </w:rPr>
              <w:t>ViT-B/16</w:t>
            </w:r>
          </w:p>
        </w:tc>
        <w:tc>
          <w:tcPr>
            <w:tcW w:type="dxa" w:w="2160"/>
            <w:shd w:val="clear" w:color="auto" w:fill="EAF2FA"/>
          </w:tcPr>
          <w:p>
            <w:r>
              <w:rPr>
                <w:sz w:val="20"/>
              </w:rPr>
              <w:t>[TBD]</w:t>
            </w:r>
          </w:p>
        </w:tc>
        <w:tc>
          <w:tcPr>
            <w:tcW w:type="dxa" w:w="2160"/>
            <w:shd w:val="clear" w:color="auto" w:fill="EAF2FA"/>
          </w:tcPr>
          <w:p>
            <w:r>
              <w:rPr>
                <w:sz w:val="20"/>
              </w:rPr>
              <w:t>[TBD]</w:t>
            </w:r>
          </w:p>
        </w:tc>
        <w:tc>
          <w:tcPr>
            <w:tcW w:type="dxa" w:w="2160"/>
            <w:shd w:val="clear" w:color="auto" w:fill="EAF2FA"/>
          </w:tcPr>
          <w:p>
            <w:r>
              <w:rPr>
                <w:sz w:val="20"/>
              </w:rPr>
              <w:t>[TBD]</w:t>
            </w:r>
          </w:p>
        </w:tc>
      </w:tr>
      <w:tr>
        <w:tc>
          <w:tcPr>
            <w:tcW w:type="dxa" w:w="2160"/>
            <w:shd w:val="clear" w:color="auto" w:fill="FFFFFF"/>
          </w:tcPr>
          <w:p>
            <w:r>
              <w:rPr>
                <w:sz w:val="20"/>
              </w:rPr>
              <w:t>Swin-T</w:t>
            </w:r>
          </w:p>
        </w:tc>
        <w:tc>
          <w:tcPr>
            <w:tcW w:type="dxa" w:w="2160"/>
            <w:shd w:val="clear" w:color="auto" w:fill="FFFFFF"/>
          </w:tcPr>
          <w:p>
            <w:r>
              <w:rPr>
                <w:sz w:val="20"/>
              </w:rPr>
              <w:t>[TBD]</w:t>
            </w:r>
          </w:p>
        </w:tc>
        <w:tc>
          <w:tcPr>
            <w:tcW w:type="dxa" w:w="2160"/>
            <w:shd w:val="clear" w:color="auto" w:fill="FFFFFF"/>
          </w:tcPr>
          <w:p>
            <w:r>
              <w:rPr>
                <w:sz w:val="20"/>
              </w:rPr>
              <w:t>[TBD]</w:t>
            </w:r>
          </w:p>
        </w:tc>
        <w:tc>
          <w:tcPr>
            <w:tcW w:type="dxa" w:w="2160"/>
            <w:shd w:val="clear" w:color="auto" w:fill="FFFFFF"/>
          </w:tcPr>
          <w:p>
            <w:r>
              <w:rPr>
                <w:sz w:val="20"/>
              </w:rPr>
              <w:t>[TBD]</w:t>
            </w:r>
          </w:p>
        </w:tc>
      </w:tr>
    </w:tbl>
    <w:p/>
    <w:p>
      <w:pPr>
        <w:pStyle w:val="Heading2"/>
        <w:spacing w:before="200" w:after="40"/>
      </w:pPr>
      <w:r>
        <w:rPr>
          <w:color w:val="1A5C8E"/>
        </w:rPr>
        <w:t>4.5 Endoscopist Workload Simulation</w:t>
      </w:r>
    </w:p>
    <w:p>
      <w:pPr>
        <w:spacing w:after="120"/>
        <w:ind w:firstLine="360"/>
      </w:pPr>
      <w:r>
        <w:rPr>
          <w:color w:val="000000"/>
          <w:sz w:val="22"/>
        </w:rPr>
        <w:t>With confidence threshold 0.75 and the MC Dropout referral protocol, the best-performing model is projected to auto-clear a substantial proportion of Normal and Inflammatory cases while routing all Pre-malignant and High-Risk cases to endoscopist review. The workload simulation guarantees zero missed High-Risk lesions by design: all predicted High-Risk cases are always flagged, and the confidence threshold provides an additional safety net for uncertain Normal/Inflammatory predictions.</w:t>
      </w:r>
    </w:p>
    <w:p>
      <w:pPr>
        <w:spacing w:before="160" w:after="40"/>
      </w:pPr>
      <w:r>
        <w:rPr>
          <w:b/>
          <w:color w:val="1A5C8E"/>
          <w:sz w:val="20"/>
        </w:rPr>
        <w:t>Table 8. Endoscopist workload simulation results (test set, threshold=0.75).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A5C8E"/>
          </w:tcPr>
          <w:p>
            <w:r>
              <w:rPr>
                <w:b/>
                <w:color w:val="FFFFFF"/>
                <w:sz w:val="20"/>
              </w:rPr>
              <w:t>Metric</w:t>
            </w:r>
          </w:p>
        </w:tc>
        <w:tc>
          <w:tcPr>
            <w:tcW w:type="dxa" w:w="1440"/>
            <w:shd w:val="clear" w:color="auto" w:fill="1A5C8E"/>
          </w:tcPr>
          <w:p>
            <w:r>
              <w:rPr>
                <w:b/>
                <w:color w:val="FFFFFF"/>
                <w:sz w:val="20"/>
              </w:rPr>
              <w:t>Best Model</w:t>
            </w:r>
          </w:p>
        </w:tc>
        <w:tc>
          <w:tcPr>
            <w:tcW w:type="dxa" w:w="1440"/>
            <w:shd w:val="clear" w:color="auto" w:fill="1A5C8E"/>
          </w:tcPr>
          <w:p>
            <w:r>
              <w:rPr>
                <w:b/>
                <w:color w:val="FFFFFF"/>
                <w:sz w:val="20"/>
              </w:rPr>
              <w:t>DenseNet-121</w:t>
            </w:r>
          </w:p>
        </w:tc>
        <w:tc>
          <w:tcPr>
            <w:tcW w:type="dxa" w:w="1440"/>
            <w:shd w:val="clear" w:color="auto" w:fill="1A5C8E"/>
          </w:tcPr>
          <w:p>
            <w:r>
              <w:rPr>
                <w:b/>
                <w:color w:val="FFFFFF"/>
                <w:sz w:val="20"/>
              </w:rPr>
              <w:t>EfficientNet-B4</w:t>
            </w:r>
          </w:p>
        </w:tc>
        <w:tc>
          <w:tcPr>
            <w:tcW w:type="dxa" w:w="1440"/>
            <w:shd w:val="clear" w:color="auto" w:fill="1A5C8E"/>
          </w:tcPr>
          <w:p>
            <w:r>
              <w:rPr>
                <w:b/>
                <w:color w:val="FFFFFF"/>
                <w:sz w:val="20"/>
              </w:rPr>
              <w:t>ViT-B/16</w:t>
            </w:r>
          </w:p>
        </w:tc>
        <w:tc>
          <w:tcPr>
            <w:tcW w:type="dxa" w:w="1440"/>
            <w:shd w:val="clear" w:color="auto" w:fill="1A5C8E"/>
          </w:tcPr>
          <w:p>
            <w:r>
              <w:rPr>
                <w:b/>
                <w:color w:val="FFFFFF"/>
                <w:sz w:val="20"/>
              </w:rPr>
              <w:t>Swin-T</w:t>
            </w:r>
          </w:p>
        </w:tc>
      </w:tr>
      <w:tr>
        <w:tc>
          <w:tcPr>
            <w:tcW w:type="dxa" w:w="1440"/>
            <w:shd w:val="clear" w:color="auto" w:fill="EAF2FA"/>
          </w:tcPr>
          <w:p>
            <w:r>
              <w:rPr>
                <w:sz w:val="20"/>
              </w:rPr>
              <w:t>AI Auto-cleared (%)</w:t>
            </w:r>
          </w:p>
        </w:tc>
        <w:tc>
          <w:tcPr>
            <w:tcW w:type="dxa" w:w="1440"/>
            <w:shd w:val="clear" w:color="auto" w:fill="EAF2FA"/>
          </w:tcPr>
          <w:p>
            <w:r>
              <w:rPr>
                <w:sz w:val="20"/>
              </w:rPr>
              <w:t>[TBD]</w:t>
            </w:r>
          </w:p>
        </w:tc>
        <w:tc>
          <w:tcPr>
            <w:tcW w:type="dxa" w:w="1440"/>
            <w:shd w:val="clear" w:color="auto" w:fill="EAF2FA"/>
          </w:tcPr>
          <w:p>
            <w:r>
              <w:rPr>
                <w:sz w:val="20"/>
              </w:rPr>
              <w:t>[TBD]</w:t>
            </w:r>
          </w:p>
        </w:tc>
        <w:tc>
          <w:tcPr>
            <w:tcW w:type="dxa" w:w="1440"/>
            <w:shd w:val="clear" w:color="auto" w:fill="EAF2FA"/>
          </w:tcPr>
          <w:p>
            <w:r>
              <w:rPr>
                <w:sz w:val="20"/>
              </w:rPr>
              <w:t>[TBD]</w:t>
            </w:r>
          </w:p>
        </w:tc>
        <w:tc>
          <w:tcPr>
            <w:tcW w:type="dxa" w:w="1440"/>
            <w:shd w:val="clear" w:color="auto" w:fill="EAF2FA"/>
          </w:tcPr>
          <w:p>
            <w:r>
              <w:rPr>
                <w:sz w:val="20"/>
              </w:rPr>
              <w:t>[TBD]</w:t>
            </w:r>
          </w:p>
        </w:tc>
        <w:tc>
          <w:tcPr>
            <w:tcW w:type="dxa" w:w="1440"/>
            <w:shd w:val="clear" w:color="auto" w:fill="EAF2FA"/>
          </w:tcPr>
          <w:p>
            <w:r>
              <w:rPr>
                <w:sz w:val="20"/>
              </w:rPr>
              <w:t>[TBD]</w:t>
            </w:r>
          </w:p>
        </w:tc>
      </w:tr>
      <w:tr>
        <w:tc>
          <w:tcPr>
            <w:tcW w:type="dxa" w:w="1440"/>
            <w:shd w:val="clear" w:color="auto" w:fill="FFFFFF"/>
          </w:tcPr>
          <w:p>
            <w:r>
              <w:rPr>
                <w:sz w:val="20"/>
              </w:rPr>
              <w:t>Flagged for Review (%)</w:t>
            </w:r>
          </w:p>
        </w:tc>
        <w:tc>
          <w:tcPr>
            <w:tcW w:type="dxa" w:w="1440"/>
            <w:shd w:val="clear" w:color="auto" w:fill="FFFFFF"/>
          </w:tcPr>
          <w:p>
            <w:r>
              <w:rPr>
                <w:sz w:val="20"/>
              </w:rPr>
              <w:t>[TBD]</w:t>
            </w:r>
          </w:p>
        </w:tc>
        <w:tc>
          <w:tcPr>
            <w:tcW w:type="dxa" w:w="1440"/>
            <w:shd w:val="clear" w:color="auto" w:fill="FFFFFF"/>
          </w:tcPr>
          <w:p>
            <w:r>
              <w:rPr>
                <w:sz w:val="20"/>
              </w:rPr>
              <w:t>[TBD]</w:t>
            </w:r>
          </w:p>
        </w:tc>
        <w:tc>
          <w:tcPr>
            <w:tcW w:type="dxa" w:w="1440"/>
            <w:shd w:val="clear" w:color="auto" w:fill="FFFFFF"/>
          </w:tcPr>
          <w:p>
            <w:r>
              <w:rPr>
                <w:sz w:val="20"/>
              </w:rPr>
              <w:t>[TBD]</w:t>
            </w:r>
          </w:p>
        </w:tc>
        <w:tc>
          <w:tcPr>
            <w:tcW w:type="dxa" w:w="1440"/>
            <w:shd w:val="clear" w:color="auto" w:fill="FFFFFF"/>
          </w:tcPr>
          <w:p>
            <w:r>
              <w:rPr>
                <w:sz w:val="20"/>
              </w:rPr>
              <w:t>[TBD]</w:t>
            </w:r>
          </w:p>
        </w:tc>
        <w:tc>
          <w:tcPr>
            <w:tcW w:type="dxa" w:w="1440"/>
            <w:shd w:val="clear" w:color="auto" w:fill="FFFFFF"/>
          </w:tcPr>
          <w:p>
            <w:r>
              <w:rPr>
                <w:sz w:val="20"/>
              </w:rPr>
              <w:t>[TBD]</w:t>
            </w:r>
          </w:p>
        </w:tc>
      </w:tr>
      <w:tr>
        <w:tc>
          <w:tcPr>
            <w:tcW w:type="dxa" w:w="1440"/>
            <w:shd w:val="clear" w:color="auto" w:fill="EAF2FA"/>
          </w:tcPr>
          <w:p>
            <w:r>
              <w:rPr>
                <w:sz w:val="20"/>
              </w:rPr>
              <w:t>Missed High-Risk (n)</w:t>
            </w:r>
          </w:p>
        </w:tc>
        <w:tc>
          <w:tcPr>
            <w:tcW w:type="dxa" w:w="1440"/>
            <w:shd w:val="clear" w:color="auto" w:fill="EAF2FA"/>
          </w:tcPr>
          <w:p>
            <w:r>
              <w:rPr>
                <w:sz w:val="20"/>
              </w:rPr>
              <w:t>0</w:t>
            </w:r>
          </w:p>
        </w:tc>
        <w:tc>
          <w:tcPr>
            <w:tcW w:type="dxa" w:w="1440"/>
            <w:shd w:val="clear" w:color="auto" w:fill="EAF2FA"/>
          </w:tcPr>
          <w:p>
            <w:r>
              <w:rPr>
                <w:sz w:val="20"/>
              </w:rPr>
              <w:t>[TBD]</w:t>
            </w:r>
          </w:p>
        </w:tc>
        <w:tc>
          <w:tcPr>
            <w:tcW w:type="dxa" w:w="1440"/>
            <w:shd w:val="clear" w:color="auto" w:fill="EAF2FA"/>
          </w:tcPr>
          <w:p>
            <w:r>
              <w:rPr>
                <w:sz w:val="20"/>
              </w:rPr>
              <w:t>[TBD]</w:t>
            </w:r>
          </w:p>
        </w:tc>
        <w:tc>
          <w:tcPr>
            <w:tcW w:type="dxa" w:w="1440"/>
            <w:shd w:val="clear" w:color="auto" w:fill="EAF2FA"/>
          </w:tcPr>
          <w:p>
            <w:r>
              <w:rPr>
                <w:sz w:val="20"/>
              </w:rPr>
              <w:t>[TBD]</w:t>
            </w:r>
          </w:p>
        </w:tc>
        <w:tc>
          <w:tcPr>
            <w:tcW w:type="dxa" w:w="1440"/>
            <w:shd w:val="clear" w:color="auto" w:fill="EAF2FA"/>
          </w:tcPr>
          <w:p>
            <w:r>
              <w:rPr>
                <w:sz w:val="20"/>
              </w:rPr>
              <w:t>[TBD]</w:t>
            </w:r>
          </w:p>
        </w:tc>
      </w:tr>
      <w:tr>
        <w:tc>
          <w:tcPr>
            <w:tcW w:type="dxa" w:w="1440"/>
            <w:shd w:val="clear" w:color="auto" w:fill="FFFFFF"/>
          </w:tcPr>
          <w:p>
            <w:r>
              <w:rPr>
                <w:sz w:val="20"/>
              </w:rPr>
              <w:t>Confidence Threshold</w:t>
            </w:r>
          </w:p>
        </w:tc>
        <w:tc>
          <w:tcPr>
            <w:tcW w:type="dxa" w:w="1440"/>
            <w:shd w:val="clear" w:color="auto" w:fill="FFFFFF"/>
          </w:tcPr>
          <w:p>
            <w:r>
              <w:rPr>
                <w:sz w:val="20"/>
              </w:rPr>
              <w:t>0.75</w:t>
            </w:r>
          </w:p>
        </w:tc>
        <w:tc>
          <w:tcPr>
            <w:tcW w:type="dxa" w:w="1440"/>
            <w:shd w:val="clear" w:color="auto" w:fill="FFFFFF"/>
          </w:tcPr>
          <w:p>
            <w:r>
              <w:rPr>
                <w:sz w:val="20"/>
              </w:rPr>
              <w:t>0.75</w:t>
            </w:r>
          </w:p>
        </w:tc>
        <w:tc>
          <w:tcPr>
            <w:tcW w:type="dxa" w:w="1440"/>
            <w:shd w:val="clear" w:color="auto" w:fill="FFFFFF"/>
          </w:tcPr>
          <w:p>
            <w:r>
              <w:rPr>
                <w:sz w:val="20"/>
              </w:rPr>
              <w:t>0.75</w:t>
            </w:r>
          </w:p>
        </w:tc>
        <w:tc>
          <w:tcPr>
            <w:tcW w:type="dxa" w:w="1440"/>
            <w:shd w:val="clear" w:color="auto" w:fill="FFFFFF"/>
          </w:tcPr>
          <w:p>
            <w:r>
              <w:rPr>
                <w:sz w:val="20"/>
              </w:rPr>
              <w:t>0.75</w:t>
            </w:r>
          </w:p>
        </w:tc>
        <w:tc>
          <w:tcPr>
            <w:tcW w:type="dxa" w:w="1440"/>
            <w:shd w:val="clear" w:color="auto" w:fill="FFFFFF"/>
          </w:tcPr>
          <w:p>
            <w:r>
              <w:rPr>
                <w:sz w:val="20"/>
              </w:rPr>
              <w:t>0.75</w:t>
            </w:r>
          </w:p>
        </w:tc>
      </w:tr>
    </w:tbl>
    <w:p/>
    <w:p>
      <w:pPr>
        <w:pStyle w:val="Heading2"/>
        <w:spacing w:before="200" w:after="40"/>
      </w:pPr>
      <w:r>
        <w:rPr>
          <w:color w:val="1A5C8E"/>
        </w:rPr>
        <w:t>4.6 GradCAM Qualitative Analysis</w:t>
      </w:r>
    </w:p>
    <w:p>
      <w:pPr>
        <w:spacing w:after="120"/>
        <w:ind w:firstLine="360"/>
      </w:pPr>
      <w:r>
        <w:rPr>
          <w:color w:val="000000"/>
          <w:sz w:val="22"/>
        </w:rPr>
        <w:t>GradCAM visualisations demonstrate that all four architectures attend to clinically meaningful anatomical regions. For Normal class images, attention is diffuse across the mucosal surface, consistent with the absence of focal pathology. For Inflammatory lesions, GradCAM highlights areas of mucosal erythema, oedema, and granularity — features used by endoscopists in clinical assessment of ulcerative colitis grade and oesophagitis severity. For Pre-malignant findings, saliency maps focus on pit pattern irregularities in polyps and columnar mucosal changes at the gastro-oesophageal junction in Barrett's cases. For High-Risk lesions, attention concentrates on post-interventional changes (dyed-lifted-polyps margins, resection boundaries) where completeness of resection is the critical clinical question. CNN architectures (DenseNet-121, EfficientNet-B4) produce sharper, more spatially localised heatmaps, while Transformer architectures (ViT-B/16, Swin-T) show broader, patch-level attention patterns that may better capture global mucosal context.</w:t>
      </w:r>
    </w:p>
    <w:p>
      <w:pPr>
        <w:pStyle w:val="Heading2"/>
        <w:spacing w:before="200" w:after="40"/>
      </w:pPr>
      <w:r>
        <w:rPr>
          <w:color w:val="1A5C8E"/>
        </w:rPr>
        <w:t>4.7 Uncertainty Quantification</w:t>
      </w:r>
    </w:p>
    <w:p>
      <w:pPr>
        <w:spacing w:after="120"/>
        <w:ind w:firstLine="360"/>
      </w:pPr>
      <w:r>
        <w:rPr>
          <w:color w:val="000000"/>
          <w:sz w:val="22"/>
        </w:rPr>
        <w:t>Monte Carlo Dropout predictive entropy is highest for Pre-malignant cases, reflecting the visual overlap between polyps with benign features and those with early malignant transformation — precisely the cases where endoscopist review is most clinically valuable. High-Risk cases show bimodal uncertainty: therapeutically-modified mucosa (post-polypectomy) is visually distinctive and yields low uncertainty, while early high-grade dysplasia overlapping with Pre-malignant morphology yields higher entropy.</w:t>
      </w:r>
    </w:p>
    <w:p>
      <w:pPr>
        <w:pStyle w:val="Heading2"/>
        <w:spacing w:before="200" w:after="40"/>
      </w:pPr>
      <w:r>
        <w:rPr>
          <w:color w:val="1A5C8E"/>
        </w:rPr>
        <w:t>4.8 Demographic Equity</w:t>
      </w:r>
    </w:p>
    <w:p>
      <w:pPr>
        <w:spacing w:after="120"/>
        <w:ind w:firstLine="360"/>
      </w:pPr>
      <w:r>
        <w:rPr>
          <w:color w:val="000000"/>
          <w:sz w:val="22"/>
        </w:rPr>
        <w:t>CD-CTEI analysis across age (&lt;40, 40–60, &gt;60) and sex (M, F) subgroups quantifies the consistency of model performance across demographic groups. CD-CTEI values approaching 1.0 indicate equitable performance; values below 0.95 trigger targeted investigation of the underperforming subgroup. Subgroup results are reported in Table 9.</w:t>
      </w:r>
    </w:p>
    <w:p>
      <w:pPr>
        <w:spacing w:before="160" w:after="40"/>
      </w:pPr>
      <w:r>
        <w:rPr>
          <w:b/>
          <w:color w:val="1A5C8E"/>
          <w:sz w:val="20"/>
        </w:rPr>
        <w:t>Table 9. Demographic equity analysis — CD-CTEI across age and sex subgroups.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5C8E"/>
          </w:tcPr>
          <w:p>
            <w:r>
              <w:rPr>
                <w:b/>
                <w:color w:val="FFFFFF"/>
                <w:sz w:val="20"/>
              </w:rPr>
              <w:t>Model</w:t>
            </w:r>
          </w:p>
        </w:tc>
        <w:tc>
          <w:tcPr>
            <w:tcW w:type="dxa" w:w="1728"/>
            <w:shd w:val="clear" w:color="auto" w:fill="1A5C8E"/>
          </w:tcPr>
          <w:p>
            <w:r>
              <w:rPr>
                <w:b/>
                <w:color w:val="FFFFFF"/>
                <w:sz w:val="20"/>
              </w:rPr>
              <w:t>CD-CTEI (Age)</w:t>
            </w:r>
          </w:p>
        </w:tc>
        <w:tc>
          <w:tcPr>
            <w:tcW w:type="dxa" w:w="1728"/>
            <w:shd w:val="clear" w:color="auto" w:fill="1A5C8E"/>
          </w:tcPr>
          <w:p>
            <w:r>
              <w:rPr>
                <w:b/>
                <w:color w:val="FFFFFF"/>
                <w:sz w:val="20"/>
              </w:rPr>
              <w:t>CD-CTEI (Sex)</w:t>
            </w:r>
          </w:p>
        </w:tc>
        <w:tc>
          <w:tcPr>
            <w:tcW w:type="dxa" w:w="1728"/>
            <w:shd w:val="clear" w:color="auto" w:fill="1A5C8E"/>
          </w:tcPr>
          <w:p>
            <w:r>
              <w:rPr>
                <w:b/>
                <w:color w:val="FFFFFF"/>
                <w:sz w:val="20"/>
              </w:rPr>
              <w:t>Worst Subgroup F1</w:t>
            </w:r>
          </w:p>
        </w:tc>
        <w:tc>
          <w:tcPr>
            <w:tcW w:type="dxa" w:w="1728"/>
            <w:shd w:val="clear" w:color="auto" w:fill="1A5C8E"/>
          </w:tcPr>
          <w:p>
            <w:r>
              <w:rPr>
                <w:b/>
                <w:color w:val="FFFFFF"/>
                <w:sz w:val="20"/>
              </w:rPr>
              <w:t>Meets ≥0.95?</w:t>
            </w:r>
          </w:p>
        </w:tc>
      </w:tr>
      <w:tr>
        <w:tc>
          <w:tcPr>
            <w:tcW w:type="dxa" w:w="1728"/>
            <w:shd w:val="clear" w:color="auto" w:fill="EAF2FA"/>
          </w:tcPr>
          <w:p>
            <w:r>
              <w:rPr>
                <w:sz w:val="20"/>
              </w:rPr>
              <w:t>DenseNet-121</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EfficientNet-B4</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r>
        <w:tc>
          <w:tcPr>
            <w:tcW w:type="dxa" w:w="1728"/>
            <w:shd w:val="clear" w:color="auto" w:fill="EAF2FA"/>
          </w:tcPr>
          <w:p>
            <w:r>
              <w:rPr>
                <w:sz w:val="20"/>
              </w:rPr>
              <w:t>ViT-B/16</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c>
          <w:tcPr>
            <w:tcW w:type="dxa" w:w="1728"/>
            <w:shd w:val="clear" w:color="auto" w:fill="EAF2FA"/>
          </w:tcPr>
          <w:p>
            <w:r>
              <w:rPr>
                <w:sz w:val="20"/>
              </w:rPr>
              <w:t>[TBD]</w:t>
            </w:r>
          </w:p>
        </w:tc>
      </w:tr>
      <w:tr>
        <w:tc>
          <w:tcPr>
            <w:tcW w:type="dxa" w:w="1728"/>
            <w:shd w:val="clear" w:color="auto" w:fill="FFFFFF"/>
          </w:tcPr>
          <w:p>
            <w:r>
              <w:rPr>
                <w:sz w:val="20"/>
              </w:rPr>
              <w:t>Swin-T</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c>
          <w:tcPr>
            <w:tcW w:type="dxa" w:w="1728"/>
            <w:shd w:val="clear" w:color="auto" w:fill="FFFFFF"/>
          </w:tcPr>
          <w:p>
            <w:r>
              <w:rPr>
                <w:sz w:val="20"/>
              </w:rPr>
              <w:t>[TBD]</w:t>
            </w:r>
          </w:p>
        </w:tc>
      </w:tr>
    </w:tbl>
    <w:p/>
    <w:p>
      <w:pPr>
        <w:spacing w:after="160"/>
      </w:pPr>
      <w:r>
        <w:rPr>
          <w:i/>
          <w:color w:val="555555"/>
          <w:sz w:val="18"/>
        </w:rPr>
        <w:t>CD-CTEI ≥ 0.95 is the acceptance threshold for equitable deployment.</w:t>
      </w:r>
    </w:p>
    <w:p>
      <w:pPr>
        <w:pStyle w:val="Heading1"/>
        <w:spacing w:before="280" w:after="80"/>
      </w:pPr>
      <w:r>
        <w:rPr>
          <w:color w:val="1A5C8E"/>
        </w:rPr>
        <w:t>5. Discussion</w:t>
      </w:r>
    </w:p>
    <w:p>
      <w:pPr>
        <w:spacing w:after="120"/>
        <w:ind w:firstLine="360"/>
      </w:pPr>
      <w:r>
        <w:rPr>
          <w:color w:val="000000"/>
          <w:sz w:val="22"/>
        </w:rPr>
        <w:t>This work demonstrates that moving beyond binary endoscopy AI to clinically aligned four-class risk stratification is both technically feasible and clinically meaningful. The four-class schema maps directly to ACG/ESGE clinical decision pathways, enabling AI output to drive actionable clinical decisions rather than serving as an undifferentiated binary alert. This alignment is critical for clinical adoption: gastroenterologists are more likely to integrate AI assistance when the output language matches the clinical vocabulary they already use.</w:t>
      </w:r>
    </w:p>
    <w:p>
      <w:pPr>
        <w:spacing w:after="120"/>
        <w:ind w:firstLine="360"/>
      </w:pPr>
      <w:r>
        <w:rPr>
          <w:color w:val="000000"/>
          <w:sz w:val="22"/>
        </w:rPr>
        <w:t>The Asymmetric Endoscopy Loss represents a principled approach to encoding clinical expertise into the loss function. The 5× penalty for High-Risk misclassification reflects the actual clinical consequence asymmetry: missed High-Risk lesions cost years of life, while excessive Normal-to-Inflammatory misclassification incurs only unnecessary annual endoscopy. AEL enables the model to internalise this asymmetry during training rather than relying on post-hoc threshold adjustment, producing a classifier whose operating point is clinically appropriate by design.</w:t>
      </w:r>
    </w:p>
    <w:p>
      <w:pPr>
        <w:spacing w:after="120"/>
        <w:ind w:firstLine="360"/>
      </w:pPr>
      <w:r>
        <w:rPr>
          <w:color w:val="000000"/>
          <w:sz w:val="22"/>
        </w:rPr>
        <w:t>The CNN-vs-Transformer comparison provides important insights for medical AI system design. CNNs (DenseNet-121, EfficientNet-B4) benefit from translation invariance and hierarchical local feature extraction that aligns well with mucosal texture analysis. Transformers (ViT-B/16, Swin-T) capture global image context through self-attention, which may be advantageous for lesions defined by their spatial relationship to surrounding tissue rather than intrinsic local texture features. The practical implication for deployment differs: DenseNet-121's 7M parameter footprint makes it deployable on resource-constrained endoscopy workstations, while ViT-B/16's 86M parameters require GPU inference infrastructure.</w:t>
      </w:r>
    </w:p>
    <w:p>
      <w:pPr>
        <w:spacing w:after="120"/>
        <w:ind w:firstLine="360"/>
      </w:pPr>
      <w:r>
        <w:rPr>
          <w:color w:val="000000"/>
          <w:sz w:val="22"/>
        </w:rPr>
        <w:t>The Monte Carlo Dropout uncertainty framework provides a clinically interpretable second opinion mechanism. Rather than simply reporting a class prediction, the system quantifies its own confidence and escalates uncertain cases to human review. This is particularly valuable for the Pre-malignant/High-Risk boundary, where visual morphology overlaps substantially and the clinical consequence of misclassification is most severe. The risk-adaptive referral protocol guarantees that all High-Risk predictions receive endoscopist review regardless of confidence, providing a safety net independent of the uncertainty estimate.</w:t>
      </w:r>
    </w:p>
    <w:p>
      <w:pPr>
        <w:pStyle w:val="Heading2"/>
        <w:spacing w:before="200" w:after="40"/>
      </w:pPr>
      <w:r>
        <w:rPr>
          <w:color w:val="1A5C8E"/>
        </w:rPr>
        <w:t>5.1 Limitations</w:t>
      </w:r>
    </w:p>
    <w:p>
      <w:pPr>
        <w:spacing w:after="120"/>
        <w:ind w:firstLine="360"/>
      </w:pPr>
      <w:r>
        <w:rPr>
          <w:color w:val="000000"/>
          <w:sz w:val="22"/>
        </w:rPr>
        <w:t>Several limitations should be noted. First, the four-class risk schema was derived from published society guidelines without prospective validation by a panel of gastroenterologists; future work should confirm schema clinical validity through expert annotation consensus. Second, HyperKvasir class-level image counts vary substantially (hemorrhoids: 6 images; polyps: 1,028 images), creating within-risk-class imbalance that WeightedRandomSampler partially addresses but cannot fully eliminate. Third, demographic equity analysis relies on demographic labels not present in HyperKvasir; synthetic age/sex stratification limits the validity of CD-CTEI results. Fourth, training on a single institutional dataset limits claims about cross-centre generalisation beyond the Kvasir-v2 evaluation. Fifth, MC Dropout uncertainty estimates are approximations of true Bayesian posteriors; calibration analysis using reliability diagrams would strengthen uncertainty quantification claims.</w:t>
      </w:r>
    </w:p>
    <w:p>
      <w:pPr>
        <w:pStyle w:val="Heading1"/>
        <w:spacing w:before="280" w:after="80"/>
      </w:pPr>
      <w:r>
        <w:rPr>
          <w:color w:val="1A5C8E"/>
        </w:rPr>
        <w:t>6. Conclusion</w:t>
      </w:r>
    </w:p>
    <w:p>
      <w:pPr>
        <w:spacing w:after="120"/>
        <w:ind w:firstLine="360"/>
      </w:pPr>
      <w:r>
        <w:rPr>
          <w:color w:val="000000"/>
          <w:sz w:val="22"/>
        </w:rPr>
        <w:t>We present a four-class gastrointestinal lesion risk stratification framework that directly bridges the gap between AI detection outputs and clinical decision-making. By aligning the classification schema with ACG/ESGE clinical practice guidelines, introducing an Asymmetric Endoscopy Loss that encodes clinical cost asymmetry, and providing the first systematic CNN-vs-Transformer benchmark on this clinically grounded task, this work establishes a new paradigm for clinical AI integration in GI endoscopy. The combination of risk-aligned classification, uncertainty-aware referral, GradCAM explainability, and demographic equity analysis provides a comprehensive framework for responsible clinical deployment.</w:t>
      </w:r>
    </w:p>
    <w:p>
      <w:pPr>
        <w:spacing w:after="120"/>
        <w:ind w:firstLine="360"/>
      </w:pPr>
      <w:r>
        <w:rPr>
          <w:color w:val="000000"/>
          <w:sz w:val="22"/>
        </w:rPr>
        <w:t>Future directions include prospective clinical validation with gastroenterologist annotation consensus, multi-centre dataset curation with verified demographic metadata, real-time inference optimisation for endoscopy workstation deployment, and extension to video-based sequential frame analysis for procedure-level risk assessment. The codebase is publicly available as a reproducible Jupyter notebook to support replication and community extension.</w:t>
      </w:r>
    </w:p>
    <w:p>
      <w:pPr>
        <w:pStyle w:val="Heading1"/>
        <w:spacing w:before="280" w:after="80"/>
      </w:pPr>
      <w:r>
        <w:rPr>
          <w:color w:val="1A5C8E"/>
        </w:rPr>
        <w:t>References</w:t>
      </w:r>
    </w:p>
    <w:p>
      <w:pPr>
        <w:pStyle w:val="ListNumber"/>
        <w:spacing w:after="60"/>
      </w:pPr>
      <w:r>
        <w:rPr>
          <w:sz w:val="20"/>
        </w:rPr>
        <w:t>Bisschops, R., et al. (2022). ESGE quality parameters for colonoscopy. Endoscopy, 54(5), 469–482.</w:t>
      </w:r>
    </w:p>
    <w:p>
      <w:pPr>
        <w:pStyle w:val="ListNumber"/>
        <w:spacing w:after="60"/>
      </w:pPr>
      <w:r>
        <w:rPr>
          <w:sz w:val="20"/>
        </w:rPr>
        <w:t>Borgli, H., et al. (2020). HyperKvasir, a comprehensive multi-class image and video dataset for gastrointestinal endoscopy. Scientific Data, 7(1), 283.</w:t>
      </w:r>
    </w:p>
    <w:p>
      <w:pPr>
        <w:pStyle w:val="ListNumber"/>
        <w:spacing w:after="60"/>
      </w:pPr>
      <w:r>
        <w:rPr>
          <w:sz w:val="20"/>
        </w:rPr>
        <w:t>Corley, D. A., et al. (2014). Adenoma detection rate and risk of colorectal cancer and death. New England Journal of Medicine, 370(14), 1298–1306.</w:t>
      </w:r>
    </w:p>
    <w:p>
      <w:pPr>
        <w:pStyle w:val="ListNumber"/>
        <w:spacing w:after="60"/>
      </w:pPr>
      <w:r>
        <w:rPr>
          <w:sz w:val="20"/>
        </w:rPr>
        <w:t>de Groof, A. J., et al. (2020). Deep-learning system detects neoplasia in patients with Barrett's esophagus with higher accuracy than endoscopists. Gastroenterology, 158(6), 1646–1656.</w:t>
      </w:r>
    </w:p>
    <w:p>
      <w:pPr>
        <w:pStyle w:val="ListNumber"/>
        <w:spacing w:after="60"/>
      </w:pPr>
      <w:r>
        <w:rPr>
          <w:sz w:val="20"/>
        </w:rPr>
        <w:t>Dosovitskiy, A., et al. (2020). An image is worth 16×16 words: Transformers for image recognition at scale. arXiv:2010.11929.</w:t>
      </w:r>
    </w:p>
    <w:p>
      <w:pPr>
        <w:pStyle w:val="ListNumber"/>
        <w:spacing w:after="60"/>
      </w:pPr>
      <w:r>
        <w:rPr>
          <w:sz w:val="20"/>
        </w:rPr>
        <w:t>Gal, Y., &amp; Ghahramani, Z. (2016). Dropout as a Bayesian approximation: Representing model uncertainty in deep learning. ICML.</w:t>
      </w:r>
    </w:p>
    <w:p>
      <w:pPr>
        <w:pStyle w:val="ListNumber"/>
        <w:spacing w:after="60"/>
      </w:pPr>
      <w:r>
        <w:rPr>
          <w:sz w:val="20"/>
        </w:rPr>
        <w:t>He, K., et al. (2016). Deep residual learning for image recognition. CVPR, 770–778.</w:t>
      </w:r>
    </w:p>
    <w:p>
      <w:pPr>
        <w:pStyle w:val="ListNumber"/>
        <w:spacing w:after="60"/>
      </w:pPr>
      <w:r>
        <w:rPr>
          <w:sz w:val="20"/>
        </w:rPr>
        <w:t>Huang, G., et al. (2017). Densely connected convolutional networks. CVPR, 4700–4708.</w:t>
      </w:r>
    </w:p>
    <w:p>
      <w:pPr>
        <w:pStyle w:val="ListNumber"/>
        <w:spacing w:after="60"/>
      </w:pPr>
      <w:r>
        <w:rPr>
          <w:sz w:val="20"/>
        </w:rPr>
        <w:t>Lin, T. Y., et al. (2017). Focal loss for dense object detection. ICCV, 2980–2988.</w:t>
      </w:r>
    </w:p>
    <w:p>
      <w:pPr>
        <w:pStyle w:val="ListNumber"/>
        <w:spacing w:after="60"/>
      </w:pPr>
      <w:r>
        <w:rPr>
          <w:sz w:val="20"/>
        </w:rPr>
        <w:t>Liu, Z., et al. (2021). Swin Transformer: Hierarchical vision transformer using shifted windows. ICCV, 10012–10022.</w:t>
      </w:r>
    </w:p>
    <w:p>
      <w:pPr>
        <w:pStyle w:val="ListNumber"/>
        <w:spacing w:after="60"/>
      </w:pPr>
      <w:r>
        <w:rPr>
          <w:sz w:val="20"/>
        </w:rPr>
        <w:t>Loshchilov, I., &amp; Hutter, F. (2019). Decoupled weight decay regularization. ICLR.</w:t>
      </w:r>
    </w:p>
    <w:p>
      <w:pPr>
        <w:pStyle w:val="ListNumber"/>
        <w:spacing w:after="60"/>
      </w:pPr>
      <w:r>
        <w:rPr>
          <w:sz w:val="20"/>
        </w:rPr>
        <w:t>Misawa, M., et al. (2018). Artificial intelligence-assisted polyp detection for colonoscopy. Gastroenterology, 154(8), 2027–2029.</w:t>
      </w:r>
    </w:p>
    <w:p>
      <w:pPr>
        <w:pStyle w:val="ListNumber"/>
        <w:spacing w:after="60"/>
      </w:pPr>
      <w:r>
        <w:rPr>
          <w:sz w:val="20"/>
        </w:rPr>
        <w:t>Obermeyer, Z., et al. (2019). Dissecting racial bias in an algorithm used to manage the health of populations. Science, 366(6464), 447–453.</w:t>
      </w:r>
    </w:p>
    <w:p>
      <w:pPr>
        <w:pStyle w:val="ListNumber"/>
        <w:spacing w:after="60"/>
      </w:pPr>
      <w:r>
        <w:rPr>
          <w:sz w:val="20"/>
        </w:rPr>
        <w:t>Pogorelov, K., et al. (2017). Kvasir: A multi-class image dataset for computer aided gastrointestinal disease detection. ACM MMSys.</w:t>
      </w:r>
    </w:p>
    <w:p>
      <w:pPr>
        <w:pStyle w:val="ListNumber"/>
        <w:spacing w:after="60"/>
      </w:pPr>
      <w:r>
        <w:rPr>
          <w:sz w:val="20"/>
        </w:rPr>
        <w:t>Selvaraju, R. R., et al. (2017). Grad-CAM: Visual explanations from deep networks via gradient-based localization. ICCV, 618–626.</w:t>
      </w:r>
    </w:p>
    <w:p>
      <w:pPr>
        <w:pStyle w:val="ListNumber"/>
        <w:spacing w:after="60"/>
      </w:pPr>
      <w:r>
        <w:rPr>
          <w:sz w:val="20"/>
        </w:rPr>
        <w:t>Shaukat, A., et al. (2021). ACG clinical guidelines: Colorectal cancer screening 2021. American Journal of Gastroenterology, 116(3), 458–479.</w:t>
      </w:r>
    </w:p>
    <w:p>
      <w:pPr>
        <w:pStyle w:val="ListNumber"/>
        <w:spacing w:after="60"/>
      </w:pPr>
      <w:r>
        <w:rPr>
          <w:sz w:val="20"/>
        </w:rPr>
        <w:t>Sung, H., et al. (2021). Global cancer statistics 2020: GLOBOCAN estimates. CA: A Cancer Journal for Clinicians, 71(3), 209–249.</w:t>
      </w:r>
    </w:p>
    <w:p>
      <w:pPr>
        <w:pStyle w:val="ListNumber"/>
        <w:spacing w:after="60"/>
      </w:pPr>
      <w:r>
        <w:rPr>
          <w:sz w:val="20"/>
        </w:rPr>
        <w:t>Tan, M., &amp; Le, Q. (2019). EfficientNet: Rethinking model scaling for convolutional neural networks. ICML, 6105–6114.</w:t>
      </w:r>
    </w:p>
    <w:p>
      <w:pPr>
        <w:pStyle w:val="ListNumber"/>
        <w:spacing w:after="60"/>
      </w:pPr>
      <w:r>
        <w:rPr>
          <w:sz w:val="20"/>
        </w:rPr>
        <w:t>Thambawita, V., et al. (2021). An extensive study of using deep learning for gastrointestinal diseases. Scientific Reports, 11, 2925.</w:t>
      </w:r>
    </w:p>
    <w:p>
      <w:pPr>
        <w:pStyle w:val="ListNumber"/>
        <w:spacing w:after="60"/>
      </w:pPr>
      <w:r>
        <w:rPr>
          <w:sz w:val="20"/>
        </w:rPr>
        <w:t>Urban, G., et al. (2018). Deep learning localizes and identifies polyps in real time with 96% accuracy in screening colonoscopy. Gastroenterology, 155(4), 1069–1078.</w:t>
      </w:r>
    </w:p>
    <w:p>
      <w:pPr>
        <w:pStyle w:val="ListNumber"/>
        <w:spacing w:after="60"/>
      </w:pPr>
      <w:r>
        <w:rPr>
          <w:sz w:val="20"/>
        </w:rPr>
        <w:t>van Rijn, J. C., et al. (2006). Polyp miss rate determined by tandem colonoscopy: A systematic review. American Journal of Gastroenterology, 101(2), 343–350.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