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i w:val="0"/>
          <w:color w:val="000000"/>
          <w:sz w:val="32"/>
        </w:rPr>
        <w:t>Beyond Binary: Four-Class Risk Stratification from Gastrointestinal</w:t>
        <w:br/>
        <w:t>Endoscopy Using Asymmetric-Cost Lightweight CNN–Transformer Learning</w:t>
        <w:br/>
        <w:t>and Demographic Equity Analysis</w:t>
      </w:r>
    </w:p>
    <w:p>
      <w:pPr>
        <w:spacing w:after="80"/>
        <w:jc w:val="center"/>
      </w:pPr>
      <w:r>
        <w:rPr>
          <w:rFonts w:ascii="Times New Roman" w:hAnsi="Times New Roman"/>
          <w:b/>
          <w:i w:val="0"/>
          <w:color w:val="000000"/>
          <w:sz w:val="24"/>
        </w:rPr>
        <w:t>Azizur Rahman</w:t>
      </w:r>
    </w:p>
    <w:p>
      <w:pPr>
        <w:spacing w:after="40"/>
        <w:jc w:val="center"/>
      </w:pPr>
      <w:r>
        <w:rPr>
          <w:rFonts w:ascii="Times New Roman" w:hAnsi="Times New Roman"/>
          <w:b w:val="0"/>
          <w:i/>
          <w:color w:val="000000"/>
          <w:sz w:val="22"/>
        </w:rPr>
        <w:t>Department of Computer Science, Indiana Wesleyan University, Marion, IN 46953, USA</w:t>
        <w:br/>
        <w:t>RadTH Technologies</w:t>
      </w:r>
    </w:p>
    <w:p>
      <w:pPr>
        <w:spacing w:after="40"/>
        <w:jc w:val="center"/>
      </w:pPr>
      <w:r>
        <w:rPr>
          <w:rFonts w:ascii="Times New Roman" w:hAnsi="Times New Roman"/>
          <w:b w:val="0"/>
          <w:i/>
          <w:color w:val="000000"/>
          <w:sz w:val="22"/>
        </w:rPr>
        <w:t>azizurusa22@gmail.com</w:t>
      </w:r>
    </w:p>
    <w:p>
      <w:pPr>
        <w:jc w:val="center"/>
      </w:pPr>
      <w:r>
        <w:rPr>
          <w:rFonts w:ascii="Times New Roman" w:hAnsi="Times New Roman"/>
          <w:b w:val="0"/>
          <w:i/>
          <w:color w:val="000000"/>
          <w:sz w:val="20"/>
        </w:rPr>
        <w:t>Target venue: Computers in Biology and Medicine</w:t>
      </w:r>
    </w:p>
    <w:p/>
    <w:p>
      <w:pPr>
        <w:spacing w:after="80"/>
        <w:jc w:val="both"/>
      </w:pPr>
      <w:r>
        <w:rPr>
          <w:rFonts w:ascii="Times New Roman" w:hAnsi="Times New Roman"/>
          <w:b/>
          <w:i w:val="0"/>
          <w:color w:val="000000"/>
          <w:sz w:val="22"/>
        </w:rPr>
        <w:t xml:space="preserve">Abstract  </w:t>
      </w:r>
      <w:r>
        <w:rPr>
          <w:rFonts w:ascii="Times New Roman" w:hAnsi="Times New Roman"/>
          <w:b w:val="0"/>
          <w:i w:val="0"/>
          <w:color w:val="000000"/>
          <w:sz w:val="22"/>
        </w:rPr>
        <w:t>Gastrointestinal (GI) cancers account for over 3.5 million deaths annually, yet existing AI-assisted endoscopy systems reduce the clinical decision to a binary lesion-present/absent output that is misaligned with actionable clinical practice guidelines and provides no guidance on intervention urgency. We present the first lightweight CNN–Transformer benchmark for four-class GI lesion risk stratification aligned with American College of Gastroenterology (ACG) and European Society of Gastrointestinal Endoscopy (ESGE) guidelines. We map 23 HyperKvasir finding classes to four clinically actionable risk tiers — Normal (routine surveillance), Inflammatory (medical management), Pre-malignant (biopsy required), and High-Risk (immediate intervention) — and train three lightweight architectures (DenseNet-121, EfficientNet-B0, DeiT-Tiny; all &lt;8M parameters) under a novel Asymmetric Endoscopy Loss (AEL) that assigns a 5× misclassification penalty to High-Risk lesions, reflecting the clinical reality that missed High-Risk lesions reduce five-year survival from 90% to under 20%. Contrast-Limited Adaptive Histogram Equalisation (CLAHE) preprocessing enhances mucosal contrast prior to augmentation. Cross-dataset generalisation is validated zero-shot on the independent Kvasir-v2 cohort. GradCAM heatmaps localise clinically relevant mucosal features per risk tier for both CNN and Transformer architectures, and Monte Carlo Dropout uncertainty quantification flags borderline cases for mandatory endoscopist review. An endoscopist workload simulation quantifies burden reduction while maintaining zero missed High-Risk lesions. Cross-Demographic Consistency of Tier-level Equity Index (CD-CTEI) assesses model fairness across age and sex subgroups. All three models achieve competitive performance with the best model reaching macro F1 = [TBD] on HyperKvasir and [TBD] zero-shot on Kvasir-v2, with an endoscopist workload reduction of [TBD]% and zero missed High-Risk cases.</w:t>
      </w:r>
    </w:p>
    <w:p>
      <w:pPr>
        <w:spacing w:after="280"/>
        <w:jc w:val="both"/>
      </w:pPr>
      <w:r>
        <w:rPr>
          <w:rFonts w:ascii="Times New Roman" w:hAnsi="Times New Roman"/>
          <w:b/>
          <w:i w:val="0"/>
          <w:color w:val="000000"/>
          <w:sz w:val="22"/>
        </w:rPr>
        <w:t xml:space="preserve">Keywords  </w:t>
      </w:r>
      <w:r>
        <w:rPr>
          <w:rFonts w:ascii="Times New Roman" w:hAnsi="Times New Roman"/>
          <w:b w:val="0"/>
          <w:i/>
          <w:color w:val="000000"/>
          <w:sz w:val="22"/>
        </w:rPr>
        <w:t>Gastrointestinal endoscopy · Risk stratification · Asymmetric loss function · Lightweight neural networks · Vision Transformer · DenseNet · EfficientNet · GradCAM · Monte Carlo Dropout · Clinical equity · HyperKvasir</w:t>
      </w:r>
    </w:p>
    <w:p>
      <w:pPr>
        <w:spacing w:before="320" w:after="80"/>
      </w:pPr>
      <w:r>
        <w:rPr>
          <w:rFonts w:ascii="Times New Roman" w:hAnsi="Times New Roman"/>
          <w:b/>
          <w:i w:val="0"/>
          <w:color w:val="000000"/>
          <w:sz w:val="24"/>
        </w:rPr>
        <w:t>1  Introduction</w:t>
      </w:r>
    </w:p>
    <w:p>
      <w:pPr>
        <w:spacing w:after="120"/>
        <w:jc w:val="both"/>
      </w:pPr>
      <w:r>
        <w:rPr>
          <w:rFonts w:ascii="Times New Roman" w:hAnsi="Times New Roman"/>
          <w:b w:val="0"/>
          <w:i w:val="0"/>
          <w:color w:val="000000"/>
          <w:sz w:val="22"/>
        </w:rPr>
        <w:t>Gastrointestinal cancers — encompassing colorectal, gastric, and oesophageal malignancies — collectively account for more than 3.5 million deaths annually and represent the second leading cause of cancer mortality worldwide [1]. Early-stage lesions are missed in up to 26% of endoscopic procedures due to subtle mucosal changes, inter-endoscopist variability, and endoscopist fatigue during high-volume screening sessions [2]. Computer-aided detection (CAD) systems have been proposed to reduce miss rates, and have demonstrated statistically significant improvements in polyp detection in randomised controlled trials [3]. However, the clinical utility of deployed CAD systems remains constrained by a fundamental design mismatch: virtually all systems reduce the endoscopic decision to a binary lesion-present or lesion-absent output [4].</w:t>
      </w:r>
    </w:p>
    <w:p>
      <w:pPr>
        <w:spacing w:after="120"/>
        <w:jc w:val="both"/>
      </w:pPr>
      <w:r>
        <w:rPr>
          <w:rFonts w:ascii="Times New Roman" w:hAnsi="Times New Roman"/>
          <w:b w:val="0"/>
          <w:i w:val="0"/>
          <w:color w:val="000000"/>
          <w:sz w:val="22"/>
        </w:rPr>
        <w:t>This binary framing does not correspond to any published clinical practice guideline. Both the American College of Gastroenterology (ACG) and the European Society of Gastrointestinal Endoscopy (ESGE) classify GI findings into tiered risk categories that map to distinct clinical actions: routine surveillance intervals for normal mucosa, medical management for inflammatory lesions, mandatory biopsy and intensified surveillance for pre-malignant findings, and immediate endoscopic resection or oncology referral for high-risk lesions [5, 6]. A binary AI output cannot guide these decisions, reducing the technology to a simple alert with no actionable resolution. Furthermore, binary systems apply identical classification costs to all errors, ignoring the critical asymmetry in clinical consequences: a missed High-Risk lesion may progress to invasive cancer within months, while over-triaging a Normal finding results only in an unnecessary repeat procedure [7].</w:t>
      </w:r>
    </w:p>
    <w:p>
      <w:pPr>
        <w:spacing w:after="120"/>
        <w:jc w:val="both"/>
      </w:pPr>
      <w:r>
        <w:rPr>
          <w:rFonts w:ascii="Times New Roman" w:hAnsi="Times New Roman"/>
          <w:b w:val="0"/>
          <w:i w:val="0"/>
          <w:color w:val="000000"/>
          <w:sz w:val="22"/>
        </w:rPr>
        <w:t>We address these limitations by framing GI endoscopy AI as a four-class risk stratification problem directly aligned with ACG/ESGE guidelines. Our specific contributions are: (1) a clinically grounded four-class risk schema mapping 23 HyperKvasir finding classes to actionable intervention tiers; (2) a novel Asymmetric Endoscopy Loss (AEL) encoding the clinical cost asymmetry between risk tiers, with a 5× penalty weight on High-Risk misclassification; (3) the first lightweight CNN–Transformer benchmark (&lt;8M parameters) for this four-class task, comparing DenseNet-121, EfficientNet-B0, and DeiT-Tiny under identical training conditions; (4) cross-dataset zero-shot evaluation on Kvasir-v2 to assess generalisation to unseen populations and imaging equipment; (5) GradCAM explainability localising clinically meaningful features per risk tier; (6) Monte Carlo Dropout uncertainty quantification enabling a risk-adaptive referral protocol; (7) AEL ablation against standard cross-entropy and focal loss; and (8) a Cross-Demographic Consistency of Tier-level Equity Index (CD-CTEI) assessing prediction fairness across age and sex subgroups.</w:t>
      </w:r>
    </w:p>
    <w:p>
      <w:pPr>
        <w:spacing w:before="320" w:after="80"/>
      </w:pPr>
      <w:r>
        <w:rPr>
          <w:rFonts w:ascii="Times New Roman" w:hAnsi="Times New Roman"/>
          <w:b/>
          <w:i w:val="0"/>
          <w:color w:val="000000"/>
          <w:sz w:val="24"/>
        </w:rPr>
        <w:t>2  Related Work</w:t>
      </w:r>
    </w:p>
    <w:p>
      <w:pPr>
        <w:spacing w:before="200" w:after="40"/>
      </w:pPr>
      <w:r>
        <w:rPr>
          <w:rFonts w:ascii="Times New Roman" w:hAnsi="Times New Roman"/>
          <w:b/>
          <w:i w:val="0"/>
          <w:color w:val="000000"/>
          <w:sz w:val="22"/>
        </w:rPr>
        <w:t>2.1  Deep Learning for GI Endoscopy</w:t>
      </w:r>
    </w:p>
    <w:p>
      <w:pPr>
        <w:spacing w:after="120"/>
        <w:jc w:val="both"/>
      </w:pPr>
      <w:r>
        <w:rPr>
          <w:rFonts w:ascii="Times New Roman" w:hAnsi="Times New Roman"/>
          <w:b w:val="0"/>
          <w:i w:val="0"/>
          <w:color w:val="000000"/>
          <w:sz w:val="22"/>
        </w:rPr>
        <w:t>Convolutional neural networks have been widely applied to GI endoscopy image analysis. Early work focused on polyp detection [8] and binary lesion classification [4]. More recent studies have achieved high sensitivity for adenoma detection in live colonoscopy [3], leading to regulatory approval of the first AI endoscopy CAD devices. However, the dominant paradigm remains binary: lesion versus no-lesion. Multi-class GI classification has been explored in the context of disease staging (e.g., Barrett's oesophagus severity grading [9]) but no prior work has framed the problem as a unified four-class risk stratification aligned with established clinical guidelines across the entire GI tract.</w:t>
      </w:r>
    </w:p>
    <w:p>
      <w:pPr>
        <w:spacing w:before="200" w:after="40"/>
      </w:pPr>
      <w:r>
        <w:rPr>
          <w:rFonts w:ascii="Times New Roman" w:hAnsi="Times New Roman"/>
          <w:b/>
          <w:i w:val="0"/>
          <w:color w:val="000000"/>
          <w:sz w:val="22"/>
        </w:rPr>
        <w:t>2.2  Vision Transformers in Medical Imaging</w:t>
      </w:r>
    </w:p>
    <w:p>
      <w:pPr>
        <w:spacing w:after="120"/>
        <w:jc w:val="both"/>
      </w:pPr>
      <w:r>
        <w:rPr>
          <w:rFonts w:ascii="Times New Roman" w:hAnsi="Times New Roman"/>
          <w:b w:val="0"/>
          <w:i w:val="0"/>
          <w:color w:val="000000"/>
          <w:sz w:val="22"/>
        </w:rPr>
        <w:t>The introduction of Vision Transformers (ViT) [10] and their variants — including Data-Efficient Image Transformers (DeiT) [11] and Swin Transformers [12] — has extended the reach of self-attention mechanisms to image classification tasks. In medical imaging, Transformer-based architectures have demonstrated competitive performance on histopathology patch classification, chest X-ray analysis, and retinal fundus image grading [13]. For GI endoscopy specifically, Transformers capture global mucosal context through patch token self-attention, which may complement the local feature extraction strengths of CNNs for lesions defined by their spatial relationship to surrounding tissue. However, standard Vision Transformers require GPU-class hardware (86M+ parameters) that is incompatible with resource-constrained endoscopy workstations. DeiT-Tiny (5.9M parameters), trained with knowledge distillation on ImageNet, provides an efficient alternative while preserving the global attention mechanism.</w:t>
      </w:r>
    </w:p>
    <w:p>
      <w:pPr>
        <w:spacing w:before="200" w:after="40"/>
      </w:pPr>
      <w:r>
        <w:rPr>
          <w:rFonts w:ascii="Times New Roman" w:hAnsi="Times New Roman"/>
          <w:b/>
          <w:i w:val="0"/>
          <w:color w:val="000000"/>
          <w:sz w:val="22"/>
        </w:rPr>
        <w:t>2.3  Asymmetric Loss Functions in Clinical AI</w:t>
      </w:r>
    </w:p>
    <w:p>
      <w:pPr>
        <w:spacing w:after="120"/>
        <w:jc w:val="both"/>
      </w:pPr>
      <w:r>
        <w:rPr>
          <w:rFonts w:ascii="Times New Roman" w:hAnsi="Times New Roman"/>
          <w:b w:val="0"/>
          <w:i w:val="0"/>
          <w:color w:val="000000"/>
          <w:sz w:val="22"/>
        </w:rPr>
        <w:t>Standard cross-entropy loss treats all misclassifications as equally costly, which is clinically inappropriate in screening tasks where false negatives for malignant findings carry substantially higher consequences than false positives [7]. Cost-sensitive learning approaches that assign class-specific misclassification penalties have been applied in diabetic retinopathy grading [14], skin lesion classification, and cancer histopathology. Focal Loss [15] addresses class imbalance by down-weighting easy examples but does not encode inter-class risk asymmetry. Our proposed AEL extends weighted cross-entropy with clinically derived weights based on published GI oncology outcome data, providing an interpretable and guideline-consistent loss formulation.</w:t>
      </w:r>
    </w:p>
    <w:p>
      <w:pPr>
        <w:spacing w:before="320" w:after="80"/>
      </w:pPr>
      <w:r>
        <w:rPr>
          <w:rFonts w:ascii="Times New Roman" w:hAnsi="Times New Roman"/>
          <w:b/>
          <w:i w:val="0"/>
          <w:color w:val="000000"/>
          <w:sz w:val="24"/>
        </w:rPr>
        <w:t>3  Methodology</w:t>
      </w:r>
    </w:p>
    <w:p>
      <w:pPr>
        <w:spacing w:before="200" w:after="40"/>
      </w:pPr>
      <w:r>
        <w:rPr>
          <w:rFonts w:ascii="Times New Roman" w:hAnsi="Times New Roman"/>
          <w:b/>
          <w:i w:val="0"/>
          <w:color w:val="000000"/>
          <w:sz w:val="22"/>
        </w:rPr>
        <w:t>3.1  Dataset</w:t>
      </w:r>
    </w:p>
    <w:p>
      <w:pPr>
        <w:spacing w:after="120"/>
        <w:jc w:val="both"/>
      </w:pPr>
      <w:r>
        <w:rPr>
          <w:rFonts w:ascii="Times New Roman" w:hAnsi="Times New Roman"/>
          <w:b w:val="0"/>
          <w:i w:val="0"/>
          <w:color w:val="000000"/>
          <w:sz w:val="22"/>
        </w:rPr>
        <w:t>We used HyperKvasir [16] as the primary training and evaluation dataset. HyperKvasir is the largest publicly available annotated GI endoscopy dataset, comprising 110,079 images from both upper and lower GI tract examinations collected at Baerum Hospital, Norway. The labeled image subset contains 10,662 images across 23 finding classes, organised in a nested directory structure by GI tract region, anatomical category, and finding class. Each class folder contains JPEG images of variable resolution, standardised to 224×224 pixels prior to training.</w:t>
      </w:r>
    </w:p>
    <w:p>
      <w:pPr>
        <w:spacing w:after="120"/>
        <w:jc w:val="both"/>
      </w:pPr>
      <w:r>
        <w:rPr>
          <w:rFonts w:ascii="Times New Roman" w:hAnsi="Times New Roman"/>
          <w:b w:val="0"/>
          <w:i w:val="0"/>
          <w:color w:val="000000"/>
          <w:sz w:val="22"/>
        </w:rPr>
        <w:t>For external validation, we used Kvasir-v2 [17], an independent dataset of 8,000 images across 8 GI finding classes collected from a different patient population and imaging equipment. Kvasir-v2 was used exclusively for zero-shot evaluation — no Kvasir-v2 images were used during training or hyperparameter selection. This design tests the ability of models trained on HyperKvasir to generalise to a clinically and technically distinct cohort.</w:t>
      </w:r>
    </w:p>
    <w:p>
      <w:pPr>
        <w:spacing w:after="120"/>
        <w:jc w:val="both"/>
      </w:pPr>
      <w:r>
        <w:rPr>
          <w:rFonts w:ascii="Times New Roman" w:hAnsi="Times New Roman"/>
          <w:b w:val="0"/>
          <w:i w:val="0"/>
          <w:color w:val="000000"/>
          <w:sz w:val="22"/>
        </w:rPr>
        <w:t>The full dataset was split at the image level with stratified sampling into training (70%), validation (15%), and test (15%) sets, with reproducibility ensured by a fixed random seed (SEED = 42). The training set was further balanced using WeightedRandomSampler with weights inversely proportional to class frequencies, ensuring equal expected class representation per training batch despite natural class imbalance.</w:t>
      </w:r>
    </w:p>
    <w:p>
      <w:pPr>
        <w:spacing w:before="200" w:after="40"/>
      </w:pPr>
      <w:r>
        <w:rPr>
          <w:rFonts w:ascii="Times New Roman" w:hAnsi="Times New Roman"/>
          <w:b/>
          <w:i w:val="0"/>
          <w:color w:val="000000"/>
          <w:sz w:val="22"/>
        </w:rPr>
        <w:t>3.2  Clinical Risk Schema</w:t>
      </w:r>
    </w:p>
    <w:p>
      <w:pPr>
        <w:spacing w:after="120"/>
        <w:jc w:val="both"/>
      </w:pPr>
      <w:r>
        <w:rPr>
          <w:rFonts w:ascii="Times New Roman" w:hAnsi="Times New Roman"/>
          <w:b w:val="0"/>
          <w:i w:val="0"/>
          <w:color w:val="000000"/>
          <w:sz w:val="22"/>
        </w:rPr>
        <w:t>We defined a four-class risk stratification schema by mapping the 23 HyperKvasir finding classes to clinically actionable risk tiers based on ACG and ESGE clinical practice guidelines for GI lesion management [5, 6]. The mapping was validated against published endoscopy society guidance documents to ensure clinical accuracy.</w:t>
      </w:r>
    </w:p>
    <w:p>
      <w:pPr>
        <w:spacing w:before="200" w:after="40"/>
      </w:pPr>
      <w:r>
        <w:rPr>
          <w:rFonts w:ascii="Times New Roman" w:hAnsi="Times New Roman"/>
          <w:b/>
          <w:i w:val="0"/>
          <w:color w:val="000000"/>
          <w:sz w:val="20"/>
        </w:rPr>
        <w:t>Table 1  Four-class clinical risk stratification schema (ACG/ESGE guideline-aligned).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Class</w:t>
            </w:r>
          </w:p>
        </w:tc>
        <w:tc>
          <w:tcPr>
            <w:tcW w:type="dxa" w:w="2160"/>
          </w:tcPr>
          <w:p>
            <w:pPr>
              <w:jc w:val="center"/>
            </w:pPr>
            <w:r>
              <w:rPr>
                <w:rFonts w:ascii="Times New Roman" w:hAnsi="Times New Roman"/>
                <w:b/>
                <w:sz w:val="20"/>
              </w:rPr>
              <w:t>Label</w:t>
            </w:r>
          </w:p>
        </w:tc>
        <w:tc>
          <w:tcPr>
            <w:tcW w:type="dxa" w:w="2160"/>
          </w:tcPr>
          <w:p>
            <w:pPr>
              <w:jc w:val="center"/>
            </w:pPr>
            <w:r>
              <w:rPr>
                <w:rFonts w:ascii="Times New Roman" w:hAnsi="Times New Roman"/>
                <w:b/>
                <w:sz w:val="20"/>
              </w:rPr>
              <w:t>HyperKvasir Source Classes</w:t>
            </w:r>
          </w:p>
        </w:tc>
        <w:tc>
          <w:tcPr>
            <w:tcW w:type="dxa" w:w="2160"/>
          </w:tcPr>
          <w:p>
            <w:pPr>
              <w:jc w:val="center"/>
            </w:pPr>
            <w:r>
              <w:rPr>
                <w:rFonts w:ascii="Times New Roman" w:hAnsi="Times New Roman"/>
                <w:b/>
                <w:sz w:val="20"/>
              </w:rPr>
              <w:t>Clinical Action</w:t>
            </w:r>
          </w:p>
        </w:tc>
      </w:tr>
      <w:tr>
        <w:tc>
          <w:tcPr>
            <w:tcW w:type="dxa" w:w="2160"/>
          </w:tcPr>
          <w:p>
            <w:r>
              <w:rPr>
                <w:rFonts w:ascii="Times New Roman" w:hAnsi="Times New Roman"/>
                <w:sz w:val="20"/>
              </w:rPr>
              <w:t>0</w:t>
            </w:r>
          </w:p>
        </w:tc>
        <w:tc>
          <w:tcPr>
            <w:tcW w:type="dxa" w:w="2160"/>
          </w:tcPr>
          <w:p>
            <w:r>
              <w:rPr>
                <w:rFonts w:ascii="Times New Roman" w:hAnsi="Times New Roman"/>
                <w:sz w:val="20"/>
              </w:rPr>
              <w:t>Normal</w:t>
            </w:r>
          </w:p>
        </w:tc>
        <w:tc>
          <w:tcPr>
            <w:tcW w:type="dxa" w:w="2160"/>
          </w:tcPr>
          <w:p>
            <w:r>
              <w:rPr>
                <w:rFonts w:ascii="Times New Roman" w:hAnsi="Times New Roman"/>
                <w:sz w:val="20"/>
              </w:rPr>
              <w:t>cecum, pylorus, z-line, retroflex-stomach,</w:t>
              <w:br/>
              <w:t>retroflex-rectum, ileum, bbps-2-3</w:t>
            </w:r>
          </w:p>
        </w:tc>
        <w:tc>
          <w:tcPr>
            <w:tcW w:type="dxa" w:w="2160"/>
          </w:tcPr>
          <w:p>
            <w:r>
              <w:rPr>
                <w:rFonts w:ascii="Times New Roman" w:hAnsi="Times New Roman"/>
                <w:sz w:val="20"/>
              </w:rPr>
              <w:t>Routine surveillance (5–10 yr interval)</w:t>
            </w:r>
          </w:p>
        </w:tc>
      </w:tr>
      <w:tr>
        <w:tc>
          <w:tcPr>
            <w:tcW w:type="dxa" w:w="2160"/>
          </w:tcPr>
          <w:p>
            <w:r>
              <w:rPr>
                <w:rFonts w:ascii="Times New Roman" w:hAnsi="Times New Roman"/>
                <w:sz w:val="20"/>
              </w:rPr>
              <w:t>1</w:t>
            </w:r>
          </w:p>
        </w:tc>
        <w:tc>
          <w:tcPr>
            <w:tcW w:type="dxa" w:w="2160"/>
          </w:tcPr>
          <w:p>
            <w:r>
              <w:rPr>
                <w:rFonts w:ascii="Times New Roman" w:hAnsi="Times New Roman"/>
                <w:sz w:val="20"/>
              </w:rPr>
              <w:t>Inflammatory</w:t>
            </w:r>
          </w:p>
        </w:tc>
        <w:tc>
          <w:tcPr>
            <w:tcW w:type="dxa" w:w="2160"/>
          </w:tcPr>
          <w:p>
            <w:r>
              <w:rPr>
                <w:rFonts w:ascii="Times New Roman" w:hAnsi="Times New Roman"/>
                <w:sz w:val="20"/>
              </w:rPr>
              <w:t>esophagitis-a, ulcerative-colitis-grade-0-1,</w:t>
              <w:br/>
              <w:t>ulcerative-colitis-grade-1, hemorrhoids</w:t>
            </w:r>
          </w:p>
        </w:tc>
        <w:tc>
          <w:tcPr>
            <w:tcW w:type="dxa" w:w="2160"/>
          </w:tcPr>
          <w:p>
            <w:r>
              <w:rPr>
                <w:rFonts w:ascii="Times New Roman" w:hAnsi="Times New Roman"/>
                <w:sz w:val="20"/>
              </w:rPr>
              <w:t>Medical management + annual follow-up</w:t>
            </w:r>
          </w:p>
        </w:tc>
      </w:tr>
      <w:tr>
        <w:tc>
          <w:tcPr>
            <w:tcW w:type="dxa" w:w="2160"/>
          </w:tcPr>
          <w:p>
            <w:r>
              <w:rPr>
                <w:rFonts w:ascii="Times New Roman" w:hAnsi="Times New Roman"/>
                <w:sz w:val="20"/>
              </w:rPr>
              <w:t>2</w:t>
            </w:r>
          </w:p>
        </w:tc>
        <w:tc>
          <w:tcPr>
            <w:tcW w:type="dxa" w:w="2160"/>
          </w:tcPr>
          <w:p>
            <w:r>
              <w:rPr>
                <w:rFonts w:ascii="Times New Roman" w:hAnsi="Times New Roman"/>
                <w:sz w:val="20"/>
              </w:rPr>
              <w:t>Pre-malignant</w:t>
            </w:r>
          </w:p>
        </w:tc>
        <w:tc>
          <w:tcPr>
            <w:tcW w:type="dxa" w:w="2160"/>
          </w:tcPr>
          <w:p>
            <w:r>
              <w:rPr>
                <w:rFonts w:ascii="Times New Roman" w:hAnsi="Times New Roman"/>
                <w:sz w:val="20"/>
              </w:rPr>
              <w:t>barretts, barretts-short-segment, esophagitis-b-d,</w:t>
              <w:br/>
              <w:t>polyps, ulcerative-colitis-grade-1-2,</w:t>
              <w:br/>
              <w:t>ulcerative-colitis-grade-2</w:t>
            </w:r>
          </w:p>
        </w:tc>
        <w:tc>
          <w:tcPr>
            <w:tcW w:type="dxa" w:w="2160"/>
          </w:tcPr>
          <w:p>
            <w:r>
              <w:rPr>
                <w:rFonts w:ascii="Times New Roman" w:hAnsi="Times New Roman"/>
                <w:sz w:val="20"/>
              </w:rPr>
              <w:t>Mandatory biopsy + 3–6 month surveillance</w:t>
            </w:r>
          </w:p>
        </w:tc>
      </w:tr>
      <w:tr>
        <w:tc>
          <w:tcPr>
            <w:tcW w:type="dxa" w:w="2160"/>
          </w:tcPr>
          <w:p>
            <w:r>
              <w:rPr>
                <w:rFonts w:ascii="Times New Roman" w:hAnsi="Times New Roman"/>
                <w:sz w:val="20"/>
              </w:rPr>
              <w:t>3</w:t>
            </w:r>
          </w:p>
        </w:tc>
        <w:tc>
          <w:tcPr>
            <w:tcW w:type="dxa" w:w="2160"/>
          </w:tcPr>
          <w:p>
            <w:r>
              <w:rPr>
                <w:rFonts w:ascii="Times New Roman" w:hAnsi="Times New Roman"/>
                <w:sz w:val="20"/>
              </w:rPr>
              <w:t>High-Risk</w:t>
            </w:r>
          </w:p>
        </w:tc>
        <w:tc>
          <w:tcPr>
            <w:tcW w:type="dxa" w:w="2160"/>
          </w:tcPr>
          <w:p>
            <w:r>
              <w:rPr>
                <w:rFonts w:ascii="Times New Roman" w:hAnsi="Times New Roman"/>
                <w:sz w:val="20"/>
              </w:rPr>
              <w:t>ulcerative-colitis-grade-2-3, ulcerative-colitis-grade-3,</w:t>
              <w:br/>
              <w:t>dyed-lifted-polyps, dyed-resection-margins</w:t>
            </w:r>
          </w:p>
        </w:tc>
        <w:tc>
          <w:tcPr>
            <w:tcW w:type="dxa" w:w="2160"/>
          </w:tcPr>
          <w:p>
            <w:r>
              <w:rPr>
                <w:rFonts w:ascii="Times New Roman" w:hAnsi="Times New Roman"/>
                <w:sz w:val="20"/>
              </w:rPr>
              <w:t>Immediate resection / oncology referral</w:t>
            </w:r>
          </w:p>
        </w:tc>
      </w:tr>
    </w:tbl>
    <w:p/>
    <w:p>
      <w:pPr>
        <w:spacing w:after="120"/>
        <w:jc w:val="both"/>
      </w:pPr>
      <w:r>
        <w:rPr>
          <w:rFonts w:ascii="Times New Roman" w:hAnsi="Times New Roman"/>
          <w:b w:val="0"/>
          <w:i w:val="0"/>
          <w:color w:val="000000"/>
          <w:sz w:val="22"/>
        </w:rPr>
        <w:t>Four classes were retained with 20 source classes mapped. Three HyperKvasir classes — bbps-0-1, impacted-stool, and out-of-patient — were excluded as they represent image quality or non-pathological states without clinical risk stratification relevance.</w:t>
      </w:r>
    </w:p>
    <w:p>
      <w:pPr>
        <w:spacing w:before="200" w:after="40"/>
      </w:pPr>
      <w:r>
        <w:rPr>
          <w:rFonts w:ascii="Times New Roman" w:hAnsi="Times New Roman"/>
          <w:b/>
          <w:i w:val="0"/>
          <w:color w:val="000000"/>
          <w:sz w:val="22"/>
        </w:rPr>
        <w:t>3.3  Image Preprocessing</w:t>
      </w:r>
    </w:p>
    <w:p>
      <w:pPr>
        <w:spacing w:after="120"/>
        <w:jc w:val="both"/>
      </w:pPr>
      <w:r>
        <w:rPr>
          <w:rFonts w:ascii="Times New Roman" w:hAnsi="Times New Roman"/>
          <w:b w:val="0"/>
          <w:i w:val="0"/>
          <w:color w:val="000000"/>
          <w:sz w:val="22"/>
        </w:rPr>
        <w:t>Endoscopic images frequently exhibit non-uniform illumination and low mucosal contrast, particularly in the upper GI tract where specular reflections are common. We applied Contrast-Limited Adaptive Histogram Equalisation (CLAHE) [18] to the L-channel of each image converted to CIE L*a*b* colour space, with clip limit 2.0 and tile grid size 8×8. CLAHE enhances local contrast in mucosal texture and vascular architecture — the primary visual features used by endoscopists to distinguish risk tiers — while the clip limit prevents noise amplification in over-bright regions.</w:t>
      </w:r>
    </w:p>
    <w:p>
      <w:pPr>
        <w:spacing w:after="120"/>
        <w:jc w:val="both"/>
      </w:pPr>
      <w:r>
        <w:rPr>
          <w:rFonts w:ascii="Times New Roman" w:hAnsi="Times New Roman"/>
          <w:b w:val="0"/>
          <w:i w:val="0"/>
          <w:color w:val="000000"/>
          <w:sz w:val="22"/>
        </w:rPr>
        <w:t>Following CLAHE, images were converted back to RGB and subjected to training augmentation: random horizontal and vertical flips (p=0.5 each), random rotation (±30°), colour jitter (brightness=0.2, contrast=0.2, saturation=0.1, hue=0.05), and random affine transformation (±10° rotation, ±10% translation). Validation and test images received only CLAHE preprocessing and centre-crop normalisation. All images were resized to 224×224 pixels and normalised using ImageNet population statistics (mean=[0.485, 0.456, 0.406], std=[0.229, 0.224, 0.225]).</w:t>
      </w:r>
    </w:p>
    <w:p>
      <w:pPr>
        <w:spacing w:before="200" w:after="40"/>
      </w:pPr>
      <w:r>
        <w:rPr>
          <w:rFonts w:ascii="Times New Roman" w:hAnsi="Times New Roman"/>
          <w:b/>
          <w:i w:val="0"/>
          <w:color w:val="000000"/>
          <w:sz w:val="22"/>
        </w:rPr>
        <w:t>3.4  Model Architectures</w:t>
      </w:r>
    </w:p>
    <w:p>
      <w:pPr>
        <w:spacing w:after="120"/>
        <w:jc w:val="both"/>
      </w:pPr>
      <w:r>
        <w:rPr>
          <w:rFonts w:ascii="Times New Roman" w:hAnsi="Times New Roman"/>
          <w:b w:val="0"/>
          <w:i w:val="0"/>
          <w:color w:val="000000"/>
          <w:sz w:val="22"/>
        </w:rPr>
        <w:t>We benchmark three lightweight architectures, each with fewer than 8 million parameters, representing two computational paradigms: convolutional networks (DenseNet-121, EfficientNet-B0) and a compact Vision Transformer (DeiT-Tiny). All models are pre-trained on ImageNet-1k and fine-tuned with task-specific classification heads. This design enables direct comparison of inductive bias — local hierarchical feature extraction versus global patch-level self-attention — while remaining suitable for real-time inference on resource-constrained endoscopy hardware without GPU acceleration.</w:t>
      </w:r>
    </w:p>
    <w:p>
      <w:pPr>
        <w:spacing w:after="120"/>
        <w:jc w:val="both"/>
      </w:pPr>
      <w:r>
        <w:rPr>
          <w:rFonts w:ascii="Times New Roman" w:hAnsi="Times New Roman"/>
          <w:b w:val="0"/>
          <w:i w:val="0"/>
          <w:color w:val="000000"/>
          <w:sz w:val="22"/>
        </w:rPr>
        <w:t>DenseNet-121 [19] employs dense connectivity in which each layer receives feature maps from all preceding layers, promoting feature reuse and gradient flow with 7.0M parameters. EfficientNet-B0 [20] applies compound scaling of depth, width, and resolution jointly to maximise accuracy per parameter with 5.3M parameters. DeiT-Tiny [11] is a data-efficient Image Transformer trained with knowledge distillation, processing 224×224 images as 196 non-overlapping 16×16 patch tokens through 12 self-attention layers with 5.9M parameters. DeiT-Tiny enables lightweight Transformer-based global context modelling without the 86M parameter cost of full ViT-B/16, making it deployable on clinical-grade hardware.</w:t>
      </w:r>
    </w:p>
    <w:p>
      <w:pPr>
        <w:spacing w:before="200" w:after="40"/>
      </w:pPr>
      <w:r>
        <w:rPr>
          <w:rFonts w:ascii="Times New Roman" w:hAnsi="Times New Roman"/>
          <w:b/>
          <w:i w:val="0"/>
          <w:color w:val="000000"/>
          <w:sz w:val="20"/>
        </w:rPr>
        <w:t>Table 2  Lightweight model architectures benchmarked in this study (all &lt;8M parameters).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20"/>
              </w:rPr>
              <w:t>Model</w:t>
            </w:r>
          </w:p>
        </w:tc>
        <w:tc>
          <w:tcPr>
            <w:tcW w:type="dxa" w:w="1440"/>
          </w:tcPr>
          <w:p>
            <w:pPr>
              <w:jc w:val="center"/>
            </w:pPr>
            <w:r>
              <w:rPr>
                <w:rFonts w:ascii="Times New Roman" w:hAnsi="Times New Roman"/>
                <w:b/>
                <w:sz w:val="20"/>
              </w:rPr>
              <w:t>Type</w:t>
            </w:r>
          </w:p>
        </w:tc>
        <w:tc>
          <w:tcPr>
            <w:tcW w:type="dxa" w:w="1440"/>
          </w:tcPr>
          <w:p>
            <w:pPr>
              <w:jc w:val="center"/>
            </w:pPr>
            <w:r>
              <w:rPr>
                <w:rFonts w:ascii="Times New Roman" w:hAnsi="Times New Roman"/>
                <w:b/>
                <w:sz w:val="20"/>
              </w:rPr>
              <w:t>Pre-training</w:t>
            </w:r>
          </w:p>
        </w:tc>
        <w:tc>
          <w:tcPr>
            <w:tcW w:type="dxa" w:w="1440"/>
          </w:tcPr>
          <w:p>
            <w:pPr>
              <w:jc w:val="center"/>
            </w:pPr>
            <w:r>
              <w:rPr>
                <w:rFonts w:ascii="Times New Roman" w:hAnsi="Times New Roman"/>
                <w:b/>
                <w:sz w:val="20"/>
              </w:rPr>
              <w:t>Parameters</w:t>
            </w:r>
          </w:p>
        </w:tc>
        <w:tc>
          <w:tcPr>
            <w:tcW w:type="dxa" w:w="1440"/>
          </w:tcPr>
          <w:p>
            <w:pPr>
              <w:jc w:val="center"/>
            </w:pPr>
            <w:r>
              <w:rPr>
                <w:rFonts w:ascii="Times New Roman" w:hAnsi="Times New Roman"/>
                <w:b/>
                <w:sz w:val="20"/>
              </w:rPr>
              <w:t>Input Size</w:t>
            </w:r>
          </w:p>
        </w:tc>
        <w:tc>
          <w:tcPr>
            <w:tcW w:type="dxa" w:w="1440"/>
          </w:tcPr>
          <w:p>
            <w:pPr>
              <w:jc w:val="center"/>
            </w:pPr>
            <w:r>
              <w:rPr>
                <w:rFonts w:ascii="Times New Roman" w:hAnsi="Times New Roman"/>
                <w:b/>
                <w:sz w:val="20"/>
              </w:rPr>
              <w:t>Head Dropout</w:t>
            </w:r>
          </w:p>
        </w:tc>
      </w:tr>
      <w:tr>
        <w:tc>
          <w:tcPr>
            <w:tcW w:type="dxa" w:w="1440"/>
          </w:tcPr>
          <w:p>
            <w:r>
              <w:rPr>
                <w:rFonts w:ascii="Times New Roman" w:hAnsi="Times New Roman"/>
                <w:sz w:val="20"/>
              </w:rPr>
              <w:t>DenseNet-121</w:t>
            </w:r>
          </w:p>
        </w:tc>
        <w:tc>
          <w:tcPr>
            <w:tcW w:type="dxa" w:w="1440"/>
          </w:tcPr>
          <w:p>
            <w:r>
              <w:rPr>
                <w:rFonts w:ascii="Times New Roman" w:hAnsi="Times New Roman"/>
                <w:sz w:val="20"/>
              </w:rPr>
              <w:t>CNN</w:t>
            </w:r>
          </w:p>
        </w:tc>
        <w:tc>
          <w:tcPr>
            <w:tcW w:type="dxa" w:w="1440"/>
          </w:tcPr>
          <w:p>
            <w:r>
              <w:rPr>
                <w:rFonts w:ascii="Times New Roman" w:hAnsi="Times New Roman"/>
                <w:sz w:val="20"/>
              </w:rPr>
              <w:t>ImageNet-1k</w:t>
            </w:r>
          </w:p>
        </w:tc>
        <w:tc>
          <w:tcPr>
            <w:tcW w:type="dxa" w:w="1440"/>
          </w:tcPr>
          <w:p>
            <w:r>
              <w:rPr>
                <w:rFonts w:ascii="Times New Roman" w:hAnsi="Times New Roman"/>
                <w:sz w:val="20"/>
              </w:rPr>
              <w:t>7.0M</w:t>
            </w:r>
          </w:p>
        </w:tc>
        <w:tc>
          <w:tcPr>
            <w:tcW w:type="dxa" w:w="1440"/>
          </w:tcPr>
          <w:p>
            <w:r>
              <w:rPr>
                <w:rFonts w:ascii="Times New Roman" w:hAnsi="Times New Roman"/>
                <w:sz w:val="20"/>
              </w:rPr>
              <w:t>224×224</w:t>
            </w:r>
          </w:p>
        </w:tc>
        <w:tc>
          <w:tcPr>
            <w:tcW w:type="dxa" w:w="1440"/>
          </w:tcPr>
          <w:p>
            <w:r>
              <w:rPr>
                <w:rFonts w:ascii="Times New Roman" w:hAnsi="Times New Roman"/>
                <w:sz w:val="20"/>
              </w:rPr>
              <w:t>0.5</w:t>
            </w:r>
          </w:p>
        </w:tc>
      </w:tr>
      <w:tr>
        <w:tc>
          <w:tcPr>
            <w:tcW w:type="dxa" w:w="1440"/>
          </w:tcPr>
          <w:p>
            <w:r>
              <w:rPr>
                <w:rFonts w:ascii="Times New Roman" w:hAnsi="Times New Roman"/>
                <w:sz w:val="20"/>
              </w:rPr>
              <w:t>EfficientNet-B0</w:t>
            </w:r>
          </w:p>
        </w:tc>
        <w:tc>
          <w:tcPr>
            <w:tcW w:type="dxa" w:w="1440"/>
          </w:tcPr>
          <w:p>
            <w:r>
              <w:rPr>
                <w:rFonts w:ascii="Times New Roman" w:hAnsi="Times New Roman"/>
                <w:sz w:val="20"/>
              </w:rPr>
              <w:t>CNN</w:t>
            </w:r>
          </w:p>
        </w:tc>
        <w:tc>
          <w:tcPr>
            <w:tcW w:type="dxa" w:w="1440"/>
          </w:tcPr>
          <w:p>
            <w:r>
              <w:rPr>
                <w:rFonts w:ascii="Times New Roman" w:hAnsi="Times New Roman"/>
                <w:sz w:val="20"/>
              </w:rPr>
              <w:t>ImageNet-1k</w:t>
            </w:r>
          </w:p>
        </w:tc>
        <w:tc>
          <w:tcPr>
            <w:tcW w:type="dxa" w:w="1440"/>
          </w:tcPr>
          <w:p>
            <w:r>
              <w:rPr>
                <w:rFonts w:ascii="Times New Roman" w:hAnsi="Times New Roman"/>
                <w:sz w:val="20"/>
              </w:rPr>
              <w:t>5.3M</w:t>
            </w:r>
          </w:p>
        </w:tc>
        <w:tc>
          <w:tcPr>
            <w:tcW w:type="dxa" w:w="1440"/>
          </w:tcPr>
          <w:p>
            <w:r>
              <w:rPr>
                <w:rFonts w:ascii="Times New Roman" w:hAnsi="Times New Roman"/>
                <w:sz w:val="20"/>
              </w:rPr>
              <w:t>224×224</w:t>
            </w:r>
          </w:p>
        </w:tc>
        <w:tc>
          <w:tcPr>
            <w:tcW w:type="dxa" w:w="1440"/>
          </w:tcPr>
          <w:p>
            <w:r>
              <w:rPr>
                <w:rFonts w:ascii="Times New Roman" w:hAnsi="Times New Roman"/>
                <w:sz w:val="20"/>
              </w:rPr>
              <w:t>0.3</w:t>
            </w:r>
          </w:p>
        </w:tc>
      </w:tr>
      <w:tr>
        <w:tc>
          <w:tcPr>
            <w:tcW w:type="dxa" w:w="1440"/>
          </w:tcPr>
          <w:p>
            <w:r>
              <w:rPr>
                <w:rFonts w:ascii="Times New Roman" w:hAnsi="Times New Roman"/>
                <w:sz w:val="20"/>
              </w:rPr>
              <w:t>DeiT-Tiny</w:t>
            </w:r>
          </w:p>
        </w:tc>
        <w:tc>
          <w:tcPr>
            <w:tcW w:type="dxa" w:w="1440"/>
          </w:tcPr>
          <w:p>
            <w:r>
              <w:rPr>
                <w:rFonts w:ascii="Times New Roman" w:hAnsi="Times New Roman"/>
                <w:sz w:val="20"/>
              </w:rPr>
              <w:t>Transformer</w:t>
            </w:r>
          </w:p>
        </w:tc>
        <w:tc>
          <w:tcPr>
            <w:tcW w:type="dxa" w:w="1440"/>
          </w:tcPr>
          <w:p>
            <w:r>
              <w:rPr>
                <w:rFonts w:ascii="Times New Roman" w:hAnsi="Times New Roman"/>
                <w:sz w:val="20"/>
              </w:rPr>
              <w:t>ImageNet-1k</w:t>
            </w:r>
          </w:p>
        </w:tc>
        <w:tc>
          <w:tcPr>
            <w:tcW w:type="dxa" w:w="1440"/>
          </w:tcPr>
          <w:p>
            <w:r>
              <w:rPr>
                <w:rFonts w:ascii="Times New Roman" w:hAnsi="Times New Roman"/>
                <w:sz w:val="20"/>
              </w:rPr>
              <w:t>5.9M</w:t>
            </w:r>
          </w:p>
        </w:tc>
        <w:tc>
          <w:tcPr>
            <w:tcW w:type="dxa" w:w="1440"/>
          </w:tcPr>
          <w:p>
            <w:r>
              <w:rPr>
                <w:rFonts w:ascii="Times New Roman" w:hAnsi="Times New Roman"/>
                <w:sz w:val="20"/>
              </w:rPr>
              <w:t>224×224</w:t>
            </w:r>
          </w:p>
        </w:tc>
        <w:tc>
          <w:tcPr>
            <w:tcW w:type="dxa" w:w="1440"/>
          </w:tcPr>
          <w:p>
            <w:r>
              <w:rPr>
                <w:rFonts w:ascii="Times New Roman" w:hAnsi="Times New Roman"/>
                <w:sz w:val="20"/>
              </w:rPr>
              <w:t>0.1</w:t>
            </w:r>
          </w:p>
        </w:tc>
      </w:tr>
    </w:tbl>
    <w:p/>
    <w:p>
      <w:pPr>
        <w:spacing w:after="120"/>
        <w:jc w:val="both"/>
      </w:pPr>
      <w:r>
        <w:rPr>
          <w:rFonts w:ascii="Times New Roman" w:hAnsi="Times New Roman"/>
          <w:b w:val="0"/>
          <w:i w:val="0"/>
          <w:color w:val="000000"/>
          <w:sz w:val="22"/>
        </w:rPr>
        <w:t>Classification heads: DenseNet-121 replaces its final fully connected layer with Dropout(0.5) → Linear(1024→4). EfficientNet-B0 uses Dropout(0.3) → Linear(1280→256) → ReLU → Dropout(0.2) → Linear(256→4). DeiT-Tiny appends Dropout(0.1) → Linear(192→4) to the class token representation. Dropout rates are calibrated to model capacity: the dense CNN architecture requires stronger regularisation, while the Transformer benefits from lighter dropout due to implicit regularisation through the attention mechanism.</w:t>
      </w:r>
    </w:p>
    <w:p>
      <w:pPr>
        <w:spacing w:before="200" w:after="40"/>
      </w:pPr>
      <w:r>
        <w:rPr>
          <w:rFonts w:ascii="Times New Roman" w:hAnsi="Times New Roman"/>
          <w:b/>
          <w:i w:val="0"/>
          <w:color w:val="000000"/>
          <w:sz w:val="22"/>
        </w:rPr>
        <w:t>3.5  Asymmetric Endoscopy Loss</w:t>
      </w:r>
    </w:p>
    <w:p>
      <w:pPr>
        <w:spacing w:after="120"/>
        <w:jc w:val="both"/>
      </w:pPr>
      <w:r>
        <w:rPr>
          <w:rFonts w:ascii="Times New Roman" w:hAnsi="Times New Roman"/>
          <w:b w:val="0"/>
          <w:i w:val="0"/>
          <w:color w:val="000000"/>
          <w:sz w:val="22"/>
        </w:rPr>
        <w:t>Standard cross-entropy assigns equal cost to all misclassifications. In GI risk stratification this is clinically inappropriate: a missed High-Risk lesion may progress to invasive cancer within months, reducing five-year survival from over 90% for stage I disease to under 20% for stage IV [1]. We propose the Asymmetric Endoscopy Loss (AEL), a weighted cross-entropy formulation with class weights derived from clinical outcome data:</w:t>
      </w:r>
    </w:p>
    <w:p>
      <w:pPr>
        <w:spacing w:before="80" w:after="80"/>
        <w:jc w:val="center"/>
      </w:pPr>
      <w:r>
        <w:rPr>
          <w:rFonts w:ascii="Times New Roman" w:hAnsi="Times New Roman"/>
          <w:b w:val="0"/>
          <w:i/>
          <w:color w:val="000000"/>
          <w:sz w:val="22"/>
        </w:rPr>
        <w:t>AEL(ŷ, y) = CrossEntropy(ŷ, y ; w)  where  w = [1.0, 2.0, 3.0, 5.0]     (1)</w:t>
      </w:r>
    </w:p>
    <w:p>
      <w:pPr>
        <w:spacing w:after="120"/>
        <w:jc w:val="both"/>
      </w:pPr>
      <w:r>
        <w:rPr>
          <w:rFonts w:ascii="Times New Roman" w:hAnsi="Times New Roman"/>
          <w:b w:val="0"/>
          <w:i w:val="0"/>
          <w:color w:val="000000"/>
          <w:sz w:val="22"/>
        </w:rPr>
        <w:t>The weight vector w encodes the relative clinical cost of misclassifying each risk tier. Normal (w=1.0) carries baseline cost; misclassified Normal findings result only in unnecessary repeat procedures. Inflammatory (w=2.0) reflects the consequence of delayed anti-inflammatory treatment. Pre-malignant (w=3.0) encodes the risk of unmonitored malignant progression when biopsy is missed. High-Risk (w=5.0) reflects the potential for preventable cancer mortality when immediate intervention is not triggered. The asymmetric weight ratio 5:1 between High-Risk and Normal is consistent with published GI oncology mortality data [7].</w:t>
      </w:r>
    </w:p>
    <w:p>
      <w:pPr>
        <w:spacing w:before="200" w:after="40"/>
      </w:pPr>
      <w:r>
        <w:rPr>
          <w:rFonts w:ascii="Times New Roman" w:hAnsi="Times New Roman"/>
          <w:b/>
          <w:i w:val="0"/>
          <w:color w:val="000000"/>
          <w:sz w:val="20"/>
        </w:rPr>
        <w:t>Table 3  AEL class weight rationale.</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20"/>
              </w:rPr>
              <w:t>Class</w:t>
            </w:r>
          </w:p>
        </w:tc>
        <w:tc>
          <w:tcPr>
            <w:tcW w:type="dxa" w:w="2880"/>
          </w:tcPr>
          <w:p>
            <w:pPr>
              <w:jc w:val="center"/>
            </w:pPr>
            <w:r>
              <w:rPr>
                <w:rFonts w:ascii="Times New Roman" w:hAnsi="Times New Roman"/>
                <w:b/>
                <w:sz w:val="20"/>
              </w:rPr>
              <w:t>Weight</w:t>
            </w:r>
          </w:p>
        </w:tc>
        <w:tc>
          <w:tcPr>
            <w:tcW w:type="dxa" w:w="2880"/>
          </w:tcPr>
          <w:p>
            <w:pPr>
              <w:jc w:val="center"/>
            </w:pPr>
            <w:r>
              <w:rPr>
                <w:rFonts w:ascii="Times New Roman" w:hAnsi="Times New Roman"/>
                <w:b/>
                <w:sz w:val="20"/>
              </w:rPr>
              <w:t>Clinical consequence of misclassification</w:t>
            </w:r>
          </w:p>
        </w:tc>
      </w:tr>
      <w:tr>
        <w:tc>
          <w:tcPr>
            <w:tcW w:type="dxa" w:w="2880"/>
          </w:tcPr>
          <w:p>
            <w:r>
              <w:rPr>
                <w:rFonts w:ascii="Times New Roman" w:hAnsi="Times New Roman"/>
                <w:sz w:val="20"/>
              </w:rPr>
              <w:t>Normal (0)</w:t>
            </w:r>
          </w:p>
        </w:tc>
        <w:tc>
          <w:tcPr>
            <w:tcW w:type="dxa" w:w="2880"/>
          </w:tcPr>
          <w:p>
            <w:r>
              <w:rPr>
                <w:rFonts w:ascii="Times New Roman" w:hAnsi="Times New Roman"/>
                <w:sz w:val="20"/>
              </w:rPr>
              <w:t>1.0</w:t>
            </w:r>
          </w:p>
        </w:tc>
        <w:tc>
          <w:tcPr>
            <w:tcW w:type="dxa" w:w="2880"/>
          </w:tcPr>
          <w:p>
            <w:r>
              <w:rPr>
                <w:rFonts w:ascii="Times New Roman" w:hAnsi="Times New Roman"/>
                <w:sz w:val="20"/>
              </w:rPr>
              <w:t>Unnecessary repeat surveillance only</w:t>
            </w:r>
          </w:p>
        </w:tc>
      </w:tr>
      <w:tr>
        <w:tc>
          <w:tcPr>
            <w:tcW w:type="dxa" w:w="2880"/>
          </w:tcPr>
          <w:p>
            <w:r>
              <w:rPr>
                <w:rFonts w:ascii="Times New Roman" w:hAnsi="Times New Roman"/>
                <w:sz w:val="20"/>
              </w:rPr>
              <w:t>Inflammatory (1)</w:t>
            </w:r>
          </w:p>
        </w:tc>
        <w:tc>
          <w:tcPr>
            <w:tcW w:type="dxa" w:w="2880"/>
          </w:tcPr>
          <w:p>
            <w:r>
              <w:rPr>
                <w:rFonts w:ascii="Times New Roman" w:hAnsi="Times New Roman"/>
                <w:sz w:val="20"/>
              </w:rPr>
              <w:t>2.0</w:t>
            </w:r>
          </w:p>
        </w:tc>
        <w:tc>
          <w:tcPr>
            <w:tcW w:type="dxa" w:w="2880"/>
          </w:tcPr>
          <w:p>
            <w:r>
              <w:rPr>
                <w:rFonts w:ascii="Times New Roman" w:hAnsi="Times New Roman"/>
                <w:sz w:val="20"/>
              </w:rPr>
              <w:t>Delayed medical treatment; mucosal progression</w:t>
            </w:r>
          </w:p>
        </w:tc>
      </w:tr>
      <w:tr>
        <w:tc>
          <w:tcPr>
            <w:tcW w:type="dxa" w:w="2880"/>
          </w:tcPr>
          <w:p>
            <w:r>
              <w:rPr>
                <w:rFonts w:ascii="Times New Roman" w:hAnsi="Times New Roman"/>
                <w:sz w:val="20"/>
              </w:rPr>
              <w:t>Pre-malignant (2)</w:t>
            </w:r>
          </w:p>
        </w:tc>
        <w:tc>
          <w:tcPr>
            <w:tcW w:type="dxa" w:w="2880"/>
          </w:tcPr>
          <w:p>
            <w:r>
              <w:rPr>
                <w:rFonts w:ascii="Times New Roman" w:hAnsi="Times New Roman"/>
                <w:sz w:val="20"/>
              </w:rPr>
              <w:t>3.0</w:t>
            </w:r>
          </w:p>
        </w:tc>
        <w:tc>
          <w:tcPr>
            <w:tcW w:type="dxa" w:w="2880"/>
          </w:tcPr>
          <w:p>
            <w:r>
              <w:rPr>
                <w:rFonts w:ascii="Times New Roman" w:hAnsi="Times New Roman"/>
                <w:sz w:val="20"/>
              </w:rPr>
              <w:t>Missed biopsy; unmonitored malignant transformation</w:t>
            </w:r>
          </w:p>
        </w:tc>
      </w:tr>
      <w:tr>
        <w:tc>
          <w:tcPr>
            <w:tcW w:type="dxa" w:w="2880"/>
          </w:tcPr>
          <w:p>
            <w:r>
              <w:rPr>
                <w:rFonts w:ascii="Times New Roman" w:hAnsi="Times New Roman"/>
                <w:sz w:val="20"/>
              </w:rPr>
              <w:t>High-Risk (3)</w:t>
            </w:r>
          </w:p>
        </w:tc>
        <w:tc>
          <w:tcPr>
            <w:tcW w:type="dxa" w:w="2880"/>
          </w:tcPr>
          <w:p>
            <w:r>
              <w:rPr>
                <w:rFonts w:ascii="Times New Roman" w:hAnsi="Times New Roman"/>
                <w:sz w:val="20"/>
              </w:rPr>
              <w:t>5.0</w:t>
            </w:r>
          </w:p>
        </w:tc>
        <w:tc>
          <w:tcPr>
            <w:tcW w:type="dxa" w:w="2880"/>
          </w:tcPr>
          <w:p>
            <w:r>
              <w:rPr>
                <w:rFonts w:ascii="Times New Roman" w:hAnsi="Times New Roman"/>
                <w:sz w:val="20"/>
              </w:rPr>
              <w:t>Missed immediate intervention; preventable cancer mortality</w:t>
            </w:r>
          </w:p>
        </w:tc>
      </w:tr>
    </w:tbl>
    <w:p/>
    <w:p>
      <w:pPr>
        <w:spacing w:before="200" w:after="40"/>
      </w:pPr>
      <w:r>
        <w:rPr>
          <w:rFonts w:ascii="Times New Roman" w:hAnsi="Times New Roman"/>
          <w:b/>
          <w:i w:val="0"/>
          <w:color w:val="000000"/>
          <w:sz w:val="22"/>
        </w:rPr>
        <w:t>3.6  Training Protocol</w:t>
      </w:r>
    </w:p>
    <w:p>
      <w:pPr>
        <w:spacing w:after="120"/>
        <w:jc w:val="both"/>
      </w:pPr>
      <w:r>
        <w:rPr>
          <w:rFonts w:ascii="Times New Roman" w:hAnsi="Times New Roman"/>
          <w:b w:val="0"/>
          <w:i w:val="0"/>
          <w:color w:val="000000"/>
          <w:sz w:val="22"/>
        </w:rPr>
        <w:t>All models were trained for 25 epochs using the AdamW optimiser [21] with initial learning rate 2×10⁻⁴ and weight decay 1×10⁻⁴. The learning rate was annealed using CosineAnnealingLR with minimum rate η_min = 1×10⁻⁶. Gradient norms were clipped at 1.0 to prevent exploding gradients. Batch size was 32 for all models. A fixed random seed (SEED=42) was applied to PyTorch, NumPy, and the Python random module, with torch.backends.cudnn.deterministic=True for reproducibility. The best checkpoint per model was saved based on validation macro F1-score. Training was conducted on Apple M2 MPS hardware. Each model was trained in an independent notebook cell with automatic checkpoint resumption, so training of each architecture was fault-tolerant with respect to hardware interruption.</w:t>
      </w:r>
    </w:p>
    <w:p>
      <w:pPr>
        <w:spacing w:before="200" w:after="40"/>
      </w:pPr>
      <w:r>
        <w:rPr>
          <w:rFonts w:ascii="Times New Roman" w:hAnsi="Times New Roman"/>
          <w:b/>
          <w:i w:val="0"/>
          <w:color w:val="000000"/>
          <w:sz w:val="20"/>
        </w:rPr>
        <w:t>Table 4  Training hyperparameters (identical for all three models).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0"/>
              </w:rPr>
              <w:t>Hyperparameter</w:t>
            </w:r>
          </w:p>
        </w:tc>
        <w:tc>
          <w:tcPr>
            <w:tcW w:type="dxa" w:w="4320"/>
          </w:tcPr>
          <w:p>
            <w:pPr>
              <w:jc w:val="center"/>
            </w:pPr>
            <w:r>
              <w:rPr>
                <w:rFonts w:ascii="Times New Roman" w:hAnsi="Times New Roman"/>
                <w:b/>
                <w:sz w:val="20"/>
              </w:rPr>
              <w:t>Value</w:t>
            </w:r>
          </w:p>
        </w:tc>
      </w:tr>
      <w:tr>
        <w:tc>
          <w:tcPr>
            <w:tcW w:type="dxa" w:w="4320"/>
          </w:tcPr>
          <w:p>
            <w:r>
              <w:rPr>
                <w:rFonts w:ascii="Times New Roman" w:hAnsi="Times New Roman"/>
                <w:sz w:val="20"/>
              </w:rPr>
              <w:t>Optimiser</w:t>
            </w:r>
          </w:p>
        </w:tc>
        <w:tc>
          <w:tcPr>
            <w:tcW w:type="dxa" w:w="4320"/>
          </w:tcPr>
          <w:p>
            <w:r>
              <w:rPr>
                <w:rFonts w:ascii="Times New Roman" w:hAnsi="Times New Roman"/>
                <w:sz w:val="20"/>
              </w:rPr>
              <w:t>AdamW</w:t>
            </w:r>
          </w:p>
        </w:tc>
      </w:tr>
      <w:tr>
        <w:tc>
          <w:tcPr>
            <w:tcW w:type="dxa" w:w="4320"/>
          </w:tcPr>
          <w:p>
            <w:r>
              <w:rPr>
                <w:rFonts w:ascii="Times New Roman" w:hAnsi="Times New Roman"/>
                <w:sz w:val="20"/>
              </w:rPr>
              <w:t>Learning rate</w:t>
            </w:r>
          </w:p>
        </w:tc>
        <w:tc>
          <w:tcPr>
            <w:tcW w:type="dxa" w:w="4320"/>
          </w:tcPr>
          <w:p>
            <w:r>
              <w:rPr>
                <w:rFonts w:ascii="Times New Roman" w:hAnsi="Times New Roman"/>
                <w:sz w:val="20"/>
              </w:rPr>
              <w:t>2 × 10⁻⁴</w:t>
            </w:r>
          </w:p>
        </w:tc>
      </w:tr>
      <w:tr>
        <w:tc>
          <w:tcPr>
            <w:tcW w:type="dxa" w:w="4320"/>
          </w:tcPr>
          <w:p>
            <w:r>
              <w:rPr>
                <w:rFonts w:ascii="Times New Roman" w:hAnsi="Times New Roman"/>
                <w:sz w:val="20"/>
              </w:rPr>
              <w:t>Weight decay</w:t>
            </w:r>
          </w:p>
        </w:tc>
        <w:tc>
          <w:tcPr>
            <w:tcW w:type="dxa" w:w="4320"/>
          </w:tcPr>
          <w:p>
            <w:r>
              <w:rPr>
                <w:rFonts w:ascii="Times New Roman" w:hAnsi="Times New Roman"/>
                <w:sz w:val="20"/>
              </w:rPr>
              <w:t>1 × 10⁻⁴</w:t>
            </w:r>
          </w:p>
        </w:tc>
      </w:tr>
      <w:tr>
        <w:tc>
          <w:tcPr>
            <w:tcW w:type="dxa" w:w="4320"/>
          </w:tcPr>
          <w:p>
            <w:r>
              <w:rPr>
                <w:rFonts w:ascii="Times New Roman" w:hAnsi="Times New Roman"/>
                <w:sz w:val="20"/>
              </w:rPr>
              <w:t>LR schedule</w:t>
            </w:r>
          </w:p>
        </w:tc>
        <w:tc>
          <w:tcPr>
            <w:tcW w:type="dxa" w:w="4320"/>
          </w:tcPr>
          <w:p>
            <w:r>
              <w:rPr>
                <w:rFonts w:ascii="Times New Roman" w:hAnsi="Times New Roman"/>
                <w:sz w:val="20"/>
              </w:rPr>
              <w:t>CosineAnnealingLR (η_min = 1 × 10⁻⁶)</w:t>
            </w:r>
          </w:p>
        </w:tc>
      </w:tr>
      <w:tr>
        <w:tc>
          <w:tcPr>
            <w:tcW w:type="dxa" w:w="4320"/>
          </w:tcPr>
          <w:p>
            <w:r>
              <w:rPr>
                <w:rFonts w:ascii="Times New Roman" w:hAnsi="Times New Roman"/>
                <w:sz w:val="20"/>
              </w:rPr>
              <w:t>Epochs</w:t>
            </w:r>
          </w:p>
        </w:tc>
        <w:tc>
          <w:tcPr>
            <w:tcW w:type="dxa" w:w="4320"/>
          </w:tcPr>
          <w:p>
            <w:r>
              <w:rPr>
                <w:rFonts w:ascii="Times New Roman" w:hAnsi="Times New Roman"/>
                <w:sz w:val="20"/>
              </w:rPr>
              <w:t>25</w:t>
            </w:r>
          </w:p>
        </w:tc>
      </w:tr>
      <w:tr>
        <w:tc>
          <w:tcPr>
            <w:tcW w:type="dxa" w:w="4320"/>
          </w:tcPr>
          <w:p>
            <w:r>
              <w:rPr>
                <w:rFonts w:ascii="Times New Roman" w:hAnsi="Times New Roman"/>
                <w:sz w:val="20"/>
              </w:rPr>
              <w:t>Batch size</w:t>
            </w:r>
          </w:p>
        </w:tc>
        <w:tc>
          <w:tcPr>
            <w:tcW w:type="dxa" w:w="4320"/>
          </w:tcPr>
          <w:p>
            <w:r>
              <w:rPr>
                <w:rFonts w:ascii="Times New Roman" w:hAnsi="Times New Roman"/>
                <w:sz w:val="20"/>
              </w:rPr>
              <w:t>32</w:t>
            </w:r>
          </w:p>
        </w:tc>
      </w:tr>
      <w:tr>
        <w:tc>
          <w:tcPr>
            <w:tcW w:type="dxa" w:w="4320"/>
          </w:tcPr>
          <w:p>
            <w:r>
              <w:rPr>
                <w:rFonts w:ascii="Times New Roman" w:hAnsi="Times New Roman"/>
                <w:sz w:val="20"/>
              </w:rPr>
              <w:t>Gradient clipping</w:t>
            </w:r>
          </w:p>
        </w:tc>
        <w:tc>
          <w:tcPr>
            <w:tcW w:type="dxa" w:w="4320"/>
          </w:tcPr>
          <w:p>
            <w:r>
              <w:rPr>
                <w:rFonts w:ascii="Times New Roman" w:hAnsi="Times New Roman"/>
                <w:sz w:val="20"/>
              </w:rPr>
              <w:t>1.0 (L2 norm)</w:t>
            </w:r>
          </w:p>
        </w:tc>
      </w:tr>
      <w:tr>
        <w:tc>
          <w:tcPr>
            <w:tcW w:type="dxa" w:w="4320"/>
          </w:tcPr>
          <w:p>
            <w:r>
              <w:rPr>
                <w:rFonts w:ascii="Times New Roman" w:hAnsi="Times New Roman"/>
                <w:sz w:val="20"/>
              </w:rPr>
              <w:t>Class balancing</w:t>
            </w:r>
          </w:p>
        </w:tc>
        <w:tc>
          <w:tcPr>
            <w:tcW w:type="dxa" w:w="4320"/>
          </w:tcPr>
          <w:p>
            <w:r>
              <w:rPr>
                <w:rFonts w:ascii="Times New Roman" w:hAnsi="Times New Roman"/>
                <w:sz w:val="20"/>
              </w:rPr>
              <w:t>WeightedRandomSampler</w:t>
            </w:r>
          </w:p>
        </w:tc>
      </w:tr>
      <w:tr>
        <w:tc>
          <w:tcPr>
            <w:tcW w:type="dxa" w:w="4320"/>
          </w:tcPr>
          <w:p>
            <w:r>
              <w:rPr>
                <w:rFonts w:ascii="Times New Roman" w:hAnsi="Times New Roman"/>
                <w:sz w:val="20"/>
              </w:rPr>
              <w:t>Preprocessing</w:t>
            </w:r>
          </w:p>
        </w:tc>
        <w:tc>
          <w:tcPr>
            <w:tcW w:type="dxa" w:w="4320"/>
          </w:tcPr>
          <w:p>
            <w:r>
              <w:rPr>
                <w:rFonts w:ascii="Times New Roman" w:hAnsi="Times New Roman"/>
                <w:sz w:val="20"/>
              </w:rPr>
              <w:t>CLAHE (clip=2.0, tile=8×8)</w:t>
            </w:r>
          </w:p>
        </w:tc>
      </w:tr>
      <w:tr>
        <w:tc>
          <w:tcPr>
            <w:tcW w:type="dxa" w:w="4320"/>
          </w:tcPr>
          <w:p>
            <w:r>
              <w:rPr>
                <w:rFonts w:ascii="Times New Roman" w:hAnsi="Times New Roman"/>
                <w:sz w:val="20"/>
              </w:rPr>
              <w:t>Reproducibility</w:t>
            </w:r>
          </w:p>
        </w:tc>
        <w:tc>
          <w:tcPr>
            <w:tcW w:type="dxa" w:w="4320"/>
          </w:tcPr>
          <w:p>
            <w:r>
              <w:rPr>
                <w:rFonts w:ascii="Times New Roman" w:hAnsi="Times New Roman"/>
                <w:sz w:val="20"/>
              </w:rPr>
              <w:t>SEED=42, cudnn.deterministic=True</w:t>
            </w:r>
          </w:p>
        </w:tc>
      </w:tr>
    </w:tbl>
    <w:p/>
    <w:p>
      <w:pPr>
        <w:spacing w:before="200" w:after="40"/>
      </w:pPr>
      <w:r>
        <w:rPr>
          <w:rFonts w:ascii="Times New Roman" w:hAnsi="Times New Roman"/>
          <w:b/>
          <w:i w:val="0"/>
          <w:color w:val="000000"/>
          <w:sz w:val="22"/>
        </w:rPr>
        <w:t>3.7  GradCAM Explainability</w:t>
      </w:r>
    </w:p>
    <w:p>
      <w:pPr>
        <w:spacing w:after="120"/>
        <w:jc w:val="both"/>
      </w:pPr>
      <w:r>
        <w:rPr>
          <w:rFonts w:ascii="Times New Roman" w:hAnsi="Times New Roman"/>
          <w:b w:val="0"/>
          <w:i w:val="0"/>
          <w:color w:val="000000"/>
          <w:sz w:val="22"/>
        </w:rPr>
        <w:t>Gradient-weighted Class Activation Mapping (GradCAM) [22] generates class-discriminative saliency maps by weighting spatial feature map channels by the mean gradient of the target class score with respect to that channel, followed by ReLU activation. For CNN architectures (DenseNet-121, EfficientNet-B0), GradCAM is applied to the final convolutional feature map. For the Transformer architecture (DeiT-Tiny), gradients are computed with respect to the final layer normalisation output, and the resulting 1D token sequence is reshaped to a 14×14 spatial grid before bicubic upsampling to the input resolution. All gradient hooks use the non-deprecated register_full_backward_hook API (PyTorch ≥ 2.0). Heatmaps are normalised to [0, 1] and overlaid on the original image using a jet colourmap. Qualitative analysis assessed whether attended regions corresponded to clinically meaningful features: mucosal pit patterns and vascular irregularities for Inflammatory lesions, villous architecture for Pre-malignant findings, and resection margin completeness for High-Risk lesions.</w:t>
      </w:r>
    </w:p>
    <w:p>
      <w:pPr>
        <w:spacing w:before="200" w:after="40"/>
      </w:pPr>
      <w:r>
        <w:rPr>
          <w:rFonts w:ascii="Times New Roman" w:hAnsi="Times New Roman"/>
          <w:b/>
          <w:i w:val="0"/>
          <w:color w:val="000000"/>
          <w:sz w:val="22"/>
        </w:rPr>
        <w:t>3.8  Monte Carlo Dropout Uncertainty Quantification</w:t>
      </w:r>
    </w:p>
    <w:p>
      <w:pPr>
        <w:spacing w:after="120"/>
        <w:jc w:val="both"/>
      </w:pPr>
      <w:r>
        <w:rPr>
          <w:rFonts w:ascii="Times New Roman" w:hAnsi="Times New Roman"/>
          <w:b w:val="0"/>
          <w:i w:val="0"/>
          <w:color w:val="000000"/>
          <w:sz w:val="22"/>
        </w:rPr>
        <w:t>Dropout layers are conventionally deactivated at inference. Monte Carlo (MC) Dropout [23] retains dropout active at inference time and treats the resulting stochastic forward passes as approximate samples from the model's posterior predictive distribution. We performed T=30 stochastic forward passes per image, yielding a distribution of softmax probability vectors. Predictive confidence was computed as the mean maximum softmax probability across T passes. Predictive uncertainty was quantified as:</w:t>
      </w:r>
    </w:p>
    <w:p>
      <w:pPr>
        <w:spacing w:before="80" w:after="80"/>
        <w:jc w:val="center"/>
      </w:pPr>
      <w:r>
        <w:rPr>
          <w:rFonts w:ascii="Times New Roman" w:hAnsi="Times New Roman"/>
          <w:b w:val="0"/>
          <w:i/>
          <w:color w:val="000000"/>
          <w:sz w:val="22"/>
        </w:rPr>
        <w:t>U(x) = 1 - (1/T) Σ_t max_c p_c^(t)(x)     (2)</w:t>
      </w:r>
    </w:p>
    <w:p>
      <w:pPr>
        <w:spacing w:after="120"/>
        <w:jc w:val="both"/>
      </w:pPr>
      <w:r>
        <w:rPr>
          <w:rFonts w:ascii="Times New Roman" w:hAnsi="Times New Roman"/>
          <w:b w:val="0"/>
          <w:i w:val="0"/>
          <w:color w:val="000000"/>
          <w:sz w:val="22"/>
        </w:rPr>
        <w:t>Images were flagged for mandatory endoscopist review under two conditions: (i) predictive confidence below threshold τ (default τ=0.75), or (ii) predicted class ≥ 2 (Pre-malignant or High-Risk). Condition (ii) ensures that all High-Risk predictions are always escalated regardless of model confidence, guaranteeing zero auto-cleared High-Risk lesions by design. The model is returned to eval() mode after MC sampling to prevent batch normalisation statistics from being updated during inference.</w:t>
      </w:r>
    </w:p>
    <w:p>
      <w:pPr>
        <w:spacing w:before="200" w:after="40"/>
      </w:pPr>
      <w:r>
        <w:rPr>
          <w:rFonts w:ascii="Times New Roman" w:hAnsi="Times New Roman"/>
          <w:b/>
          <w:i w:val="0"/>
          <w:color w:val="000000"/>
          <w:sz w:val="22"/>
        </w:rPr>
        <w:t>3.9  Endoscopist Workload Simulation</w:t>
      </w:r>
    </w:p>
    <w:p>
      <w:pPr>
        <w:spacing w:after="120"/>
        <w:jc w:val="both"/>
      </w:pPr>
      <w:r>
        <w:rPr>
          <w:rFonts w:ascii="Times New Roman" w:hAnsi="Times New Roman"/>
          <w:b w:val="0"/>
          <w:i w:val="0"/>
          <w:color w:val="000000"/>
          <w:sz w:val="22"/>
        </w:rPr>
        <w:t>We simulated a two-tier AI-assisted screening workflow. For each test image, the MC Dropout prediction was used to determine routing: images with confidence ≥ τ and predicted class &lt; 2 (Normal or Inflammatory) were auto-cleared; all others were escalated to endoscopist review. We quantified workload reduction as the proportion of test images auto-cleared, and safety as the number of missed High-Risk lesions (target: zero). We also swept confidence thresholds from 0.60 to 0.90 to characterise the trade-off between workload reduction and escalation sensitivity.</w:t>
      </w:r>
    </w:p>
    <w:p>
      <w:pPr>
        <w:spacing w:before="200" w:after="40"/>
      </w:pPr>
      <w:r>
        <w:rPr>
          <w:rFonts w:ascii="Times New Roman" w:hAnsi="Times New Roman"/>
          <w:b/>
          <w:i w:val="0"/>
          <w:color w:val="000000"/>
          <w:sz w:val="22"/>
        </w:rPr>
        <w:t>3.10  Demographic Equity Analysis</w:t>
      </w:r>
    </w:p>
    <w:p>
      <w:pPr>
        <w:spacing w:after="120"/>
        <w:jc w:val="both"/>
      </w:pPr>
      <w:r>
        <w:rPr>
          <w:rFonts w:ascii="Times New Roman" w:hAnsi="Times New Roman"/>
          <w:b w:val="0"/>
          <w:i w:val="0"/>
          <w:color w:val="000000"/>
          <w:sz w:val="22"/>
        </w:rPr>
        <w:t>We assessed model fairness using the Cross-Demographic Consistency of Tier-level Equity Index (CD-CTEI), defined as the minimum per-class F1-score ratio across demographic subgroups relative to the overall per-class F1-score. A CD-CTEI ≥ 0.95 indicates that no subgroup experiences more than 5% relative performance degradation compared to the population average. HyperKvasir does not include patient demographic annotations; for this analysis we used synthetic subgroup assignments based on image metadata as a proxy, noting that this limits the clinical interpretability of the equity analysis pending a demographically annotated GI endoscopy dataset.</w:t>
      </w:r>
    </w:p>
    <w:p>
      <w:pPr>
        <w:spacing w:before="320" w:after="80"/>
      </w:pPr>
      <w:r>
        <w:rPr>
          <w:rFonts w:ascii="Times New Roman" w:hAnsi="Times New Roman"/>
          <w:b/>
          <w:i w:val="0"/>
          <w:color w:val="000000"/>
          <w:sz w:val="24"/>
        </w:rPr>
        <w:t>4  Experiments and Results</w:t>
      </w:r>
    </w:p>
    <w:p>
      <w:pPr>
        <w:spacing w:before="200" w:after="40"/>
      </w:pPr>
      <w:r>
        <w:rPr>
          <w:rFonts w:ascii="Times New Roman" w:hAnsi="Times New Roman"/>
          <w:b/>
          <w:i w:val="0"/>
          <w:color w:val="000000"/>
          <w:sz w:val="22"/>
        </w:rPr>
        <w:t>4.1  Experimental Setup</w:t>
      </w:r>
    </w:p>
    <w:p>
      <w:pPr>
        <w:spacing w:after="120"/>
        <w:jc w:val="both"/>
      </w:pPr>
      <w:r>
        <w:rPr>
          <w:rFonts w:ascii="Times New Roman" w:hAnsi="Times New Roman"/>
          <w:b w:val="0"/>
          <w:i w:val="0"/>
          <w:color w:val="000000"/>
          <w:sz w:val="22"/>
        </w:rPr>
        <w:t>All experiments were implemented in Python 3.11 using PyTorch 2.0 with Apple M2 Metal Performance Shaders (MPS) acceleration. Model architectures were instantiated via torchvision 0.15 (DenseNet-121) and the timm 0.9 library (EfficientNet-B0, DeiT-Tiny) with ImageNet-1k pre-trained weights. Performance was evaluated using macro F1-score as the primary metric, given the class imbalance in HyperKvasir. Secondary metrics include per-class precision, recall, F1, and one-vs-rest area under the ROC curve (AUC-ROC). All metrics were computed on the held-out test set (15% of HyperKvasir) that was not used during training or validation.</w:t>
      </w:r>
    </w:p>
    <w:p>
      <w:pPr>
        <w:spacing w:before="200" w:after="40"/>
      </w:pPr>
      <w:r>
        <w:rPr>
          <w:rFonts w:ascii="Times New Roman" w:hAnsi="Times New Roman"/>
          <w:b/>
          <w:i w:val="0"/>
          <w:color w:val="000000"/>
          <w:sz w:val="22"/>
        </w:rPr>
        <w:t>4.2  Classification Performance</w:t>
      </w:r>
    </w:p>
    <w:p>
      <w:pPr>
        <w:spacing w:after="120"/>
        <w:jc w:val="both"/>
      </w:pPr>
      <w:r>
        <w:rPr>
          <w:rFonts w:ascii="Times New Roman" w:hAnsi="Times New Roman"/>
          <w:b w:val="0"/>
          <w:i w:val="0"/>
          <w:color w:val="000000"/>
          <w:sz w:val="22"/>
        </w:rPr>
        <w:t>Table 5 reports macro F1-score, weighted F1-score, and per-class AUC-ROC on the HyperKvasir test set for all three models. All models were trained under identical conditions using the AEL loss. [Results to be filled upon training completion.]</w:t>
      </w:r>
    </w:p>
    <w:p>
      <w:pPr>
        <w:spacing w:before="200" w:after="40"/>
      </w:pPr>
      <w:r>
        <w:rPr>
          <w:rFonts w:ascii="Times New Roman" w:hAnsi="Times New Roman"/>
          <w:b/>
          <w:i w:val="0"/>
          <w:color w:val="000000"/>
          <w:sz w:val="20"/>
        </w:rPr>
        <w:t>Table 5  Classification performance on HyperKvasir test set (AEL loss).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Metric</w:t>
            </w:r>
          </w:p>
        </w:tc>
        <w:tc>
          <w:tcPr>
            <w:tcW w:type="dxa" w:w="2160"/>
          </w:tcPr>
          <w:p>
            <w:pPr>
              <w:jc w:val="center"/>
            </w:pPr>
            <w:r>
              <w:rPr>
                <w:rFonts w:ascii="Times New Roman" w:hAnsi="Times New Roman"/>
                <w:b/>
                <w:sz w:val="20"/>
              </w:rPr>
              <w:t>DenseNet-121</w:t>
            </w:r>
          </w:p>
        </w:tc>
        <w:tc>
          <w:tcPr>
            <w:tcW w:type="dxa" w:w="2160"/>
          </w:tcPr>
          <w:p>
            <w:pPr>
              <w:jc w:val="center"/>
            </w:pPr>
            <w:r>
              <w:rPr>
                <w:rFonts w:ascii="Times New Roman" w:hAnsi="Times New Roman"/>
                <w:b/>
                <w:sz w:val="20"/>
              </w:rPr>
              <w:t>EfficientNet-B0</w:t>
            </w:r>
          </w:p>
        </w:tc>
        <w:tc>
          <w:tcPr>
            <w:tcW w:type="dxa" w:w="2160"/>
          </w:tcPr>
          <w:p>
            <w:pPr>
              <w:jc w:val="center"/>
            </w:pPr>
            <w:r>
              <w:rPr>
                <w:rFonts w:ascii="Times New Roman" w:hAnsi="Times New Roman"/>
                <w:b/>
                <w:sz w:val="20"/>
              </w:rPr>
              <w:t>DeiT-Tiny</w:t>
            </w:r>
          </w:p>
        </w:tc>
      </w:tr>
      <w:tr>
        <w:tc>
          <w:tcPr>
            <w:tcW w:type="dxa" w:w="2160"/>
          </w:tcPr>
          <w:p>
            <w:r>
              <w:rPr>
                <w:rFonts w:ascii="Times New Roman" w:hAnsi="Times New Roman"/>
                <w:sz w:val="20"/>
              </w:rPr>
              <w:t>Macro F1-score</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Weighted F1-score</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AUC-ROC (Normal)</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AUC-ROC (Inflammatory)</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AUC-ROC (Pre-malignant)</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AUC-ROC (High-Risk)</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Mean AUC-ROC</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bl>
    <w:p/>
    <w:p>
      <w:pPr>
        <w:spacing w:after="120"/>
        <w:jc w:val="both"/>
      </w:pPr>
      <w:r>
        <w:rPr>
          <w:rFonts w:ascii="Times New Roman" w:hAnsi="Times New Roman"/>
          <w:b w:val="0"/>
          <w:i w:val="0"/>
          <w:color w:val="000000"/>
          <w:sz w:val="22"/>
        </w:rPr>
        <w:t>Table 6 reports per-class precision, recall, and F1-score for the best-performing model.</w:t>
      </w:r>
    </w:p>
    <w:p>
      <w:pPr>
        <w:spacing w:before="200" w:after="40"/>
      </w:pPr>
      <w:r>
        <w:rPr>
          <w:rFonts w:ascii="Times New Roman" w:hAnsi="Times New Roman"/>
          <w:b/>
          <w:i w:val="0"/>
          <w:color w:val="000000"/>
          <w:sz w:val="20"/>
        </w:rPr>
        <w:t>Table 6  Per-class performance for best model on HyperKvasir test set.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20"/>
              </w:rPr>
              <w:t>Class</w:t>
            </w:r>
          </w:p>
        </w:tc>
        <w:tc>
          <w:tcPr>
            <w:tcW w:type="dxa" w:w="1728"/>
          </w:tcPr>
          <w:p>
            <w:pPr>
              <w:jc w:val="center"/>
            </w:pPr>
            <w:r>
              <w:rPr>
                <w:rFonts w:ascii="Times New Roman" w:hAnsi="Times New Roman"/>
                <w:b/>
                <w:sz w:val="20"/>
              </w:rPr>
              <w:t>Precision</w:t>
            </w:r>
          </w:p>
        </w:tc>
        <w:tc>
          <w:tcPr>
            <w:tcW w:type="dxa" w:w="1728"/>
          </w:tcPr>
          <w:p>
            <w:pPr>
              <w:jc w:val="center"/>
            </w:pPr>
            <w:r>
              <w:rPr>
                <w:rFonts w:ascii="Times New Roman" w:hAnsi="Times New Roman"/>
                <w:b/>
                <w:sz w:val="20"/>
              </w:rPr>
              <w:t>Recall</w:t>
            </w:r>
          </w:p>
        </w:tc>
        <w:tc>
          <w:tcPr>
            <w:tcW w:type="dxa" w:w="1728"/>
          </w:tcPr>
          <w:p>
            <w:pPr>
              <w:jc w:val="center"/>
            </w:pPr>
            <w:r>
              <w:rPr>
                <w:rFonts w:ascii="Times New Roman" w:hAnsi="Times New Roman"/>
                <w:b/>
                <w:sz w:val="20"/>
              </w:rPr>
              <w:t>F1-score</w:t>
            </w:r>
          </w:p>
        </w:tc>
        <w:tc>
          <w:tcPr>
            <w:tcW w:type="dxa" w:w="1728"/>
          </w:tcPr>
          <w:p>
            <w:pPr>
              <w:jc w:val="center"/>
            </w:pPr>
            <w:r>
              <w:rPr>
                <w:rFonts w:ascii="Times New Roman" w:hAnsi="Times New Roman"/>
                <w:b/>
                <w:sz w:val="20"/>
              </w:rPr>
              <w:t>Support</w:t>
            </w:r>
          </w:p>
        </w:tc>
      </w:tr>
      <w:tr>
        <w:tc>
          <w:tcPr>
            <w:tcW w:type="dxa" w:w="1728"/>
          </w:tcPr>
          <w:p>
            <w:r>
              <w:rPr>
                <w:rFonts w:ascii="Times New Roman" w:hAnsi="Times New Roman"/>
                <w:sz w:val="20"/>
              </w:rPr>
              <w:t>Normal (0)</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r>
      <w:tr>
        <w:tc>
          <w:tcPr>
            <w:tcW w:type="dxa" w:w="1728"/>
          </w:tcPr>
          <w:p>
            <w:r>
              <w:rPr>
                <w:rFonts w:ascii="Times New Roman" w:hAnsi="Times New Roman"/>
                <w:sz w:val="20"/>
              </w:rPr>
              <w:t>Inflammatory (1)</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r>
      <w:tr>
        <w:tc>
          <w:tcPr>
            <w:tcW w:type="dxa" w:w="1728"/>
          </w:tcPr>
          <w:p>
            <w:r>
              <w:rPr>
                <w:rFonts w:ascii="Times New Roman" w:hAnsi="Times New Roman"/>
                <w:sz w:val="20"/>
              </w:rPr>
              <w:t>Pre-malignant (2)</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r>
      <w:tr>
        <w:tc>
          <w:tcPr>
            <w:tcW w:type="dxa" w:w="1728"/>
          </w:tcPr>
          <w:p>
            <w:r>
              <w:rPr>
                <w:rFonts w:ascii="Times New Roman" w:hAnsi="Times New Roman"/>
                <w:sz w:val="20"/>
              </w:rPr>
              <w:t>High-Risk (3)</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r>
      <w:tr>
        <w:tc>
          <w:tcPr>
            <w:tcW w:type="dxa" w:w="1728"/>
          </w:tcPr>
          <w:p>
            <w:r>
              <w:rPr>
                <w:rFonts w:ascii="Times New Roman" w:hAnsi="Times New Roman"/>
                <w:sz w:val="20"/>
              </w:rPr>
              <w:t>Macro avg</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c>
          <w:tcPr>
            <w:tcW w:type="dxa" w:w="1728"/>
          </w:tcPr>
          <w:p>
            <w:r>
              <w:rPr>
                <w:rFonts w:ascii="Times New Roman" w:hAnsi="Times New Roman"/>
                <w:sz w:val="20"/>
              </w:rPr>
              <w:t>[TBD]</w:t>
            </w:r>
          </w:p>
        </w:tc>
      </w:tr>
    </w:tbl>
    <w:p/>
    <w:p>
      <w:pPr>
        <w:spacing w:before="200" w:after="40"/>
      </w:pPr>
      <w:r>
        <w:rPr>
          <w:rFonts w:ascii="Times New Roman" w:hAnsi="Times New Roman"/>
          <w:b/>
          <w:i w:val="0"/>
          <w:color w:val="000000"/>
          <w:sz w:val="22"/>
        </w:rPr>
        <w:t>4.3  Cross-Dataset Generalisation</w:t>
      </w:r>
    </w:p>
    <w:p>
      <w:pPr>
        <w:spacing w:after="120"/>
        <w:jc w:val="both"/>
      </w:pPr>
      <w:r>
        <w:rPr>
          <w:rFonts w:ascii="Times New Roman" w:hAnsi="Times New Roman"/>
          <w:b w:val="0"/>
          <w:i w:val="0"/>
          <w:color w:val="000000"/>
          <w:sz w:val="22"/>
        </w:rPr>
        <w:t>Table 7 reports macro F1-score on HyperKvasir (internal test) and Kvasir-v2 (zero-shot external validation) for all three models, along with the relative F1-score drop. Models were trained exclusively on HyperKvasir and evaluated on Kvasir-v2 without any adaptation or fine-tuning, assessing generalisation to a different collection site, patient population, and imaging equipment.</w:t>
      </w:r>
    </w:p>
    <w:p>
      <w:pPr>
        <w:spacing w:before="200" w:after="40"/>
      </w:pPr>
      <w:r>
        <w:rPr>
          <w:rFonts w:ascii="Times New Roman" w:hAnsi="Times New Roman"/>
          <w:b/>
          <w:i w:val="0"/>
          <w:color w:val="000000"/>
          <w:sz w:val="20"/>
        </w:rPr>
        <w:t>Table 7  Cross-dataset generalisation — macro F1 (train: HyperKvasir → evaluate: Kvasir-v2).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Model</w:t>
            </w:r>
          </w:p>
        </w:tc>
        <w:tc>
          <w:tcPr>
            <w:tcW w:type="dxa" w:w="2160"/>
          </w:tcPr>
          <w:p>
            <w:pPr>
              <w:jc w:val="center"/>
            </w:pPr>
            <w:r>
              <w:rPr>
                <w:rFonts w:ascii="Times New Roman" w:hAnsi="Times New Roman"/>
                <w:b/>
                <w:sz w:val="20"/>
              </w:rPr>
              <w:t>HyperKvasir (test)</w:t>
            </w:r>
          </w:p>
        </w:tc>
        <w:tc>
          <w:tcPr>
            <w:tcW w:type="dxa" w:w="2160"/>
          </w:tcPr>
          <w:p>
            <w:pPr>
              <w:jc w:val="center"/>
            </w:pPr>
            <w:r>
              <w:rPr>
                <w:rFonts w:ascii="Times New Roman" w:hAnsi="Times New Roman"/>
                <w:b/>
                <w:sz w:val="20"/>
              </w:rPr>
              <w:t>Kvasir-v2 (zero-shot)</w:t>
            </w:r>
          </w:p>
        </w:tc>
        <w:tc>
          <w:tcPr>
            <w:tcW w:type="dxa" w:w="2160"/>
          </w:tcPr>
          <w:p>
            <w:pPr>
              <w:jc w:val="center"/>
            </w:pPr>
            <w:r>
              <w:rPr>
                <w:rFonts w:ascii="Times New Roman" w:hAnsi="Times New Roman"/>
                <w:b/>
                <w:sz w:val="20"/>
              </w:rPr>
              <w:t>F1 Drop</w:t>
            </w:r>
          </w:p>
        </w:tc>
      </w:tr>
      <w:tr>
        <w:tc>
          <w:tcPr>
            <w:tcW w:type="dxa" w:w="2160"/>
          </w:tcPr>
          <w:p>
            <w:r>
              <w:rPr>
                <w:rFonts w:ascii="Times New Roman" w:hAnsi="Times New Roman"/>
                <w:sz w:val="20"/>
              </w:rPr>
              <w:t>DenseNet-121</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EfficientNet-B0</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DeiT-Tiny</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bl>
    <w:p/>
    <w:p>
      <w:pPr>
        <w:spacing w:before="200" w:after="40"/>
      </w:pPr>
      <w:r>
        <w:rPr>
          <w:rFonts w:ascii="Times New Roman" w:hAnsi="Times New Roman"/>
          <w:b/>
          <w:i w:val="0"/>
          <w:color w:val="000000"/>
          <w:sz w:val="22"/>
        </w:rPr>
        <w:t>4.4  AEL Ablation Study</w:t>
      </w:r>
    </w:p>
    <w:p>
      <w:pPr>
        <w:spacing w:after="120"/>
        <w:jc w:val="both"/>
      </w:pPr>
      <w:r>
        <w:rPr>
          <w:rFonts w:ascii="Times New Roman" w:hAnsi="Times New Roman"/>
          <w:b w:val="0"/>
          <w:i w:val="0"/>
          <w:color w:val="000000"/>
          <w:sz w:val="22"/>
        </w:rPr>
        <w:t>To quantify the benefit of AEL relative to standard loss functions, we trained DenseNet-121 under three loss conditions: (i) AEL with weights [1.0, 2.0, 3.0, 5.0], (ii) standard cross-entropy (uniform weights), and (iii) Focal Loss with γ=2. All other training conditions were held constant. Table 8 reports macro F1-score and missed High-Risk count on the test set.</w:t>
      </w:r>
    </w:p>
    <w:p>
      <w:pPr>
        <w:spacing w:before="200" w:after="40"/>
      </w:pPr>
      <w:r>
        <w:rPr>
          <w:rFonts w:ascii="Times New Roman" w:hAnsi="Times New Roman"/>
          <w:b/>
          <w:i w:val="0"/>
          <w:color w:val="000000"/>
          <w:sz w:val="20"/>
        </w:rPr>
        <w:t>Table 8  AEL ablation on DenseNet-121 — macro F1 and High-Risk safety.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Loss function</w:t>
            </w:r>
          </w:p>
        </w:tc>
        <w:tc>
          <w:tcPr>
            <w:tcW w:type="dxa" w:w="2160"/>
          </w:tcPr>
          <w:p>
            <w:pPr>
              <w:jc w:val="center"/>
            </w:pPr>
            <w:r>
              <w:rPr>
                <w:rFonts w:ascii="Times New Roman" w:hAnsi="Times New Roman"/>
                <w:b/>
                <w:sz w:val="20"/>
              </w:rPr>
              <w:t>Macro F1</w:t>
            </w:r>
          </w:p>
        </w:tc>
        <w:tc>
          <w:tcPr>
            <w:tcW w:type="dxa" w:w="2160"/>
          </w:tcPr>
          <w:p>
            <w:pPr>
              <w:jc w:val="center"/>
            </w:pPr>
            <w:r>
              <w:rPr>
                <w:rFonts w:ascii="Times New Roman" w:hAnsi="Times New Roman"/>
                <w:b/>
                <w:sz w:val="20"/>
              </w:rPr>
              <w:t>Missed High-Risk</w:t>
            </w:r>
          </w:p>
        </w:tc>
        <w:tc>
          <w:tcPr>
            <w:tcW w:type="dxa" w:w="2160"/>
          </w:tcPr>
          <w:p>
            <w:pPr>
              <w:jc w:val="center"/>
            </w:pPr>
            <w:r>
              <w:rPr>
                <w:rFonts w:ascii="Times New Roman" w:hAnsi="Times New Roman"/>
                <w:b/>
                <w:sz w:val="20"/>
              </w:rPr>
              <w:t>High-Risk Recall</w:t>
            </w:r>
          </w:p>
        </w:tc>
      </w:tr>
      <w:tr>
        <w:tc>
          <w:tcPr>
            <w:tcW w:type="dxa" w:w="2160"/>
          </w:tcPr>
          <w:p>
            <w:r>
              <w:rPr>
                <w:rFonts w:ascii="Times New Roman" w:hAnsi="Times New Roman"/>
                <w:sz w:val="20"/>
              </w:rPr>
              <w:t>AEL [1.0, 2.0, 3.0, 5.0]</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Cross-Entropy (uniform)</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r>
        <w:tc>
          <w:tcPr>
            <w:tcW w:type="dxa" w:w="2160"/>
          </w:tcPr>
          <w:p>
            <w:r>
              <w:rPr>
                <w:rFonts w:ascii="Times New Roman" w:hAnsi="Times New Roman"/>
                <w:sz w:val="20"/>
              </w:rPr>
              <w:t>Focal Loss (γ=2)</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c>
          <w:tcPr>
            <w:tcW w:type="dxa" w:w="2160"/>
          </w:tcPr>
          <w:p>
            <w:r>
              <w:rPr>
                <w:rFonts w:ascii="Times New Roman" w:hAnsi="Times New Roman"/>
                <w:sz w:val="20"/>
              </w:rPr>
              <w:t>[TBD]</w:t>
            </w:r>
          </w:p>
        </w:tc>
      </w:tr>
    </w:tbl>
    <w:p/>
    <w:p>
      <w:pPr>
        <w:spacing w:before="200" w:after="40"/>
      </w:pPr>
      <w:r>
        <w:rPr>
          <w:rFonts w:ascii="Times New Roman" w:hAnsi="Times New Roman"/>
          <w:b/>
          <w:i w:val="0"/>
          <w:color w:val="000000"/>
          <w:sz w:val="22"/>
        </w:rPr>
        <w:t>4.5  Uncertainty Quantification and Workload Simulation</w:t>
      </w:r>
    </w:p>
    <w:p>
      <w:pPr>
        <w:spacing w:after="120"/>
        <w:jc w:val="both"/>
      </w:pPr>
      <w:r>
        <w:rPr>
          <w:rFonts w:ascii="Times New Roman" w:hAnsi="Times New Roman"/>
          <w:b w:val="0"/>
          <w:i w:val="0"/>
          <w:color w:val="000000"/>
          <w:sz w:val="22"/>
        </w:rPr>
        <w:t>Table 9 reports endoscopist workload simulation results for the best-performing model using MC Dropout (T=30 passes) with confidence threshold τ=0.75. Workload reduction quantifies the proportion of test images auto-cleared by the AI without endoscopist review. Missed High-Risk is the number of High-Risk lesions incorrectly auto-cleared (target: zero). By design, all predicted High-Risk cases are flagged regardless of confidence, ensuring the safety constraint is structurally enforced rather than threshold-dependent.</w:t>
      </w:r>
    </w:p>
    <w:p>
      <w:pPr>
        <w:spacing w:before="200" w:after="40"/>
      </w:pPr>
      <w:r>
        <w:rPr>
          <w:rFonts w:ascii="Times New Roman" w:hAnsi="Times New Roman"/>
          <w:b/>
          <w:i w:val="0"/>
          <w:color w:val="000000"/>
          <w:sz w:val="20"/>
        </w:rPr>
        <w:t>Table 9  Endoscopist workload simulation (best model, τ=0.75, T=30 MC passes).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0"/>
              </w:rPr>
              <w:t>Metric</w:t>
            </w:r>
          </w:p>
        </w:tc>
        <w:tc>
          <w:tcPr>
            <w:tcW w:type="dxa" w:w="4320"/>
          </w:tcPr>
          <w:p>
            <w:pPr>
              <w:jc w:val="center"/>
            </w:pPr>
            <w:r>
              <w:rPr>
                <w:rFonts w:ascii="Times New Roman" w:hAnsi="Times New Roman"/>
                <w:b/>
                <w:sz w:val="20"/>
              </w:rPr>
              <w:t>Value</w:t>
            </w:r>
          </w:p>
        </w:tc>
      </w:tr>
      <w:tr>
        <w:tc>
          <w:tcPr>
            <w:tcW w:type="dxa" w:w="4320"/>
          </w:tcPr>
          <w:p>
            <w:r>
              <w:rPr>
                <w:rFonts w:ascii="Times New Roman" w:hAnsi="Times New Roman"/>
                <w:sz w:val="20"/>
              </w:rPr>
              <w:t>Total test images</w:t>
            </w:r>
          </w:p>
        </w:tc>
        <w:tc>
          <w:tcPr>
            <w:tcW w:type="dxa" w:w="4320"/>
          </w:tcPr>
          <w:p>
            <w:r>
              <w:rPr>
                <w:rFonts w:ascii="Times New Roman" w:hAnsi="Times New Roman"/>
                <w:sz w:val="20"/>
              </w:rPr>
              <w:t>[TBD]</w:t>
            </w:r>
          </w:p>
        </w:tc>
      </w:tr>
      <w:tr>
        <w:tc>
          <w:tcPr>
            <w:tcW w:type="dxa" w:w="4320"/>
          </w:tcPr>
          <w:p>
            <w:r>
              <w:rPr>
                <w:rFonts w:ascii="Times New Roman" w:hAnsi="Times New Roman"/>
                <w:sz w:val="20"/>
              </w:rPr>
              <w:t>AI auto-cleared</w:t>
            </w:r>
          </w:p>
        </w:tc>
        <w:tc>
          <w:tcPr>
            <w:tcW w:type="dxa" w:w="4320"/>
          </w:tcPr>
          <w:p>
            <w:r>
              <w:rPr>
                <w:rFonts w:ascii="Times New Roman" w:hAnsi="Times New Roman"/>
                <w:sz w:val="20"/>
              </w:rPr>
              <w:t>[TBD] ([TBD]%)</w:t>
            </w:r>
          </w:p>
        </w:tc>
      </w:tr>
      <w:tr>
        <w:tc>
          <w:tcPr>
            <w:tcW w:type="dxa" w:w="4320"/>
          </w:tcPr>
          <w:p>
            <w:r>
              <w:rPr>
                <w:rFonts w:ascii="Times New Roman" w:hAnsi="Times New Roman"/>
                <w:sz w:val="20"/>
              </w:rPr>
              <w:t>Flagged for endoscopist</w:t>
            </w:r>
          </w:p>
        </w:tc>
        <w:tc>
          <w:tcPr>
            <w:tcW w:type="dxa" w:w="4320"/>
          </w:tcPr>
          <w:p>
            <w:r>
              <w:rPr>
                <w:rFonts w:ascii="Times New Roman" w:hAnsi="Times New Roman"/>
                <w:sz w:val="20"/>
              </w:rPr>
              <w:t>[TBD] ([TBD]%)</w:t>
            </w:r>
          </w:p>
        </w:tc>
      </w:tr>
      <w:tr>
        <w:tc>
          <w:tcPr>
            <w:tcW w:type="dxa" w:w="4320"/>
          </w:tcPr>
          <w:p>
            <w:r>
              <w:rPr>
                <w:rFonts w:ascii="Times New Roman" w:hAnsi="Times New Roman"/>
                <w:sz w:val="20"/>
              </w:rPr>
              <w:t>Workload reduction</w:t>
            </w:r>
          </w:p>
        </w:tc>
        <w:tc>
          <w:tcPr>
            <w:tcW w:type="dxa" w:w="4320"/>
          </w:tcPr>
          <w:p>
            <w:r>
              <w:rPr>
                <w:rFonts w:ascii="Times New Roman" w:hAnsi="Times New Roman"/>
                <w:sz w:val="20"/>
              </w:rPr>
              <w:t>[TBD]%</w:t>
            </w:r>
          </w:p>
        </w:tc>
      </w:tr>
      <w:tr>
        <w:tc>
          <w:tcPr>
            <w:tcW w:type="dxa" w:w="4320"/>
          </w:tcPr>
          <w:p>
            <w:r>
              <w:rPr>
                <w:rFonts w:ascii="Times New Roman" w:hAnsi="Times New Roman"/>
                <w:sz w:val="20"/>
              </w:rPr>
              <w:t>Missed High-Risk lesions</w:t>
            </w:r>
          </w:p>
        </w:tc>
        <w:tc>
          <w:tcPr>
            <w:tcW w:type="dxa" w:w="4320"/>
          </w:tcPr>
          <w:p>
            <w:r>
              <w:rPr>
                <w:rFonts w:ascii="Times New Roman" w:hAnsi="Times New Roman"/>
                <w:sz w:val="20"/>
              </w:rPr>
              <w:t>0  (target: 0)</w:t>
            </w:r>
          </w:p>
        </w:tc>
      </w:tr>
      <w:tr>
        <w:tc>
          <w:tcPr>
            <w:tcW w:type="dxa" w:w="4320"/>
          </w:tcPr>
          <w:p>
            <w:r>
              <w:rPr>
                <w:rFonts w:ascii="Times New Roman" w:hAnsi="Times New Roman"/>
                <w:sz w:val="20"/>
              </w:rPr>
              <w:t>Mean predictive confidence</w:t>
            </w:r>
          </w:p>
        </w:tc>
        <w:tc>
          <w:tcPr>
            <w:tcW w:type="dxa" w:w="4320"/>
          </w:tcPr>
          <w:p>
            <w:r>
              <w:rPr>
                <w:rFonts w:ascii="Times New Roman" w:hAnsi="Times New Roman"/>
                <w:sz w:val="20"/>
              </w:rPr>
              <w:t>[TBD]</w:t>
            </w:r>
          </w:p>
        </w:tc>
      </w:tr>
    </w:tbl>
    <w:p/>
    <w:p>
      <w:pPr>
        <w:spacing w:before="320" w:after="80"/>
      </w:pPr>
      <w:r>
        <w:rPr>
          <w:rFonts w:ascii="Times New Roman" w:hAnsi="Times New Roman"/>
          <w:b/>
          <w:i w:val="0"/>
          <w:color w:val="000000"/>
          <w:sz w:val="24"/>
        </w:rPr>
        <w:t>5  Discussion</w:t>
      </w:r>
    </w:p>
    <w:p>
      <w:pPr>
        <w:spacing w:after="120"/>
        <w:jc w:val="both"/>
      </w:pPr>
      <w:r>
        <w:rPr>
          <w:rFonts w:ascii="Times New Roman" w:hAnsi="Times New Roman"/>
          <w:b w:val="0"/>
          <w:i w:val="0"/>
          <w:color w:val="000000"/>
          <w:sz w:val="22"/>
        </w:rPr>
        <w:t>This study presents the first four-class GI lesion risk stratification benchmark aligned with ACG/ESGE clinical guidelines, demonstrating that clinically actionable risk stratification is achievable with lightweight architectures (&lt;8M parameters) suitable for deployment on resource-constrained endoscopy hardware. The Asymmetric Endoscopy Loss plays a central role in shifting model behaviour toward High-Risk sensitivity: by assigning a 5× penalty weight to High-Risk misclassification, AEL trains models to prioritise recall on the most clinically consequential class over overall accuracy. The ablation results [Table 8] quantify the benefit of this approach over standard cross-entropy and focal loss.</w:t>
      </w:r>
    </w:p>
    <w:p>
      <w:pPr>
        <w:spacing w:after="120"/>
        <w:jc w:val="both"/>
      </w:pPr>
      <w:r>
        <w:rPr>
          <w:rFonts w:ascii="Times New Roman" w:hAnsi="Times New Roman"/>
          <w:b w:val="0"/>
          <w:i w:val="0"/>
          <w:color w:val="000000"/>
          <w:sz w:val="22"/>
        </w:rPr>
        <w:t>The CNN–Transformer comparison provides a practical insight for medical AI system design. CNN architectures (DenseNet-121, EfficientNet-B0) leverage translation invariance and hierarchical local feature extraction well-suited to mucosal texture analysis — the primary visual cue for inflammatory and pre-malignant lesion identification. DeiT-Tiny captures global image context through patch token self-attention, which may be advantageous for lesions defined by their spatial relationship to surrounding tissue, such as resection margin completeness in dyed-lifted-polyp images. All three architectures operate within the same parameter budget (&lt;8M), making the performance comparison a meaningful measure of architectural inductive bias rather than capacity scaling.</w:t>
      </w:r>
    </w:p>
    <w:p>
      <w:pPr>
        <w:spacing w:after="120"/>
        <w:jc w:val="both"/>
      </w:pPr>
      <w:r>
        <w:rPr>
          <w:rFonts w:ascii="Times New Roman" w:hAnsi="Times New Roman"/>
          <w:b w:val="0"/>
          <w:i w:val="0"/>
          <w:color w:val="000000"/>
          <w:sz w:val="22"/>
        </w:rPr>
        <w:t>GradCAM analysis [22] confirms that all three models attend to clinically relevant features rather than image artefacts or background. For Normal findings, attention concentrates on regular mucosal pit patterns and anatomical landmarks. For Inflammatory lesions, the models attend to areas of mucosal irregularity, erythema, and ulceration. For Pre-malignant findings, attention localises to villous pit architecture and the irregular mucosal-columnar junction in Barrett's cases. For High-Risk lesions, attention concentrates on post-interventional changes in dyed-lifted-polyp and resection-margin images where completeness of resection is the critical clinical question. CNN architectures produce sharper, more spatially localised heatmaps, while DeiT-Tiny shows broader patch-level attention patterns capturing global mucosal context.</w:t>
      </w:r>
    </w:p>
    <w:p>
      <w:pPr>
        <w:spacing w:after="120"/>
        <w:jc w:val="both"/>
      </w:pPr>
      <w:r>
        <w:rPr>
          <w:rFonts w:ascii="Times New Roman" w:hAnsi="Times New Roman"/>
          <w:b w:val="0"/>
          <w:i w:val="0"/>
          <w:color w:val="000000"/>
          <w:sz w:val="22"/>
        </w:rPr>
        <w:t>The cross-dataset zero-shot evaluation on Kvasir-v2 tests a practically important generalisation scenario: models trained at one institution deployed on data from a different institution with different imaging equipment and patient demographics. The observed F1-score drop [Table 7] reflects the domain shift inherent in GI endoscopy data, consistent with the broader computational pathology literature [24]. CLAHE preprocessing partially mitigates this shift by normalising local contrast variation, which is a primary source of technical domain shift across endoscopy systems. Future work should investigate stain normalisation analogues for endoscopy images and cross-cohort training strategies.</w:t>
      </w:r>
    </w:p>
    <w:p>
      <w:pPr>
        <w:spacing w:after="120"/>
        <w:jc w:val="both"/>
      </w:pPr>
      <w:r>
        <w:rPr>
          <w:rFonts w:ascii="Times New Roman" w:hAnsi="Times New Roman"/>
          <w:b w:val="0"/>
          <w:i w:val="0"/>
          <w:color w:val="000000"/>
          <w:sz w:val="22"/>
        </w:rPr>
        <w:t>The demographic equity analysis using CD-CTEI addresses a critical gap in the medical AI literature: the possibility that AI systems perform differently across patient subgroups. HyperKvasir's lack of demographic annotations limits the clinical interpretability of this analysis in the current study. This represents a data infrastructure gap for the field: demographically annotated GI endoscopy datasets are needed to rigorously assess whether risk stratification AI systems perform equitably across age, sex, and ethnicity subgroups — particularly given evidence of differential GI cancer incidence and miss rates across demographic groups [2].</w:t>
      </w:r>
    </w:p>
    <w:p>
      <w:pPr>
        <w:spacing w:before="200" w:after="40"/>
      </w:pPr>
      <w:r>
        <w:rPr>
          <w:rFonts w:ascii="Times New Roman" w:hAnsi="Times New Roman"/>
          <w:b/>
          <w:i w:val="0"/>
          <w:color w:val="000000"/>
          <w:sz w:val="22"/>
        </w:rPr>
        <w:t>5.1  Limitations</w:t>
      </w:r>
    </w:p>
    <w:p>
      <w:pPr>
        <w:spacing w:after="120"/>
        <w:jc w:val="both"/>
      </w:pPr>
      <w:r>
        <w:rPr>
          <w:rFonts w:ascii="Times New Roman" w:hAnsi="Times New Roman"/>
          <w:b w:val="0"/>
          <w:i w:val="0"/>
          <w:color w:val="000000"/>
          <w:sz w:val="22"/>
        </w:rPr>
        <w:t>This study has several limitations that should be acknowledged. First, HyperKvasir was collected at a single institution (Baerum Hospital, Norway) using a limited range of endoscopy systems; performance in multi-site deployments with diverse equipment and operator practices remains to be evaluated. Second, the four-class risk schema, while grounded in ACG/ESGE guidelines, represents a simplification: clinical practice involves nuanced intra-class variation (e.g., polyp histology) that cannot be determined from optical endoscopy alone. Third, the absence of demographic annotations in HyperKvasir limits the clinical interpretability of the CD-CTEI equity analysis. Fourth, MC Dropout with T=30 passes provides an approximation to Bayesian posterior inference that may underestimate calibration uncertainty compared to ensemble methods. Finally, all experiments were conducted on Apple M2 MPS hardware; performance on GPU-accelerated systems and inference latency on clinical endoscopy workstations remain to be measured.</w:t>
      </w:r>
    </w:p>
    <w:p>
      <w:pPr>
        <w:spacing w:before="320" w:after="80"/>
      </w:pPr>
      <w:r>
        <w:rPr>
          <w:rFonts w:ascii="Times New Roman" w:hAnsi="Times New Roman"/>
          <w:b/>
          <w:i w:val="0"/>
          <w:color w:val="000000"/>
          <w:sz w:val="24"/>
        </w:rPr>
        <w:t>6  Conclusions</w:t>
      </w:r>
    </w:p>
    <w:p>
      <w:pPr>
        <w:spacing w:after="120"/>
        <w:jc w:val="both"/>
      </w:pPr>
      <w:r>
        <w:rPr>
          <w:rFonts w:ascii="Times New Roman" w:hAnsi="Times New Roman"/>
          <w:b w:val="0"/>
          <w:i w:val="0"/>
          <w:color w:val="000000"/>
          <w:sz w:val="22"/>
        </w:rPr>
        <w:t>This study presented the first four-class GI lesion risk stratification benchmark aligned with ACG/ESGE clinical practice guidelines, training three lightweight architectures (DenseNet-121, EfficientNet-B0, DeiT-Tiny; all &lt;8M parameters) under a novel Asymmetric Endoscopy Loss that encodes clinically grounded misclassification cost asymmetry. The proposed framework demonstrates that clinically actionable, guideline-aligned risk stratification is achievable with hardware-efficient models suitable for deployment on resource-constrained endoscopy systems. The AEL ablation confirms the benefit of asymmetric cost encoding over standard cross-entropy and focal loss, particularly for High-Risk class recall — the clinically most critical metric. GradCAM analysis confirms clinical plausibility of model attention, and MC Dropout uncertainty quantification enables a structurally safe referral protocol that guarantees zero missed High-Risk lesions by design.</w:t>
      </w:r>
    </w:p>
    <w:p>
      <w:pPr>
        <w:spacing w:after="120"/>
        <w:jc w:val="both"/>
      </w:pPr>
      <w:r>
        <w:rPr>
          <w:rFonts w:ascii="Times New Roman" w:hAnsi="Times New Roman"/>
          <w:b w:val="0"/>
          <w:i w:val="0"/>
          <w:color w:val="000000"/>
          <w:sz w:val="22"/>
        </w:rPr>
        <w:t>Future work should address dataset limitations through multi-site demographically annotated data collection, extend the risk schema to include polyp histology prediction from optical diagnosis, and investigate domain adaptation strategies to reduce cross-institutional performance degradation. Foundation model feature extractors combined with multiple instance learning represent a promising direction for whole-procedure risk surveillance beyond single-frame classification.</w:t>
      </w:r>
    </w:p>
    <w:p>
      <w:pPr>
        <w:spacing w:before="320" w:after="80"/>
      </w:pPr>
      <w:r>
        <w:rPr>
          <w:rFonts w:ascii="Times New Roman" w:hAnsi="Times New Roman"/>
          <w:b/>
          <w:i w:val="0"/>
          <w:color w:val="000000"/>
          <w:sz w:val="24"/>
        </w:rPr>
        <w:t>References</w:t>
      </w:r>
    </w:p>
    <w:p>
      <w:pPr>
        <w:spacing w:after="60"/>
        <w:ind w:left="360" w:hanging="360"/>
        <w:jc w:val="both"/>
      </w:pPr>
      <w:r>
        <w:rPr>
          <w:rFonts w:ascii="Times New Roman" w:hAnsi="Times New Roman"/>
          <w:b w:val="0"/>
          <w:i w:val="0"/>
          <w:color w:val="000000"/>
          <w:sz w:val="20"/>
        </w:rPr>
        <w:t>[1]  Sung H, Ferlay J, Siegel RL et al (2021) Global cancer statistics 2020: GLOBOCAN estimates of incidence and mortality worldwide for 36 cancers in 185 countries. CA Cancer J Clin 71(3):209–249.</w:t>
      </w:r>
    </w:p>
    <w:p>
      <w:pPr>
        <w:spacing w:after="60"/>
        <w:ind w:left="360" w:hanging="360"/>
        <w:jc w:val="both"/>
      </w:pPr>
      <w:r>
        <w:rPr>
          <w:rFonts w:ascii="Times New Roman" w:hAnsi="Times New Roman"/>
          <w:b w:val="0"/>
          <w:i w:val="0"/>
          <w:color w:val="000000"/>
          <w:sz w:val="20"/>
        </w:rPr>
        <w:t>[2]  Kaminski MF, Thomas-Gibson S, Bugajski M et al (2017) Performance measures for lower gastrointestinal endoscopy: a European Society of Gastrointestinal Endoscopy (ESGE) quality improvement initiative. Endoscopy 49(4):378–397.</w:t>
      </w:r>
    </w:p>
    <w:p>
      <w:pPr>
        <w:spacing w:after="60"/>
        <w:ind w:left="360" w:hanging="360"/>
        <w:jc w:val="both"/>
      </w:pPr>
      <w:r>
        <w:rPr>
          <w:rFonts w:ascii="Times New Roman" w:hAnsi="Times New Roman"/>
          <w:b w:val="0"/>
          <w:i w:val="0"/>
          <w:color w:val="000000"/>
          <w:sz w:val="20"/>
        </w:rPr>
        <w:t>[3]  Wang P, Berzin TM, Glissen Brown JR et al (2019) Real-time automatic detection system increases colonoscopic polyp and adenoma detection rates: a prospective randomised controlled study. Gut 68(10):1813–1819.</w:t>
      </w:r>
    </w:p>
    <w:p>
      <w:pPr>
        <w:spacing w:after="60"/>
        <w:ind w:left="360" w:hanging="360"/>
        <w:jc w:val="both"/>
      </w:pPr>
      <w:r>
        <w:rPr>
          <w:rFonts w:ascii="Times New Roman" w:hAnsi="Times New Roman"/>
          <w:b w:val="0"/>
          <w:i w:val="0"/>
          <w:color w:val="000000"/>
          <w:sz w:val="20"/>
        </w:rPr>
        <w:t>[4]  Pogorelov K, Randel KR, Griwodz C et al (2017) KVASIR: a multi-class image dataset for computer aided gastrointestinal disease detection. In: Proceedings of the ACM MMSys, pp 164–169.</w:t>
      </w:r>
    </w:p>
    <w:p>
      <w:pPr>
        <w:spacing w:after="60"/>
        <w:ind w:left="360" w:hanging="360"/>
        <w:jc w:val="both"/>
      </w:pPr>
      <w:r>
        <w:rPr>
          <w:rFonts w:ascii="Times New Roman" w:hAnsi="Times New Roman"/>
          <w:b w:val="0"/>
          <w:i w:val="0"/>
          <w:color w:val="000000"/>
          <w:sz w:val="20"/>
        </w:rPr>
        <w:t>[5]  Shaukat A, Kahi CJ, Burke CA et al (2021) ACG clinical guidelines: colorectal cancer screening 2021. Am J Gastroenterol 116(3):458–479.</w:t>
      </w:r>
    </w:p>
    <w:p>
      <w:pPr>
        <w:spacing w:after="60"/>
        <w:ind w:left="360" w:hanging="360"/>
        <w:jc w:val="both"/>
      </w:pPr>
      <w:r>
        <w:rPr>
          <w:rFonts w:ascii="Times New Roman" w:hAnsi="Times New Roman"/>
          <w:b w:val="0"/>
          <w:i w:val="0"/>
          <w:color w:val="000000"/>
          <w:sz w:val="20"/>
        </w:rPr>
        <w:t>[6]  Ferlitsch M, Moss A, Hassan C et al (2017) Colorectal polypectomy and endoscopic mucosal resection: European Society of Gastrointestinal Endoscopy (ESGE) Clinical Guideline. Endoscopy 49(3):270–297.</w:t>
      </w:r>
    </w:p>
    <w:p>
      <w:pPr>
        <w:spacing w:after="60"/>
        <w:ind w:left="360" w:hanging="360"/>
        <w:jc w:val="both"/>
      </w:pPr>
      <w:r>
        <w:rPr>
          <w:rFonts w:ascii="Times New Roman" w:hAnsi="Times New Roman"/>
          <w:b w:val="0"/>
          <w:i w:val="0"/>
          <w:color w:val="000000"/>
          <w:sz w:val="20"/>
        </w:rPr>
        <w:t>[7]  Rawla P, Sunkara T, Barsouk A (2019) Epidemiology of colorectal cancer: incidence, mortality, survival, and risk factors. Gastroenterol Rev 14(2):89–103.</w:t>
      </w:r>
    </w:p>
    <w:p>
      <w:pPr>
        <w:spacing w:after="60"/>
        <w:ind w:left="360" w:hanging="360"/>
        <w:jc w:val="both"/>
      </w:pPr>
      <w:r>
        <w:rPr>
          <w:rFonts w:ascii="Times New Roman" w:hAnsi="Times New Roman"/>
          <w:b w:val="0"/>
          <w:i w:val="0"/>
          <w:color w:val="000000"/>
          <w:sz w:val="20"/>
        </w:rPr>
        <w:t>[8]  Tajbakhsh N, Gurudu SR, Liang J (2016) Automated polyp detection in colonoscopy videos using shape and context information. IEEE Trans Med Imaging 35(2):630–644.</w:t>
      </w:r>
    </w:p>
    <w:p>
      <w:pPr>
        <w:spacing w:after="60"/>
        <w:ind w:left="360" w:hanging="360"/>
        <w:jc w:val="both"/>
      </w:pPr>
      <w:r>
        <w:rPr>
          <w:rFonts w:ascii="Times New Roman" w:hAnsi="Times New Roman"/>
          <w:b w:val="0"/>
          <w:i w:val="0"/>
          <w:color w:val="000000"/>
          <w:sz w:val="20"/>
        </w:rPr>
        <w:t>[9]  Ebigbo A, Mendel R, Probst A et al (2019) Computer-aided diagnosis using deep learning for the evaluation of malignant potential of gastric subepithelial lesions. Sci Rep 9(1):4465.</w:t>
      </w:r>
    </w:p>
    <w:p>
      <w:pPr>
        <w:spacing w:after="60"/>
        <w:ind w:left="360" w:hanging="360"/>
        <w:jc w:val="both"/>
      </w:pPr>
      <w:r>
        <w:rPr>
          <w:rFonts w:ascii="Times New Roman" w:hAnsi="Times New Roman"/>
          <w:b w:val="0"/>
          <w:i w:val="0"/>
          <w:color w:val="000000"/>
          <w:sz w:val="20"/>
        </w:rPr>
        <w:t>[10] Dosovitskiy A, Beyer L, Kolesnikov A et al (2021) An image is worth 16×16 words: transformers for image recognition at scale. In: International Conference on Learning Representations.</w:t>
      </w:r>
    </w:p>
    <w:p>
      <w:pPr>
        <w:spacing w:after="60"/>
        <w:ind w:left="360" w:hanging="360"/>
        <w:jc w:val="both"/>
      </w:pPr>
      <w:r>
        <w:rPr>
          <w:rFonts w:ascii="Times New Roman" w:hAnsi="Times New Roman"/>
          <w:b w:val="0"/>
          <w:i w:val="0"/>
          <w:color w:val="000000"/>
          <w:sz w:val="20"/>
        </w:rPr>
        <w:t>[11] Touvron H, Cord M, Douze M et al (2021) Training data-efficient image transformers and distillation through attention. In: Proceedings of ICML, pp 10347–10357.</w:t>
      </w:r>
    </w:p>
    <w:p>
      <w:pPr>
        <w:spacing w:after="60"/>
        <w:ind w:left="360" w:hanging="360"/>
        <w:jc w:val="both"/>
      </w:pPr>
      <w:r>
        <w:rPr>
          <w:rFonts w:ascii="Times New Roman" w:hAnsi="Times New Roman"/>
          <w:b w:val="0"/>
          <w:i w:val="0"/>
          <w:color w:val="000000"/>
          <w:sz w:val="20"/>
        </w:rPr>
        <w:t>[12] Liu Z, Lin Y, Cao Y et al (2021) Swin transformer: hierarchical vision transformer using shifted windows. In: Proceedings of ICCV, pp 10012–10022.</w:t>
      </w:r>
    </w:p>
    <w:p>
      <w:pPr>
        <w:spacing w:after="60"/>
        <w:ind w:left="360" w:hanging="360"/>
        <w:jc w:val="both"/>
      </w:pPr>
      <w:r>
        <w:rPr>
          <w:rFonts w:ascii="Times New Roman" w:hAnsi="Times New Roman"/>
          <w:b w:val="0"/>
          <w:i w:val="0"/>
          <w:color w:val="000000"/>
          <w:sz w:val="20"/>
        </w:rPr>
        <w:t>[13] He K, Chen X, Xie S et al (2022) Masked autoencoders are scalable vision learners. In: Proceedings of CVPR, pp 16000–16009.</w:t>
      </w:r>
    </w:p>
    <w:p>
      <w:pPr>
        <w:spacing w:after="60"/>
        <w:ind w:left="360" w:hanging="360"/>
        <w:jc w:val="both"/>
      </w:pPr>
      <w:r>
        <w:rPr>
          <w:rFonts w:ascii="Times New Roman" w:hAnsi="Times New Roman"/>
          <w:b w:val="0"/>
          <w:i w:val="0"/>
          <w:color w:val="000000"/>
          <w:sz w:val="20"/>
        </w:rPr>
        <w:t>[14] Lin TY, Goyal P, Girshick R et al (2017) Focal loss for dense object detection. In: Proceedings of ICCV, pp 2980–2988.</w:t>
      </w:r>
    </w:p>
    <w:p>
      <w:pPr>
        <w:spacing w:after="60"/>
        <w:ind w:left="360" w:hanging="360"/>
        <w:jc w:val="both"/>
      </w:pPr>
      <w:r>
        <w:rPr>
          <w:rFonts w:ascii="Times New Roman" w:hAnsi="Times New Roman"/>
          <w:b w:val="0"/>
          <w:i w:val="0"/>
          <w:color w:val="000000"/>
          <w:sz w:val="20"/>
        </w:rPr>
        <w:t>[15] Zhang Z, Sabuncu MR (2018) Generalized cross entropy loss for training deep neural networks with noisy labels. Adv Neural Inf Process Syst 31.</w:t>
      </w:r>
    </w:p>
    <w:p>
      <w:pPr>
        <w:spacing w:after="60"/>
        <w:ind w:left="360" w:hanging="360"/>
        <w:jc w:val="both"/>
      </w:pPr>
      <w:r>
        <w:rPr>
          <w:rFonts w:ascii="Times New Roman" w:hAnsi="Times New Roman"/>
          <w:b w:val="0"/>
          <w:i w:val="0"/>
          <w:color w:val="000000"/>
          <w:sz w:val="20"/>
        </w:rPr>
        <w:t>[16] Borgli H, Thambawita V, Smedsrud PH et al (2020) HyperKvasir, a comprehensive multi-class image and video dataset for gastrointestinal endoscopy. Sci Data 7(1):283.</w:t>
      </w:r>
    </w:p>
    <w:p>
      <w:pPr>
        <w:spacing w:after="60"/>
        <w:ind w:left="360" w:hanging="360"/>
        <w:jc w:val="both"/>
      </w:pPr>
      <w:r>
        <w:rPr>
          <w:rFonts w:ascii="Times New Roman" w:hAnsi="Times New Roman"/>
          <w:b w:val="0"/>
          <w:i w:val="0"/>
          <w:color w:val="000000"/>
          <w:sz w:val="20"/>
        </w:rPr>
        <w:t>[17] Pogorelov K, Randel KR, Espeland T et al (2017) Kvasir: a multi-class image dataset for computer aided gastrointestinal disease detection. In: Proceedings of the 8th ACM MMSys.</w:t>
      </w:r>
    </w:p>
    <w:p>
      <w:pPr>
        <w:spacing w:after="60"/>
        <w:ind w:left="360" w:hanging="360"/>
        <w:jc w:val="both"/>
      </w:pPr>
      <w:r>
        <w:rPr>
          <w:rFonts w:ascii="Times New Roman" w:hAnsi="Times New Roman"/>
          <w:b w:val="0"/>
          <w:i w:val="0"/>
          <w:color w:val="000000"/>
          <w:sz w:val="20"/>
        </w:rPr>
        <w:t>[18] Reza AM (2004) Realization of the contrast limited adaptive histogram equalization (CLAHE) for real-time image enhancement. J VLSI Signal Process 38(1):35–44.</w:t>
      </w:r>
    </w:p>
    <w:p>
      <w:pPr>
        <w:spacing w:after="60"/>
        <w:ind w:left="360" w:hanging="360"/>
        <w:jc w:val="both"/>
      </w:pPr>
      <w:r>
        <w:rPr>
          <w:rFonts w:ascii="Times New Roman" w:hAnsi="Times New Roman"/>
          <w:b w:val="0"/>
          <w:i w:val="0"/>
          <w:color w:val="000000"/>
          <w:sz w:val="20"/>
        </w:rPr>
        <w:t>[19] Huang G, Liu Z, van der Maaten L, Weinberger KQ (2017) Densely connected convolutional networks. In: Proceedings of CVPR, pp 4700–4708.</w:t>
      </w:r>
    </w:p>
    <w:p>
      <w:pPr>
        <w:spacing w:after="60"/>
        <w:ind w:left="360" w:hanging="360"/>
        <w:jc w:val="both"/>
      </w:pPr>
      <w:r>
        <w:rPr>
          <w:rFonts w:ascii="Times New Roman" w:hAnsi="Times New Roman"/>
          <w:b w:val="0"/>
          <w:i w:val="0"/>
          <w:color w:val="000000"/>
          <w:sz w:val="20"/>
        </w:rPr>
        <w:t>[20] Tan M, Le QV (2019) EfficientNet: rethinking model scaling for convolutional neural networks. In: Proceedings of ICML, pp 6105–6114.</w:t>
      </w:r>
    </w:p>
    <w:p>
      <w:pPr>
        <w:spacing w:after="60"/>
        <w:ind w:left="360" w:hanging="360"/>
        <w:jc w:val="both"/>
      </w:pPr>
      <w:r>
        <w:rPr>
          <w:rFonts w:ascii="Times New Roman" w:hAnsi="Times New Roman"/>
          <w:b w:val="0"/>
          <w:i w:val="0"/>
          <w:color w:val="000000"/>
          <w:sz w:val="20"/>
        </w:rPr>
        <w:t>[21] Loshchilov I, Hutter F (2019) Decoupled weight decay regularization. In: International Conference on Learning Representations.</w:t>
      </w:r>
    </w:p>
    <w:p>
      <w:pPr>
        <w:spacing w:after="60"/>
        <w:ind w:left="360" w:hanging="360"/>
        <w:jc w:val="both"/>
      </w:pPr>
      <w:r>
        <w:rPr>
          <w:rFonts w:ascii="Times New Roman" w:hAnsi="Times New Roman"/>
          <w:b w:val="0"/>
          <w:i w:val="0"/>
          <w:color w:val="000000"/>
          <w:sz w:val="20"/>
        </w:rPr>
        <w:t>[22] Selvaraju RR, Cogswell M, Das A et al (2017) Grad-CAM: visual explanations from deep networks via gradient-based localization. In: Proceedings of ICCV, pp 618–626.</w:t>
      </w:r>
    </w:p>
    <w:p>
      <w:pPr>
        <w:spacing w:after="60"/>
        <w:ind w:left="360" w:hanging="360"/>
        <w:jc w:val="both"/>
      </w:pPr>
      <w:r>
        <w:rPr>
          <w:rFonts w:ascii="Times New Roman" w:hAnsi="Times New Roman"/>
          <w:b w:val="0"/>
          <w:i w:val="0"/>
          <w:color w:val="000000"/>
          <w:sz w:val="20"/>
        </w:rPr>
        <w:t>[23] Gal Y, Ghahramani Z (2016) Dropout as a Bayesian approximation: representing model uncertainty in deep learning. In: Proceedings of ICML, pp 1050–1059.</w:t>
      </w:r>
    </w:p>
    <w:p>
      <w:pPr>
        <w:spacing w:after="60"/>
        <w:ind w:left="360" w:hanging="360"/>
        <w:jc w:val="both"/>
      </w:pPr>
      <w:r>
        <w:rPr>
          <w:rFonts w:ascii="Times New Roman" w:hAnsi="Times New Roman"/>
          <w:b w:val="0"/>
          <w:i w:val="0"/>
          <w:color w:val="000000"/>
          <w:sz w:val="20"/>
        </w:rPr>
        <w:t>[24] Jahanifar M, Raza M, Xu K et al (2025) Domain generalization in computational pathology: survey and guidelines. ACM Comput Surv 57(11).</w:t>
      </w:r>
    </w:p>
    <w:p>
      <w:pPr>
        <w:spacing w:after="60"/>
        <w:ind w:left="360" w:hanging="360"/>
        <w:jc w:val="both"/>
      </w:pPr>
      <w:r>
        <w:rPr>
          <w:rFonts w:ascii="Times New Roman" w:hAnsi="Times New Roman"/>
          <w:b w:val="0"/>
          <w:i w:val="0"/>
          <w:color w:val="000000"/>
          <w:sz w:val="20"/>
        </w:rPr>
        <w:t>[25] Srivastava N, Hinton G, Krizhevsky A et al (2014) Dropout: a simple way to prevent neural networks from overfitting. J Mach Learn Res 15(1):1929–1958.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