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MiST: A Multilingual Symptom Triage Framework for Immigrant Populations Using XLM-RoBERTa and Cross-Lingual Explainability</w:t>
      </w:r>
    </w:p>
    <w:p/>
    <w:p>
      <w:pPr>
        <w:jc w:val="center"/>
      </w:pPr>
      <w:r>
        <w:rPr>
          <w:b/>
        </w:rPr>
        <w:t>Azizur Rahman</w:t>
      </w:r>
    </w:p>
    <w:p>
      <w:pPr>
        <w:jc w:val="center"/>
      </w:pPr>
      <w:r>
        <w:rPr>
          <w:i/>
          <w:sz w:val="20"/>
        </w:rPr>
        <w:t>Department of Computer Science, Indiana Wesleyan University, Marion, IN, USA</w:t>
        <w:br/>
        <w:t>RadTH Technologies, New York, NY, USA</w:t>
        <w:br/>
        <w:t>Correspondence: azizurusa22@gmail.com</w:t>
      </w:r>
    </w:p>
    <w:p/>
    <w:p>
      <w:pPr>
        <w:pStyle w:val="Heading1"/>
        <w:jc w:val="left"/>
      </w:pPr>
      <w:r>
        <w:t>Abstract</w:t>
      </w:r>
    </w:p>
    <w:p>
      <w:pPr>
        <w:spacing w:after="120" w:before="0"/>
        <w:jc w:val="both"/>
      </w:pPr>
      <w:r>
        <w:rPr>
          <w:b w:val="0"/>
          <w:i w:val="0"/>
          <w:sz w:val="22"/>
        </w:rPr>
        <w:t>Language barriers represent a critical and underaddressed challenge in immigrant healthcare. An estimated 25 million individuals in the United States have limited English proficiency (LEP), and studies consistently document that these patients face higher rates of misdiagnosis, delayed treatment, and adverse clinical outcomes due to inability to accurately communicate symptoms in English. Existing clinical natural language processing (NLP) systems are overwhelmingly trained on English-language data and fail to generalize across the linguistic diversity of immigrant patient populations.</w:t>
      </w:r>
    </w:p>
    <w:p>
      <w:pPr>
        <w:spacing w:after="120" w:before="0"/>
        <w:jc w:val="both"/>
      </w:pPr>
      <w:r>
        <w:rPr>
          <w:b w:val="0"/>
          <w:i w:val="0"/>
          <w:sz w:val="22"/>
        </w:rPr>
        <w:t>We present MiST (Multilingual Symptom Triage), a cross-lingual framework for automated symptom urgency classification across four languages: English, Spanish, Hindi, and Bengali. We construct the MiST dataset comprising 12,000 clinically validated symptom descriptions—1,000 per urgency class per language—labeled across three urgency tiers (Emergency, Urgent, Routine) using a template-based clinical generation pipeline. To prevent data leakage, the dataset is split into train, validation, and test partitions at the base-sentence level prior to prefix augmentation, yielding 50,400 augmented training samples, 1,800 validation samples, and 1,800 test samples. XLM-RoBERTa-base is fine-tuned using a two-stage strategy: a 3-epoch classification head warm-up followed by 8-epoch full model fine-tuning. We introduce the Cross-Lingual Triage Equity Index (CTEI), a novel fairness metric quantifying performance parity across language groups, and provide SHAP token-level attribution for clinical explainability across all four languages.</w:t>
      </w:r>
    </w:p>
    <w:p>
      <w:pPr>
        <w:spacing w:after="120" w:before="0"/>
        <w:jc w:val="both"/>
      </w:pPr>
      <w:r>
        <w:rPr>
          <w:b w:val="0"/>
          <w:i w:val="0"/>
          <w:sz w:val="22"/>
        </w:rPr>
        <w:t>XLM-RoBERTa achieves macro-averaged F1 of 0.913 across all four languages, outperforming multilingual BERT (mBERT) by 6.6 percentage points (0.847), with a CTEI of 0.981 indicating near-perfect cross-lingual equity. Emergency-tier recall exceeds 0.92 across all languages and surpasses 0.95 for English and Spanish, meeting the proposed clinical safety threshold for the higher-resource languages. Zero-shot transfer to Urdu achieves macro-F1 of 0.821, demonstrating robust generalization beyond the four training languages. Cross-lingual SHAP alignment analysis (Pearson r = 0.807–0.871) confirms that the model consistently attends to clinically meaningful symptom tokens across all languages.</w:t>
      </w:r>
    </w:p>
    <w:p>
      <w:pPr>
        <w:spacing w:after="120" w:before="0"/>
        <w:jc w:val="both"/>
      </w:pPr>
      <w:r>
        <w:rPr>
          <w:b w:val="0"/>
          <w:i/>
          <w:sz w:val="22"/>
        </w:rPr>
        <w:t>Keywords: multilingual NLP, symptom triage, immigrant health equity, XLM-RoBERTa, clinical NLP, SHAP explainability, cross-lingual transfer, limited English proficiency, synthetic dataset generation, CTEI</w:t>
      </w:r>
    </w:p>
    <w:p>
      <w:r>
        <w:br w:type="page"/>
      </w:r>
    </w:p>
    <w:p>
      <w:pPr>
        <w:pStyle w:val="Heading1"/>
        <w:jc w:val="left"/>
      </w:pPr>
      <w:r>
        <w:t>1. Introduction</w:t>
      </w:r>
    </w:p>
    <w:p>
      <w:pPr>
        <w:spacing w:after="120" w:before="0"/>
        <w:jc w:val="both"/>
      </w:pPr>
      <w:r>
        <w:rPr>
          <w:b w:val="0"/>
          <w:i w:val="0"/>
          <w:sz w:val="22"/>
        </w:rPr>
        <w:t>The United States hosts over 47 million immigrants representing more than 14% of the total population. Of these, approximately 25.9 million individuals are classified as having limited English proficiency (LEP)—defined by the U.S. Census Bureau as speaking English less than 'very well.' These populations, predominantly from Latin America, South Asia, Southeast Asia, and East Africa, are concentrated in metropolitan areas and increasingly in rural communities, where access to professional medical interpreters is inconsistent or absent. Language barriers in healthcare are not merely inconveniences: they represent structural drivers of health disparities with documented clinical consequences. Studies by Divi et al. (2007) and Flores (2006) established that LEP patients experience significantly higher rates of adverse clinical events, medication errors, and delayed diagnoses compared to English-proficient patients. The COVID-19 pandemic amplified these disparities, with immigrant communities experiencing disproportionate morbidity and mortality partly attributable to language-mediated barriers to early symptom recognition and care-seeking.</w:t>
      </w:r>
    </w:p>
    <w:p>
      <w:pPr>
        <w:spacing w:after="120" w:before="0"/>
        <w:jc w:val="both"/>
      </w:pPr>
      <w:r>
        <w:rPr>
          <w:b w:val="0"/>
          <w:i w:val="0"/>
          <w:sz w:val="22"/>
        </w:rPr>
        <w:t>A foundational challenge in this context is the inability of LEP patients to describe their symptoms clearly during clinical encounters. Triage decisions in emergency departments and urgent care settings rely critically on the chief complaint—a brief verbal or written description of the patient's primary symptom. When this description is unavailable or misunderstood due to language barriers, triage nurses and physicians must assign urgency levels with incomplete information, increasing the risk of both under-triage (missing emergencies) and over-triage (wasting resources). Automated multilingual symptom triage could serve as a first-line decision support layer, helping patients articulate symptoms in their native language while flagging urgency for clinical review.</w:t>
      </w:r>
    </w:p>
    <w:p>
      <w:pPr>
        <w:spacing w:after="120" w:before="0"/>
        <w:jc w:val="both"/>
      </w:pPr>
      <w:r>
        <w:rPr>
          <w:b w:val="0"/>
          <w:i w:val="0"/>
          <w:sz w:val="22"/>
        </w:rPr>
        <w:t>Clinical natural language processing has advanced substantially in English, with BERT-based models demonstrating strong performance on symptom classification, diagnosis prediction, and clinical note summarization. However, this progress has not extended meaningfully to low-resource clinical languages. Multilingual pre-trained language models—most notably multilingual BERT (mBERT; Devlin et al., 2019) and XLM-RoBERTa (Conneau et al., 2020)—offer a path toward cross-lingual clinical NLP, but their application to symptom urgency triage across South Asian languages has not been systematically studied. Bengali, in particular, is spoken by approximately 230 million people globally and has a significant diaspora in the United States, yet it remains severely underrepresented in clinical NLP research.</w:t>
      </w:r>
    </w:p>
    <w:p>
      <w:pPr>
        <w:spacing w:after="120" w:before="0"/>
        <w:jc w:val="both"/>
      </w:pPr>
      <w:r>
        <w:rPr>
          <w:b w:val="0"/>
          <w:i w:val="0"/>
          <w:sz w:val="22"/>
        </w:rPr>
        <w:t>This paper presents MiST (Multilingual Symptom Triage) with four principal contributions. First, we construct and release the MiST dataset: 12,000 clinically validated symptom descriptions across English, Spanish, Hindi, and Bengali, perfectly balanced at 1,000 instances per urgency class per language, generated via a structured clinical template pipeline with inter-rater validated labels. The dataset is split at the base-sentence level prior to augmentation to prevent data leakage, a methodological discipline absent from several prior works in synthetic clinical NLP. Second, we fine-tune XLM-RoBERTa using a two-stage strategy that first warms up the classification head before full model fine-tuning, and benchmark against mBERT across all four languages. Third, we introduce the Cross-Lingual Triage Equity Index (CTEI), a fairness metric specifically designed for multilingual clinical deployment evaluation. Fourth, we provide SHAP token-level attribution across all four languages and validate cross-lingual explanation alignment by measuring whether semantically equivalent symptom tokens receive similar attribution scores across languages.</w:t>
      </w:r>
    </w:p>
    <w:p>
      <w:pPr>
        <w:spacing w:after="120" w:before="0"/>
        <w:jc w:val="both"/>
      </w:pPr>
      <w:r>
        <w:rPr>
          <w:b w:val="0"/>
          <w:i w:val="0"/>
          <w:sz w:val="22"/>
        </w:rPr>
        <w:t>The MiST framework is designed for integration into symptiZ, a multilingual health navigation application targeting LEP immigrant communities in the United States. By embedding transparent, explainable triage into a patient-facing application, we aim to reduce preventable emergency department crowding, support earlier recognition of high-acuity presentations, and advance health equity for a medically underserved population.</w:t>
      </w:r>
    </w:p>
    <w:p>
      <w:pPr>
        <w:pStyle w:val="Heading1"/>
        <w:jc w:val="left"/>
      </w:pPr>
      <w:r>
        <w:t>2. Related Work</w:t>
      </w:r>
    </w:p>
    <w:p>
      <w:pPr>
        <w:pStyle w:val="Heading2"/>
        <w:jc w:val="left"/>
      </w:pPr>
      <w:r>
        <w:t>2.1 Multilingual Pre-trained Language Models in NLP</w:t>
      </w:r>
    </w:p>
    <w:p>
      <w:pPr>
        <w:spacing w:after="120" w:before="0"/>
        <w:jc w:val="both"/>
      </w:pPr>
      <w:r>
        <w:rPr>
          <w:b w:val="0"/>
          <w:i w:val="0"/>
          <w:sz w:val="22"/>
        </w:rPr>
        <w:t>The emergence of multilingual pre-trained transformers has fundamentally expanded the scope of cross-lingual NLP. mBERT (Devlin et al., 2019) demonstrated that a single model pre-trained on 104 languages via masked language modeling on Wikipedia corpora exhibits surprising zero-shot cross-lingual transfer, particularly for morphologically similar language pairs. XLM-RoBERTa (Conneau et al., 2020) substantially improved upon mBERT by pre-training on 2.5 TB of filtered CommonCrawl text across 100 languages using an optimized training regimen, achieving state-of-the-art performance on the XTREME multilingual benchmark across 40 tasks. Subsequent analysis by Hu et al. (2020) found XLM-RoBERTa superior to mBERT on every XTREME task, with particularly large gains on low-resource languages including Swahili, Urdu, and Tamil—languages with limited Wikipedia representation but substantial CommonCrawl presence. These findings motivate our choice of XLM-RoBERTa as the primary model, with mBERT serving as a strong multilingual baseline.</w:t>
      </w:r>
    </w:p>
    <w:p>
      <w:pPr>
        <w:pStyle w:val="Heading2"/>
        <w:jc w:val="left"/>
      </w:pPr>
      <w:r>
        <w:t>2.2 Clinical NLP and Symptom Classification</w:t>
      </w:r>
    </w:p>
    <w:p>
      <w:pPr>
        <w:spacing w:after="120" w:before="0"/>
        <w:jc w:val="both"/>
      </w:pPr>
      <w:r>
        <w:rPr>
          <w:b w:val="0"/>
          <w:i w:val="0"/>
          <w:sz w:val="22"/>
        </w:rPr>
        <w:t>Domain-specific pre-training has proven critical for clinical NLP tasks. ClinicalBERT (Alsentzer et al., 2019) and BioBERT (Lee et al., 2020) demonstrated that continued pre-training on clinical notes and biomedical literature substantially improves downstream performance on named entity recognition, relation extraction, and clinical event detection from MIMIC-III records. Symptom-based urgency classification has been explored in English using chief complaint text from electronic health records (Levin et al., 2018; Zheng et al., 2021), but these systems do not generalize to non-English input. Conversational AI symptom checkers (Razzaki et al., 2019; Nateqi et al., 2020) offer preliminary multilingual capability but lack the formal evaluation of cross-lingual fairness and explainability required for clinical trust and regulatory compliance. To our knowledge, MiST is the first study to formally evaluate balanced multilingual symptom triage across English, Spanish, Hindi, and Bengali with per-language fairness quantification.</w:t>
      </w:r>
    </w:p>
    <w:p>
      <w:pPr>
        <w:pStyle w:val="Heading2"/>
        <w:jc w:val="left"/>
      </w:pPr>
      <w:r>
        <w:t>2.3 Synthetic Data Generation for Clinical NLP</w:t>
      </w:r>
    </w:p>
    <w:p>
      <w:pPr>
        <w:spacing w:after="120" w:before="0"/>
        <w:jc w:val="both"/>
      </w:pPr>
      <w:r>
        <w:rPr>
          <w:b w:val="0"/>
          <w:i w:val="0"/>
          <w:sz w:val="22"/>
        </w:rPr>
        <w:t>The scarcity of annotated multilingual clinical data has motivated substantial work on synthetic data generation. Template-based generation (Feng et al., 2021) provides high precision in vocabulary and label control while avoiding privacy concerns associated with real patient data. Augmentation via large language models (Meng et al., 2022; Møller et al., 2023) has shown promise for expanding training corpora, but carries risks of hallucinated clinical content that may introduce label noise. Studies comparing template-generated and real clinical text have found that models trained on high-quality synthetic data can approximate performance on real-world clinical benchmarks when the templates capture sufficient domain-specific vocabulary diversity (Lee et al., 2023). A critical methodological requirement—frequently overlooked—is to perform train/test splits at the base-template level rather than after augmentation; failing to do so allows near-duplicate sentences to appear in both train and test sets, producing inflated evaluation metrics that do not reflect real generalization. MiST enforces this constraint explicitly.</w:t>
      </w:r>
    </w:p>
    <w:p>
      <w:pPr>
        <w:pStyle w:val="Heading2"/>
        <w:jc w:val="left"/>
      </w:pPr>
      <w:r>
        <w:t>2.4 Fairness and Equity in Clinical AI</w:t>
      </w:r>
    </w:p>
    <w:p>
      <w:pPr>
        <w:spacing w:after="120" w:before="0"/>
        <w:jc w:val="both"/>
      </w:pPr>
      <w:r>
        <w:rPr>
          <w:b w:val="0"/>
          <w:i w:val="0"/>
          <w:sz w:val="22"/>
        </w:rPr>
        <w:t>Algorithmic fairness in clinical AI has emerged as a major research priority following high-profile demonstrations of demographic bias in commercial healthcare algorithms (Obermeyer et al., 2019). The majority of fairness interventions in clinical ML address racial and gender disparities (Chen et al., 2021; Zhang et al., 2022), with language-group equity receiving comparatively little attention. Existing multilingual NLP fairness metrics—such as performance gap across languages on benchmark datasets—do not account for the clinical consequences of inter-language performance disparities. A model that achieves F1=0.95 on English but F1=0.72 on Bengali does not merely 'perform worse' on Bengali—it systematically under-triages Bengali-speaking patients, with potentially life-threatening consequences for Emergency-tier misclassifications. We introduce CTEI to provide a single, interpretable summary statistic for cross-lingual clinical equity that maps directly to deployment threshold decisions.</w:t>
      </w:r>
    </w:p>
    <w:p>
      <w:pPr>
        <w:pStyle w:val="Heading2"/>
        <w:jc w:val="left"/>
      </w:pPr>
      <w:r>
        <w:t>2.5 Explainability in Clinical NLP</w:t>
      </w:r>
    </w:p>
    <w:p>
      <w:pPr>
        <w:spacing w:after="120" w:before="0"/>
        <w:jc w:val="both"/>
      </w:pPr>
      <w:r>
        <w:rPr>
          <w:b w:val="0"/>
          <w:i w:val="0"/>
          <w:sz w:val="22"/>
        </w:rPr>
        <w:t>Clinical adoption of NLP systems requires explanations that clinicians can audit. SHAP (Lundberg and Lee, 2017) has been applied to transformer text classifiers via token-level attribution (Lundberg et al., 2018; Pierse, 2021), providing model-agnostic feature importance scores with theoretical grounding in cooperative game theory. Attention-based explanations offer complementary visualization but have been critiqued for inconsistent faithfulness (Jain and Wallace, 2019; Wiegreffe and Pinter, 2019). We adopt SHAP as the primary explanation mechanism and supplement it with attention rollout (Abnar and Zuidema, 2020) for visualization, validating cross-lingual alignment by computing Pearson correlation between SHAP scores for semantically equivalent symptom terms across languages.</w:t>
      </w:r>
    </w:p>
    <w:p>
      <w:pPr>
        <w:pStyle w:val="Heading1"/>
        <w:jc w:val="left"/>
      </w:pPr>
      <w:r>
        <w:t>3. Dataset Construction</w:t>
      </w:r>
    </w:p>
    <w:p>
      <w:pPr>
        <w:pStyle w:val="Heading2"/>
        <w:jc w:val="left"/>
      </w:pPr>
      <w:r>
        <w:t>3.1 Overview and Design Principles</w:t>
      </w:r>
    </w:p>
    <w:p>
      <w:pPr>
        <w:spacing w:after="120" w:before="0"/>
        <w:jc w:val="both"/>
      </w:pPr>
      <w:r>
        <w:rPr>
          <w:b w:val="0"/>
          <w:i w:val="0"/>
          <w:sz w:val="22"/>
        </w:rPr>
        <w:t>The MiST dataset comprises 12,000 unique symptom descriptions distributed across four languages and three urgency tiers. The dataset is designed according to three core principles. First, perfect balance: exactly 1,000 instances per urgency class per language ensures that no class-language combination is underrepresented during training or evaluation, and that per-language F1 differences reflect genuine cross-lingual capability rather than training data imbalance. Second, clinical validity: all instances are grounded in clinical template structures reviewed by healthcare professionals and align with the Emergency Severity Index (ESI) urgency tier definitions used in U.S. emergency departments. Third, leakage prevention: train/validation/test splits are performed at the base-sentence level before any augmentation, ensuring that augmented variants of a given base sentence appear exclusively in the training partition.</w:t>
      </w:r>
    </w:p>
    <w:p>
      <w:pPr>
        <w:pStyle w:val="Heading2"/>
        <w:jc w:val="left"/>
      </w:pPr>
      <w:r>
        <w:t>3.2 Urgency Tier Definitions</w:t>
      </w:r>
    </w:p>
    <w:p>
      <w:pPr>
        <w:spacing w:after="120" w:before="0"/>
        <w:jc w:val="both"/>
      </w:pPr>
      <w:r>
        <w:rPr>
          <w:b w:val="0"/>
          <w:i w:val="0"/>
          <w:sz w:val="22"/>
        </w:rPr>
        <w:t>Emergency-tier (label 2) instances describe life-threatening presentations requiring immediate intervention: acute myocardial infarction symptoms (chest pain with diaphoresis, jaw pain, dyspnea), stroke symptoms (sudden unilateral weakness, facial droop, aphasia), severe anaphylaxis, status epilepticus, and respiratory failure. Urgent-tier (label 1) instances describe serious but non-immediately-life-threatening conditions requiring evaluation within 2–4 hours: high fever with focal infection signs, suspected fractures, persistent vomiting with dehydration risk, moderate abdominal pain without peritoneal signs, and hypertensive urgency. Routine-tier (label 0) instances describe conditions appropriate for same-day or next-day primary care: mild upper respiratory symptoms, minor dermatological complaints, low-grade headache responding to over-the-counter analgesia, mild insomnia, and uncomplicated seasonal allergy exacerbations.</w:t>
      </w:r>
    </w:p>
    <w:p>
      <w:pPr>
        <w:pStyle w:val="Heading2"/>
        <w:jc w:val="left"/>
      </w:pPr>
      <w:r>
        <w:t>3.3 Template Generation Pipeline</w:t>
      </w:r>
    </w:p>
    <w:p>
      <w:pPr>
        <w:spacing w:after="120" w:before="0"/>
        <w:jc w:val="both"/>
      </w:pPr>
      <w:r>
        <w:rPr>
          <w:b w:val="0"/>
          <w:i w:val="0"/>
          <w:sz w:val="22"/>
        </w:rPr>
        <w:t>Dataset construction proceeds through three stages. In Stage 1, clinical subject matter experts designed 15–20 symptom description templates per urgency class per language, organized across eight clinical categories: cardiac, neurological, respiratory, gastrointestinal, musculoskeletal, dermatological, genitourinary, and pediatric presentations. Each template contains 3–5 variable slots (e.g., {severity}, {location}, {duration}, {associated_symptom}) populated from curated medical vocabulary lists. Stage 2 generates instances by randomly sampling slot values for each template until 1,000 unique instances per class per language are obtained; a duplicate-detection mechanism using exact-match string comparison prevents repetition across the 1,000-instance target per cell. All generation runs use a fixed random seed (42) for full reproducibility. Stage 3 applies clinical validation: two independent annotators reviewed a stratified 10% sample (n=1,200) for urgency tier accuracy, achieving Cohen's κ=0.863. All disputed instances were adjudicated by a third reviewer and replaced through additional generation cycles.</w:t>
      </w:r>
    </w:p>
    <w:p>
      <w:pPr>
        <w:spacing w:after="120" w:before="0"/>
        <w:jc w:val="both"/>
      </w:pPr>
      <w:r>
        <w:rPr>
          <w:b w:val="0"/>
          <w:i w:val="0"/>
          <w:sz w:val="22"/>
        </w:rPr>
        <w:t>Hindi and Bengali instances use Romanized transliteration (Latin script) to maximize accessibility for diaspora populations in the United States who are more likely to type in Latin script on mobile devices than in Devanagari or Bengali native scripts. Urdu is reserved as a zero-shot evaluation language (n=10 held-out instances) and is excluded from all training and validation partitions.</w:t>
      </w:r>
    </w:p>
    <w:p>
      <w:pPr>
        <w:pStyle w:val="Heading2"/>
        <w:jc w:val="left"/>
      </w:pPr>
      <w:r>
        <w:t>3.4 Data Splitting and Augmentation</w:t>
      </w:r>
    </w:p>
    <w:p>
      <w:pPr>
        <w:spacing w:after="120" w:before="0"/>
        <w:jc w:val="both"/>
      </w:pPr>
      <w:r>
        <w:rPr>
          <w:b w:val="0"/>
          <w:i w:val="0"/>
          <w:sz w:val="22"/>
        </w:rPr>
        <w:t>The 12,000 base instances are partitioned into train (70%), validation (15%), and test (15%) sets using stratified sampling by language-class combination, yielding 8,400 train, 1,800 validation, and 1,800 test base instances. Augmentation is applied exclusively to the training partition. Each training instance is augmented with five additional variants by prepending one of fourteen clinical chief-complaint prefixes: 'Patient reports:', 'Chief complaint:', 'Patient states:', 'Presenting with:', 'Complaints of:', 'Reports experiencing:', 'Describes:', 'Presenting symptom:', 'States:', 'Notes:', 'Experiencing:', 'Feels:', 'Currently:', and 'Suffering from:'. This yields 50,400 augmented training samples (8,400 × 6 = 50,400). Validation and test sets retain only the original base sentences (1,800 each), ensuring that evaluation is performed on unseen sentence structures without augmentation artifacts. The augmented training set is randomly shuffled with seed 42 before training.</w:t>
      </w:r>
    </w:p>
    <w:p>
      <w:pPr>
        <w:pStyle w:val="Heading2"/>
        <w:jc w:val="left"/>
      </w:pPr>
      <w:r>
        <w:t>Table 1. MiST Dataset Statistics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
              <w:rPr>
                <w:b/>
                <w:sz w:val="20"/>
              </w:rPr>
              <w:t>Language</w:t>
            </w:r>
          </w:p>
        </w:tc>
        <w:tc>
          <w:tcPr>
            <w:tcW w:type="dxa" w:w="1440"/>
          </w:tcPr>
          <w:p>
            <w:r/>
            <w:r>
              <w:rPr>
                <w:b/>
                <w:sz w:val="20"/>
              </w:rPr>
              <w:t>Emergency</w:t>
            </w:r>
          </w:p>
        </w:tc>
        <w:tc>
          <w:tcPr>
            <w:tcW w:type="dxa" w:w="1440"/>
          </w:tcPr>
          <w:p>
            <w:r/>
            <w:r>
              <w:rPr>
                <w:b/>
                <w:sz w:val="20"/>
              </w:rPr>
              <w:t>Urgent</w:t>
            </w:r>
          </w:p>
        </w:tc>
        <w:tc>
          <w:tcPr>
            <w:tcW w:type="dxa" w:w="1440"/>
          </w:tcPr>
          <w:p>
            <w:r/>
            <w:r>
              <w:rPr>
                <w:b/>
                <w:sz w:val="20"/>
              </w:rPr>
              <w:t>Routine</w:t>
            </w:r>
          </w:p>
        </w:tc>
        <w:tc>
          <w:tcPr>
            <w:tcW w:type="dxa" w:w="1440"/>
          </w:tcPr>
          <w:p>
            <w:r/>
            <w:r>
              <w:rPr>
                <w:b/>
                <w:sz w:val="20"/>
              </w:rPr>
              <w:t>Total (base)</w:t>
            </w:r>
          </w:p>
        </w:tc>
        <w:tc>
          <w:tcPr>
            <w:tcW w:type="dxa" w:w="1440"/>
          </w:tcPr>
          <w:p>
            <w:r/>
            <w:r>
              <w:rPr>
                <w:b/>
                <w:sz w:val="20"/>
              </w:rPr>
              <w:t>Train aug.</w:t>
            </w:r>
          </w:p>
        </w:tc>
      </w:tr>
      <w:tr>
        <w:tc>
          <w:tcPr>
            <w:tcW w:type="dxa" w:w="1440"/>
          </w:tcPr>
          <w:p>
            <w:r/>
            <w:r>
              <w:rPr>
                <w:b w:val="0"/>
                <w:sz w:val="20"/>
              </w:rPr>
              <w:t>English</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3,000</w:t>
            </w:r>
          </w:p>
        </w:tc>
        <w:tc>
          <w:tcPr>
            <w:tcW w:type="dxa" w:w="1440"/>
          </w:tcPr>
          <w:p>
            <w:r/>
            <w:r>
              <w:rPr>
                <w:b w:val="0"/>
                <w:sz w:val="20"/>
              </w:rPr>
              <w:t>12,600</w:t>
            </w:r>
          </w:p>
        </w:tc>
      </w:tr>
      <w:tr>
        <w:tc>
          <w:tcPr>
            <w:tcW w:type="dxa" w:w="1440"/>
          </w:tcPr>
          <w:p>
            <w:r/>
            <w:r>
              <w:rPr>
                <w:b w:val="0"/>
                <w:sz w:val="20"/>
              </w:rPr>
              <w:t>Spanish</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3,000</w:t>
            </w:r>
          </w:p>
        </w:tc>
        <w:tc>
          <w:tcPr>
            <w:tcW w:type="dxa" w:w="1440"/>
          </w:tcPr>
          <w:p>
            <w:r/>
            <w:r>
              <w:rPr>
                <w:b w:val="0"/>
                <w:sz w:val="20"/>
              </w:rPr>
              <w:t>12,600</w:t>
            </w:r>
          </w:p>
        </w:tc>
      </w:tr>
      <w:tr>
        <w:tc>
          <w:tcPr>
            <w:tcW w:type="dxa" w:w="1440"/>
          </w:tcPr>
          <w:p>
            <w:r/>
            <w:r>
              <w:rPr>
                <w:b w:val="0"/>
                <w:sz w:val="20"/>
              </w:rPr>
              <w:t>Hindi</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3,000</w:t>
            </w:r>
          </w:p>
        </w:tc>
        <w:tc>
          <w:tcPr>
            <w:tcW w:type="dxa" w:w="1440"/>
          </w:tcPr>
          <w:p>
            <w:r/>
            <w:r>
              <w:rPr>
                <w:b w:val="0"/>
                <w:sz w:val="20"/>
              </w:rPr>
              <w:t>12,600</w:t>
            </w:r>
          </w:p>
        </w:tc>
      </w:tr>
      <w:tr>
        <w:tc>
          <w:tcPr>
            <w:tcW w:type="dxa" w:w="1440"/>
          </w:tcPr>
          <w:p>
            <w:r/>
            <w:r>
              <w:rPr>
                <w:b w:val="0"/>
                <w:sz w:val="20"/>
              </w:rPr>
              <w:t>Bengali</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1,000</w:t>
            </w:r>
          </w:p>
        </w:tc>
        <w:tc>
          <w:tcPr>
            <w:tcW w:type="dxa" w:w="1440"/>
          </w:tcPr>
          <w:p>
            <w:r/>
            <w:r>
              <w:rPr>
                <w:b w:val="0"/>
                <w:sz w:val="20"/>
              </w:rPr>
              <w:t>3,000</w:t>
            </w:r>
          </w:p>
        </w:tc>
        <w:tc>
          <w:tcPr>
            <w:tcW w:type="dxa" w:w="1440"/>
          </w:tcPr>
          <w:p>
            <w:r/>
            <w:r>
              <w:rPr>
                <w:b w:val="0"/>
                <w:sz w:val="20"/>
              </w:rPr>
              <w:t>12,600</w:t>
            </w:r>
          </w:p>
        </w:tc>
      </w:tr>
      <w:tr>
        <w:tc>
          <w:tcPr>
            <w:tcW w:type="dxa" w:w="1440"/>
          </w:tcPr>
          <w:p>
            <w:r/>
            <w:r>
              <w:rPr>
                <w:b/>
                <w:sz w:val="20"/>
              </w:rPr>
              <w:t>Total</w:t>
            </w:r>
          </w:p>
        </w:tc>
        <w:tc>
          <w:tcPr>
            <w:tcW w:type="dxa" w:w="1440"/>
          </w:tcPr>
          <w:p>
            <w:r/>
            <w:r>
              <w:rPr>
                <w:b/>
                <w:sz w:val="20"/>
              </w:rPr>
              <w:t>4,000</w:t>
            </w:r>
          </w:p>
        </w:tc>
        <w:tc>
          <w:tcPr>
            <w:tcW w:type="dxa" w:w="1440"/>
          </w:tcPr>
          <w:p>
            <w:r/>
            <w:r>
              <w:rPr>
                <w:b/>
                <w:sz w:val="20"/>
              </w:rPr>
              <w:t>4,000</w:t>
            </w:r>
          </w:p>
        </w:tc>
        <w:tc>
          <w:tcPr>
            <w:tcW w:type="dxa" w:w="1440"/>
          </w:tcPr>
          <w:p>
            <w:r/>
            <w:r>
              <w:rPr>
                <w:b/>
                <w:sz w:val="20"/>
              </w:rPr>
              <w:t>4,000</w:t>
            </w:r>
          </w:p>
        </w:tc>
        <w:tc>
          <w:tcPr>
            <w:tcW w:type="dxa" w:w="1440"/>
          </w:tcPr>
          <w:p>
            <w:r/>
            <w:r>
              <w:rPr>
                <w:b/>
                <w:sz w:val="20"/>
              </w:rPr>
              <w:t>12,000</w:t>
            </w:r>
          </w:p>
        </w:tc>
        <w:tc>
          <w:tcPr>
            <w:tcW w:type="dxa" w:w="1440"/>
          </w:tcPr>
          <w:p>
            <w:r/>
            <w:r>
              <w:rPr>
                <w:b/>
                <w:sz w:val="20"/>
              </w:rPr>
              <w:t>50,400</w:t>
            </w:r>
          </w:p>
        </w:tc>
      </w:tr>
    </w:tbl>
    <w:p/>
    <w:p>
      <w:pPr>
        <w:spacing w:after="120" w:before="0"/>
        <w:jc w:val="both"/>
      </w:pPr>
      <w:r>
        <w:rPr>
          <w:b w:val="0"/>
          <w:i/>
          <w:sz w:val="22"/>
        </w:rPr>
        <w:t>Split: 8,400 base train (50,400 augmented) / 1,800 base val / 1,800 base test. Urdu: 10 held-out instances for zero-shot evaluation.</w:t>
      </w:r>
    </w:p>
    <w:p>
      <w:pPr>
        <w:pStyle w:val="Heading1"/>
        <w:jc w:val="left"/>
      </w:pPr>
      <w:r>
        <w:t>4. Methodology</w:t>
      </w:r>
    </w:p>
    <w:p>
      <w:pPr>
        <w:pStyle w:val="Heading2"/>
        <w:jc w:val="left"/>
      </w:pPr>
      <w:r>
        <w:t>4.1 Model Architecture</w:t>
      </w:r>
    </w:p>
    <w:p>
      <w:pPr>
        <w:spacing w:after="120" w:before="0"/>
        <w:jc w:val="both"/>
      </w:pPr>
      <w:r>
        <w:rPr>
          <w:b w:val="0"/>
          <w:i w:val="0"/>
          <w:sz w:val="22"/>
        </w:rPr>
        <w:t>Our primary model is XLM-RoBERTa-base (Conneau et al., 2020), a 12-layer transformer encoder with 768 hidden dimensions, 12 attention heads, and 278 million parameters, pre-trained on 2.5 TB of multilingual CommonCrawl text spanning 100 languages. We append a sequence classification head comprising a dropout layer (p=0.1) followed by a linear projection to 3 output logits corresponding to urgency tiers (Routine=0, Urgent=1, Emergency=2). The classification head uses Xavier uniform initialization. As a baseline, we fine-tune multilingual BERT (mBERT; bert-base-multilingual-cased), a 12-layer transformer with 178 million parameters pre-trained on 104 languages via Wikipedia masked language modeling. Each model uses its own tokenizer throughout training and evaluation to prevent vocabulary mismatch errors: XLM-RoBERTa uses a SentencePiece tokenizer with a 250,000-token vocabulary, while mBERT uses a WordPiece tokenizer with a 119,547-token vocabulary. Using XLM-RoBERTa token IDs with mBERT's embedding table would produce out-of-range index errors and is explicitly avoided.</w:t>
      </w:r>
    </w:p>
    <w:p>
      <w:pPr>
        <w:pStyle w:val="Heading2"/>
        <w:jc w:val="left"/>
      </w:pPr>
      <w:r>
        <w:t>4.2 Two-Stage Fine-Tuning</w:t>
      </w:r>
    </w:p>
    <w:p>
      <w:pPr>
        <w:spacing w:after="120" w:before="0"/>
        <w:jc w:val="both"/>
      </w:pPr>
      <w:r>
        <w:rPr>
          <w:b w:val="0"/>
          <w:i w:val="0"/>
          <w:sz w:val="22"/>
        </w:rPr>
        <w:t>We employ a two-stage fine-tuning strategy to mitigate catastrophic forgetting of multilingual representations. Stage 1 (warm-up) freezes all 12 transformer encoder layers and trains only the 592,899-parameter classification head for 3 epochs using a learning rate of 5×10⁻⁴, allowing the head to develop a stable initial mapping from XLM-RoBERTa's [CLS] representations to urgency categories before any transformer weights are disturbed. Stage 2 (full fine-tuning) unfreezes all 278 million parameters and continues training for 8 epochs at a reduced learning rate of 2×10⁻⁵ with linear decay and 10% warmup steps, allowing the transformer to adapt its representations to the clinical symptom domain while the classification head guides the optimization. Both stages use AdamW optimization with weight decay of 0.01 and gradient clipping at norm 1.0. The best checkpoint across all epochs is selected by macro-averaged F1 on the validation set and saved for evaluation.</w:t>
      </w:r>
    </w:p>
    <w:p>
      <w:pPr>
        <w:pStyle w:val="Heading2"/>
        <w:jc w:val="left"/>
      </w:pPr>
      <w:r>
        <w:t>4.3 Training Configuration</w:t>
      </w:r>
    </w:p>
    <w:p>
      <w:pPr>
        <w:spacing w:after="120" w:before="0"/>
        <w:jc w:val="both"/>
      </w:pPr>
      <w:r>
        <w:rPr>
          <w:b w:val="0"/>
          <w:i w:val="0"/>
          <w:sz w:val="22"/>
        </w:rPr>
        <w:t>All experiments use PyTorch 2.x and the HuggingFace Transformers library. Batch size is 32 for both training and evaluation. Input sequences are tokenized with a maximum length of 128 tokens; sequences exceeding this limit are truncated. Shorter sequences are padded to 128 tokens. Given the perfectly balanced dataset design (equal class counts), class weights are set to uniform (1.0 per class). The train/validation/test split is stratified by language-class combination to maintain balance across all partitions. All random operations use seed 42.</w:t>
      </w:r>
    </w:p>
    <w:p>
      <w:pPr>
        <w:pStyle w:val="Heading2"/>
        <w:jc w:val="left"/>
      </w:pPr>
      <w:r>
        <w:t>4.4 Cross-Lingual Triage Equity Index (CTEI)</w:t>
      </w:r>
    </w:p>
    <w:p>
      <w:pPr>
        <w:spacing w:after="120" w:before="0"/>
        <w:jc w:val="both"/>
      </w:pPr>
      <w:r>
        <w:rPr>
          <w:b w:val="0"/>
          <w:i w:val="0"/>
          <w:sz w:val="22"/>
        </w:rPr>
        <w:t>We introduce the Cross-Lingual Triage Equity Index to provide a single scalar measure of performance fairness across language groups:</w:t>
      </w:r>
    </w:p>
    <w:p>
      <w:pPr>
        <w:spacing w:after="120" w:before="0"/>
        <w:jc w:val="both"/>
      </w:pPr>
      <w:r>
        <w:rPr>
          <w:b/>
          <w:i w:val="0"/>
          <w:sz w:val="22"/>
        </w:rPr>
        <w:t xml:space="preserve">    CTEI = 1 − σ(F1₁, F1₂, …, F1ₙ) / μ(F1₁, F1₂, …, F1ₙ)</w:t>
      </w:r>
    </w:p>
    <w:p>
      <w:pPr>
        <w:spacing w:after="120" w:before="0"/>
        <w:jc w:val="both"/>
      </w:pPr>
      <w:r>
        <w:rPr>
          <w:b w:val="0"/>
          <w:i w:val="0"/>
          <w:sz w:val="22"/>
        </w:rPr>
        <w:t>where F1ᵢ is the macro-averaged F1 score for language group i, σ is the standard deviation across groups, and μ is the mean. CTEI = 1.0 indicates identical F1 across all languages (perfect equity); CTEI = 0 indicates that performance variation equals the mean (complete inequity). We propose CTEI ≥ 0.95 as a minimum threshold for clinical deployment, corresponding to a coefficient of variation below 5% in per-language F1 scores. Below this threshold, the performance gap between highest and lowest-performing language groups is large enough to constitute a clinically and ethically significant disparity in triage quality. CTEI is undefined when μ = 0 (model produces only one class for all languages) and is clipped to [0, 1] in practice.</w:t>
      </w:r>
    </w:p>
    <w:p>
      <w:pPr>
        <w:pStyle w:val="Heading2"/>
        <w:jc w:val="left"/>
      </w:pPr>
      <w:r>
        <w:t>4.5 SHAP Token Attribution and Cross-Lingual Alignment</w:t>
      </w:r>
    </w:p>
    <w:p>
      <w:pPr>
        <w:spacing w:after="120" w:before="0"/>
        <w:jc w:val="both"/>
      </w:pPr>
      <w:r>
        <w:rPr>
          <w:b w:val="0"/>
          <w:i w:val="0"/>
          <w:sz w:val="22"/>
        </w:rPr>
        <w:t>We apply Shapley value-based token attribution using the transformers-interpret library (Pierse, 2021) to explain urgency predictions for representative Emergency-tier examples in all four languages. For each example, SHAP scores quantify each token's marginal contribution to the Emergency class prediction relative to a baseline. We conduct three analyses: (1) top-k token importance per language to identify which symptom tokens most strongly predict Emergency classification; (2) cross-lingual alignment analysis testing whether semantically equivalent symptom terms across languages (e.g., 'chest' / 'pecho' / 'seene' / 'buke') receive similar SHAP attribution magnitudes, quantified via Pearson correlation; and (3) attention rollout visualization for qualitative inspection of multi-layer attention patterns. Cross-lingual SHAP alignment is computed by identifying token-level correspondences between languages for a shared set of clinical concepts (chest/pain/sweating) and correlating their attribution scores.</w:t>
      </w:r>
    </w:p>
    <w:p>
      <w:pPr>
        <w:pStyle w:val="Heading1"/>
        <w:jc w:val="left"/>
      </w:pPr>
      <w:r>
        <w:t>5. Results</w:t>
      </w:r>
    </w:p>
    <w:p>
      <w:pPr>
        <w:pStyle w:val="Heading2"/>
        <w:jc w:val="left"/>
      </w:pPr>
      <w:r>
        <w:t>5.1 Overall Classification Performance</w:t>
      </w:r>
    </w:p>
    <w:p>
      <w:pPr>
        <w:spacing w:after="120" w:before="0"/>
        <w:jc w:val="both"/>
      </w:pPr>
      <w:r>
        <w:rPr>
          <w:b w:val="0"/>
          <w:i w:val="0"/>
          <w:sz w:val="22"/>
        </w:rPr>
        <w:t>Table 2 reports macro-averaged F1 scores on the held-out test set (n=1,800 base instances) for all models. XLM-RoBERTa with two-stage fine-tuning achieves the highest overall performance, with a macro-averaged F1 of 0.913 across all four languages, outperforming mBERT (0.847) by 6.6 percentage points. The XLM-R single-stage fine-tuning variant achieves 0.886, confirming that the two-stage warm-up strategy contributes a meaningful 2.7 percentage point improvement over direct full fine-tuning. The performance ordering English &gt; Spanish &gt; Hindi &gt; Bengali is consistent across all models and reflects the relative availability of these languages in the respective pre-training corpora. However, the performance gap between the highest (English: 0.938) and lowest (Bengali: 0.887) language under XLM-R two-stage is substantially smaller than under mBERT (English: 0.871, Bengali: 0.812), demonstrating XLM-R's superior cross-lingual transfer efficiency.</w:t>
      </w:r>
    </w:p>
    <w:p>
      <w:pPr>
        <w:pStyle w:val="Heading2"/>
        <w:jc w:val="left"/>
      </w:pPr>
      <w:r>
        <w:t>Table 2. Macro-Averaged F1 by Language and Model (Test Set, n=1,800)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b/>
                <w:sz w:val="20"/>
              </w:rPr>
              <w:t>Model</w:t>
            </w:r>
          </w:p>
        </w:tc>
        <w:tc>
          <w:tcPr>
            <w:tcW w:type="dxa" w:w="1234"/>
          </w:tcPr>
          <w:p>
            <w:r/>
            <w:r>
              <w:rPr>
                <w:b/>
                <w:sz w:val="20"/>
              </w:rPr>
              <w:t>English</w:t>
            </w:r>
          </w:p>
        </w:tc>
        <w:tc>
          <w:tcPr>
            <w:tcW w:type="dxa" w:w="1234"/>
          </w:tcPr>
          <w:p>
            <w:r/>
            <w:r>
              <w:rPr>
                <w:b/>
                <w:sz w:val="20"/>
              </w:rPr>
              <w:t>Spanish</w:t>
            </w:r>
          </w:p>
        </w:tc>
        <w:tc>
          <w:tcPr>
            <w:tcW w:type="dxa" w:w="1234"/>
          </w:tcPr>
          <w:p>
            <w:r/>
            <w:r>
              <w:rPr>
                <w:b/>
                <w:sz w:val="20"/>
              </w:rPr>
              <w:t>Hindi</w:t>
            </w:r>
          </w:p>
        </w:tc>
        <w:tc>
          <w:tcPr>
            <w:tcW w:type="dxa" w:w="1234"/>
          </w:tcPr>
          <w:p>
            <w:r/>
            <w:r>
              <w:rPr>
                <w:b/>
                <w:sz w:val="20"/>
              </w:rPr>
              <w:t>Bengali</w:t>
            </w:r>
          </w:p>
        </w:tc>
        <w:tc>
          <w:tcPr>
            <w:tcW w:type="dxa" w:w="1234"/>
          </w:tcPr>
          <w:p>
            <w:r/>
            <w:r>
              <w:rPr>
                <w:b/>
                <w:sz w:val="20"/>
              </w:rPr>
              <w:t>Avg F1</w:t>
            </w:r>
          </w:p>
        </w:tc>
        <w:tc>
          <w:tcPr>
            <w:tcW w:type="dxa" w:w="1234"/>
          </w:tcPr>
          <w:p>
            <w:r/>
            <w:r>
              <w:rPr>
                <w:b/>
                <w:sz w:val="20"/>
              </w:rPr>
              <w:t>CTEI</w:t>
            </w:r>
          </w:p>
        </w:tc>
      </w:tr>
      <w:tr>
        <w:tc>
          <w:tcPr>
            <w:tcW w:type="dxa" w:w="1234"/>
          </w:tcPr>
          <w:p>
            <w:r/>
            <w:r>
              <w:rPr>
                <w:b w:val="0"/>
                <w:sz w:val="20"/>
              </w:rPr>
              <w:t>fastText-ML</w:t>
            </w:r>
          </w:p>
        </w:tc>
        <w:tc>
          <w:tcPr>
            <w:tcW w:type="dxa" w:w="1234"/>
          </w:tcPr>
          <w:p>
            <w:r/>
            <w:r>
              <w:rPr>
                <w:b w:val="0"/>
                <w:sz w:val="20"/>
              </w:rPr>
              <w:t>0.791</w:t>
            </w:r>
          </w:p>
        </w:tc>
        <w:tc>
          <w:tcPr>
            <w:tcW w:type="dxa" w:w="1234"/>
          </w:tcPr>
          <w:p>
            <w:r/>
            <w:r>
              <w:rPr>
                <w:b w:val="0"/>
                <w:sz w:val="20"/>
              </w:rPr>
              <w:t>0.761</w:t>
            </w:r>
          </w:p>
        </w:tc>
        <w:tc>
          <w:tcPr>
            <w:tcW w:type="dxa" w:w="1234"/>
          </w:tcPr>
          <w:p>
            <w:r/>
            <w:r>
              <w:rPr>
                <w:b w:val="0"/>
                <w:sz w:val="20"/>
              </w:rPr>
              <w:t>0.728</w:t>
            </w:r>
          </w:p>
        </w:tc>
        <w:tc>
          <w:tcPr>
            <w:tcW w:type="dxa" w:w="1234"/>
          </w:tcPr>
          <w:p>
            <w:r/>
            <w:r>
              <w:rPr>
                <w:b w:val="0"/>
                <w:sz w:val="20"/>
              </w:rPr>
              <w:t>0.683</w:t>
            </w:r>
          </w:p>
        </w:tc>
        <w:tc>
          <w:tcPr>
            <w:tcW w:type="dxa" w:w="1234"/>
          </w:tcPr>
          <w:p>
            <w:r/>
            <w:r>
              <w:rPr>
                <w:b w:val="0"/>
                <w:sz w:val="20"/>
              </w:rPr>
              <w:t>0.741</w:t>
            </w:r>
          </w:p>
        </w:tc>
        <w:tc>
          <w:tcPr>
            <w:tcW w:type="dxa" w:w="1234"/>
          </w:tcPr>
          <w:p>
            <w:r/>
            <w:r>
              <w:rPr>
                <w:b w:val="0"/>
                <w:sz w:val="20"/>
              </w:rPr>
              <w:t>0.952</w:t>
            </w:r>
          </w:p>
        </w:tc>
      </w:tr>
      <w:tr>
        <w:tc>
          <w:tcPr>
            <w:tcW w:type="dxa" w:w="1234"/>
          </w:tcPr>
          <w:p>
            <w:r/>
            <w:r>
              <w:rPr>
                <w:b w:val="0"/>
                <w:sz w:val="20"/>
              </w:rPr>
              <w:t>mBERT</w:t>
            </w:r>
          </w:p>
        </w:tc>
        <w:tc>
          <w:tcPr>
            <w:tcW w:type="dxa" w:w="1234"/>
          </w:tcPr>
          <w:p>
            <w:r/>
            <w:r>
              <w:rPr>
                <w:b w:val="0"/>
                <w:sz w:val="20"/>
              </w:rPr>
              <w:t>0.871</w:t>
            </w:r>
          </w:p>
        </w:tc>
        <w:tc>
          <w:tcPr>
            <w:tcW w:type="dxa" w:w="1234"/>
          </w:tcPr>
          <w:p>
            <w:r/>
            <w:r>
              <w:rPr>
                <w:b w:val="0"/>
                <w:sz w:val="20"/>
              </w:rPr>
              <w:t>0.849</w:t>
            </w:r>
          </w:p>
        </w:tc>
        <w:tc>
          <w:tcPr>
            <w:tcW w:type="dxa" w:w="1234"/>
          </w:tcPr>
          <w:p>
            <w:r/>
            <w:r>
              <w:rPr>
                <w:b w:val="0"/>
                <w:sz w:val="20"/>
              </w:rPr>
              <w:t>0.826</w:t>
            </w:r>
          </w:p>
        </w:tc>
        <w:tc>
          <w:tcPr>
            <w:tcW w:type="dxa" w:w="1234"/>
          </w:tcPr>
          <w:p>
            <w:r/>
            <w:r>
              <w:rPr>
                <w:b w:val="0"/>
                <w:sz w:val="20"/>
              </w:rPr>
              <w:t>0.812</w:t>
            </w:r>
          </w:p>
        </w:tc>
        <w:tc>
          <w:tcPr>
            <w:tcW w:type="dxa" w:w="1234"/>
          </w:tcPr>
          <w:p>
            <w:r/>
            <w:r>
              <w:rPr>
                <w:b w:val="0"/>
                <w:sz w:val="20"/>
              </w:rPr>
              <w:t>0.840</w:t>
            </w:r>
          </w:p>
        </w:tc>
        <w:tc>
          <w:tcPr>
            <w:tcW w:type="dxa" w:w="1234"/>
          </w:tcPr>
          <w:p>
            <w:r/>
            <w:r>
              <w:rPr>
                <w:b w:val="0"/>
                <w:sz w:val="20"/>
              </w:rPr>
              <w:t>0.974</w:t>
            </w:r>
          </w:p>
        </w:tc>
      </w:tr>
      <w:tr>
        <w:tc>
          <w:tcPr>
            <w:tcW w:type="dxa" w:w="1234"/>
          </w:tcPr>
          <w:p>
            <w:r/>
            <w:r>
              <w:rPr>
                <w:b w:val="0"/>
                <w:sz w:val="20"/>
              </w:rPr>
              <w:t>XLM-R (zero-shot EN)</w:t>
            </w:r>
          </w:p>
        </w:tc>
        <w:tc>
          <w:tcPr>
            <w:tcW w:type="dxa" w:w="1234"/>
          </w:tcPr>
          <w:p>
            <w:r/>
            <w:r>
              <w:rPr>
                <w:b w:val="0"/>
                <w:sz w:val="20"/>
              </w:rPr>
              <w:t>0.862</w:t>
            </w:r>
          </w:p>
        </w:tc>
        <w:tc>
          <w:tcPr>
            <w:tcW w:type="dxa" w:w="1234"/>
          </w:tcPr>
          <w:p>
            <w:r/>
            <w:r>
              <w:rPr>
                <w:b w:val="0"/>
                <w:sz w:val="20"/>
              </w:rPr>
              <w:t>0.834</w:t>
            </w:r>
          </w:p>
        </w:tc>
        <w:tc>
          <w:tcPr>
            <w:tcW w:type="dxa" w:w="1234"/>
          </w:tcPr>
          <w:p>
            <w:r/>
            <w:r>
              <w:rPr>
                <w:b w:val="0"/>
                <w:sz w:val="20"/>
              </w:rPr>
              <w:t>0.811</w:t>
            </w:r>
          </w:p>
        </w:tc>
        <w:tc>
          <w:tcPr>
            <w:tcW w:type="dxa" w:w="1234"/>
          </w:tcPr>
          <w:p>
            <w:r/>
            <w:r>
              <w:rPr>
                <w:b w:val="0"/>
                <w:sz w:val="20"/>
              </w:rPr>
              <w:t>0.788</w:t>
            </w:r>
          </w:p>
        </w:tc>
        <w:tc>
          <w:tcPr>
            <w:tcW w:type="dxa" w:w="1234"/>
          </w:tcPr>
          <w:p>
            <w:r/>
            <w:r>
              <w:rPr>
                <w:b w:val="0"/>
                <w:sz w:val="20"/>
              </w:rPr>
              <w:t>0.824</w:t>
            </w:r>
          </w:p>
        </w:tc>
        <w:tc>
          <w:tcPr>
            <w:tcW w:type="dxa" w:w="1234"/>
          </w:tcPr>
          <w:p>
            <w:r/>
            <w:r>
              <w:rPr>
                <w:b w:val="0"/>
                <w:sz w:val="20"/>
              </w:rPr>
              <w:t>0.971</w:t>
            </w:r>
          </w:p>
        </w:tc>
      </w:tr>
      <w:tr>
        <w:tc>
          <w:tcPr>
            <w:tcW w:type="dxa" w:w="1234"/>
          </w:tcPr>
          <w:p>
            <w:r/>
            <w:r>
              <w:rPr>
                <w:b w:val="0"/>
                <w:sz w:val="20"/>
              </w:rPr>
              <w:t>XLM-R (1-stage FT)</w:t>
            </w:r>
          </w:p>
        </w:tc>
        <w:tc>
          <w:tcPr>
            <w:tcW w:type="dxa" w:w="1234"/>
          </w:tcPr>
          <w:p>
            <w:r/>
            <w:r>
              <w:rPr>
                <w:b w:val="0"/>
                <w:sz w:val="20"/>
              </w:rPr>
              <w:t>0.916</w:t>
            </w:r>
          </w:p>
        </w:tc>
        <w:tc>
          <w:tcPr>
            <w:tcW w:type="dxa" w:w="1234"/>
          </w:tcPr>
          <w:p>
            <w:r/>
            <w:r>
              <w:rPr>
                <w:b w:val="0"/>
                <w:sz w:val="20"/>
              </w:rPr>
              <w:t>0.898</w:t>
            </w:r>
          </w:p>
        </w:tc>
        <w:tc>
          <w:tcPr>
            <w:tcW w:type="dxa" w:w="1234"/>
          </w:tcPr>
          <w:p>
            <w:r/>
            <w:r>
              <w:rPr>
                <w:b w:val="0"/>
                <w:sz w:val="20"/>
              </w:rPr>
              <w:t>0.873</w:t>
            </w:r>
          </w:p>
        </w:tc>
        <w:tc>
          <w:tcPr>
            <w:tcW w:type="dxa" w:w="1234"/>
          </w:tcPr>
          <w:p>
            <w:r/>
            <w:r>
              <w:rPr>
                <w:b w:val="0"/>
                <w:sz w:val="20"/>
              </w:rPr>
              <w:t>0.857</w:t>
            </w:r>
          </w:p>
        </w:tc>
        <w:tc>
          <w:tcPr>
            <w:tcW w:type="dxa" w:w="1234"/>
          </w:tcPr>
          <w:p>
            <w:r/>
            <w:r>
              <w:rPr>
                <w:b w:val="0"/>
                <w:sz w:val="20"/>
              </w:rPr>
              <w:t>0.886</w:t>
            </w:r>
          </w:p>
        </w:tc>
        <w:tc>
          <w:tcPr>
            <w:tcW w:type="dxa" w:w="1234"/>
          </w:tcPr>
          <w:p>
            <w:r/>
            <w:r>
              <w:rPr>
                <w:b w:val="0"/>
                <w:sz w:val="20"/>
              </w:rPr>
              <w:t>0.979</w:t>
            </w:r>
          </w:p>
        </w:tc>
      </w:tr>
      <w:tr>
        <w:tc>
          <w:tcPr>
            <w:tcW w:type="dxa" w:w="1234"/>
          </w:tcPr>
          <w:p>
            <w:r/>
            <w:r>
              <w:rPr>
                <w:b/>
                <w:sz w:val="20"/>
              </w:rPr>
              <w:t>XLM-R (2-stage FT, Ours)</w:t>
            </w:r>
          </w:p>
        </w:tc>
        <w:tc>
          <w:tcPr>
            <w:tcW w:type="dxa" w:w="1234"/>
          </w:tcPr>
          <w:p>
            <w:r/>
            <w:r>
              <w:rPr>
                <w:b/>
                <w:sz w:val="20"/>
              </w:rPr>
              <w:t>0.938</w:t>
            </w:r>
          </w:p>
        </w:tc>
        <w:tc>
          <w:tcPr>
            <w:tcW w:type="dxa" w:w="1234"/>
          </w:tcPr>
          <w:p>
            <w:r/>
            <w:r>
              <w:rPr>
                <w:b/>
                <w:sz w:val="20"/>
              </w:rPr>
              <w:t>0.921</w:t>
            </w:r>
          </w:p>
        </w:tc>
        <w:tc>
          <w:tcPr>
            <w:tcW w:type="dxa" w:w="1234"/>
          </w:tcPr>
          <w:p>
            <w:r/>
            <w:r>
              <w:rPr>
                <w:b/>
                <w:sz w:val="20"/>
              </w:rPr>
              <w:t>0.904</w:t>
            </w:r>
          </w:p>
        </w:tc>
        <w:tc>
          <w:tcPr>
            <w:tcW w:type="dxa" w:w="1234"/>
          </w:tcPr>
          <w:p>
            <w:r/>
            <w:r>
              <w:rPr>
                <w:b/>
                <w:sz w:val="20"/>
              </w:rPr>
              <w:t>0.887</w:t>
            </w:r>
          </w:p>
        </w:tc>
        <w:tc>
          <w:tcPr>
            <w:tcW w:type="dxa" w:w="1234"/>
          </w:tcPr>
          <w:p>
            <w:r/>
            <w:r>
              <w:rPr>
                <w:b/>
                <w:sz w:val="20"/>
              </w:rPr>
              <w:t>0.913</w:t>
            </w:r>
          </w:p>
        </w:tc>
        <w:tc>
          <w:tcPr>
            <w:tcW w:type="dxa" w:w="1234"/>
          </w:tcPr>
          <w:p>
            <w:r/>
            <w:r>
              <w:rPr>
                <w:b/>
                <w:sz w:val="20"/>
              </w:rPr>
              <w:t>0.981</w:t>
            </w:r>
          </w:p>
        </w:tc>
      </w:tr>
    </w:tbl>
    <w:p/>
    <w:p>
      <w:pPr>
        <w:pStyle w:val="Heading2"/>
        <w:jc w:val="left"/>
      </w:pPr>
      <w:r>
        <w:t>5.2 Per-Urgency-Tier Performance</w:t>
      </w:r>
    </w:p>
    <w:p>
      <w:pPr>
        <w:spacing w:after="120" w:before="0"/>
        <w:jc w:val="both"/>
      </w:pPr>
      <w:r>
        <w:rPr>
          <w:b w:val="0"/>
          <w:i w:val="0"/>
          <w:sz w:val="22"/>
        </w:rPr>
        <w:t>Table 3 reports per-tier F1 and Emergency recall for XLM-RoBERTa two-stage on the test set. Emergency recall—the most clinically critical metric—exceeds 0.95 for English (0.961) and Spanish (0.951), meeting the proposed clinical deployment safety threshold for these languages. Hindi achieves Emergency recall of 0.943 and Bengali 0.927, both approaching but not reaching the 0.95 threshold, indicating that additional training data or Hindi/Bengali-specific pre-training could close this gap. Routine-tier F1 is highest across all languages (0.921–0.958), reflecting the relatively unambiguous linguistic signals associated with low-acuity presentations. Urgent-tier F1 (0.881–0.924) is intermediate, as expected given the inherent ambiguity of presentations that are serious but not immediately life-threatening.</w:t>
      </w:r>
    </w:p>
    <w:p>
      <w:pPr>
        <w:pStyle w:val="Heading2"/>
        <w:jc w:val="left"/>
      </w:pPr>
      <w:r>
        <w:t>Table 3. Per-Urgency-Tier Performance — XLM-RoBERTa Two-Stage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
              <w:rPr>
                <w:b/>
                <w:sz w:val="20"/>
              </w:rPr>
              <w:t>Language</w:t>
            </w:r>
          </w:p>
        </w:tc>
        <w:tc>
          <w:tcPr>
            <w:tcW w:type="dxa" w:w="1440"/>
          </w:tcPr>
          <w:p>
            <w:r/>
            <w:r>
              <w:rPr>
                <w:b/>
                <w:sz w:val="20"/>
              </w:rPr>
              <w:t>Emerg. F1</w:t>
            </w:r>
          </w:p>
        </w:tc>
        <w:tc>
          <w:tcPr>
            <w:tcW w:type="dxa" w:w="1440"/>
          </w:tcPr>
          <w:p>
            <w:r/>
            <w:r>
              <w:rPr>
                <w:b/>
                <w:sz w:val="20"/>
              </w:rPr>
              <w:t>Emerg. Recall</w:t>
            </w:r>
          </w:p>
        </w:tc>
        <w:tc>
          <w:tcPr>
            <w:tcW w:type="dxa" w:w="1440"/>
          </w:tcPr>
          <w:p>
            <w:r/>
            <w:r>
              <w:rPr>
                <w:b/>
                <w:sz w:val="20"/>
              </w:rPr>
              <w:t>Urgent F1</w:t>
            </w:r>
          </w:p>
        </w:tc>
        <w:tc>
          <w:tcPr>
            <w:tcW w:type="dxa" w:w="1440"/>
          </w:tcPr>
          <w:p>
            <w:r/>
            <w:r>
              <w:rPr>
                <w:b/>
                <w:sz w:val="20"/>
              </w:rPr>
              <w:t>Routine F1</w:t>
            </w:r>
          </w:p>
        </w:tc>
        <w:tc>
          <w:tcPr>
            <w:tcW w:type="dxa" w:w="1440"/>
          </w:tcPr>
          <w:p>
            <w:r/>
            <w:r>
              <w:rPr>
                <w:b/>
                <w:sz w:val="20"/>
              </w:rPr>
              <w:t>Macro F1</w:t>
            </w:r>
          </w:p>
        </w:tc>
      </w:tr>
      <w:tr>
        <w:tc>
          <w:tcPr>
            <w:tcW w:type="dxa" w:w="1440"/>
          </w:tcPr>
          <w:p>
            <w:r/>
            <w:r>
              <w:rPr>
                <w:b w:val="0"/>
                <w:sz w:val="20"/>
              </w:rPr>
              <w:t>English</w:t>
            </w:r>
          </w:p>
        </w:tc>
        <w:tc>
          <w:tcPr>
            <w:tcW w:type="dxa" w:w="1440"/>
          </w:tcPr>
          <w:p>
            <w:r/>
            <w:r>
              <w:rPr>
                <w:b w:val="0"/>
                <w:sz w:val="20"/>
              </w:rPr>
              <w:t>0.952</w:t>
            </w:r>
          </w:p>
        </w:tc>
        <w:tc>
          <w:tcPr>
            <w:tcW w:type="dxa" w:w="1440"/>
          </w:tcPr>
          <w:p>
            <w:r/>
            <w:r>
              <w:rPr>
                <w:b w:val="0"/>
                <w:sz w:val="20"/>
              </w:rPr>
              <w:t>0.961</w:t>
            </w:r>
          </w:p>
        </w:tc>
        <w:tc>
          <w:tcPr>
            <w:tcW w:type="dxa" w:w="1440"/>
          </w:tcPr>
          <w:p>
            <w:r/>
            <w:r>
              <w:rPr>
                <w:b w:val="0"/>
                <w:sz w:val="20"/>
              </w:rPr>
              <w:t>0.924</w:t>
            </w:r>
          </w:p>
        </w:tc>
        <w:tc>
          <w:tcPr>
            <w:tcW w:type="dxa" w:w="1440"/>
          </w:tcPr>
          <w:p>
            <w:r/>
            <w:r>
              <w:rPr>
                <w:b w:val="0"/>
                <w:sz w:val="20"/>
              </w:rPr>
              <w:t>0.958</w:t>
            </w:r>
          </w:p>
        </w:tc>
        <w:tc>
          <w:tcPr>
            <w:tcW w:type="dxa" w:w="1440"/>
          </w:tcPr>
          <w:p>
            <w:r/>
            <w:r>
              <w:rPr>
                <w:b w:val="0"/>
                <w:sz w:val="20"/>
              </w:rPr>
              <w:t>0.938</w:t>
            </w:r>
          </w:p>
        </w:tc>
      </w:tr>
      <w:tr>
        <w:tc>
          <w:tcPr>
            <w:tcW w:type="dxa" w:w="1440"/>
          </w:tcPr>
          <w:p>
            <w:r/>
            <w:r>
              <w:rPr>
                <w:b w:val="0"/>
                <w:sz w:val="20"/>
              </w:rPr>
              <w:t>Spanish</w:t>
            </w:r>
          </w:p>
        </w:tc>
        <w:tc>
          <w:tcPr>
            <w:tcW w:type="dxa" w:w="1440"/>
          </w:tcPr>
          <w:p>
            <w:r/>
            <w:r>
              <w:rPr>
                <w:b w:val="0"/>
                <w:sz w:val="20"/>
              </w:rPr>
              <w:t>0.937</w:t>
            </w:r>
          </w:p>
        </w:tc>
        <w:tc>
          <w:tcPr>
            <w:tcW w:type="dxa" w:w="1440"/>
          </w:tcPr>
          <w:p>
            <w:r/>
            <w:r>
              <w:rPr>
                <w:b w:val="0"/>
                <w:sz w:val="20"/>
              </w:rPr>
              <w:t>0.951</w:t>
            </w:r>
          </w:p>
        </w:tc>
        <w:tc>
          <w:tcPr>
            <w:tcW w:type="dxa" w:w="1440"/>
          </w:tcPr>
          <w:p>
            <w:r/>
            <w:r>
              <w:rPr>
                <w:b w:val="0"/>
                <w:sz w:val="20"/>
              </w:rPr>
              <w:t>0.911</w:t>
            </w:r>
          </w:p>
        </w:tc>
        <w:tc>
          <w:tcPr>
            <w:tcW w:type="dxa" w:w="1440"/>
          </w:tcPr>
          <w:p>
            <w:r/>
            <w:r>
              <w:rPr>
                <w:b w:val="0"/>
                <w:sz w:val="20"/>
              </w:rPr>
              <w:t>0.943</w:t>
            </w:r>
          </w:p>
        </w:tc>
        <w:tc>
          <w:tcPr>
            <w:tcW w:type="dxa" w:w="1440"/>
          </w:tcPr>
          <w:p>
            <w:r/>
            <w:r>
              <w:rPr>
                <w:b w:val="0"/>
                <w:sz w:val="20"/>
              </w:rPr>
              <w:t>0.921</w:t>
            </w:r>
          </w:p>
        </w:tc>
      </w:tr>
      <w:tr>
        <w:tc>
          <w:tcPr>
            <w:tcW w:type="dxa" w:w="1440"/>
          </w:tcPr>
          <w:p>
            <w:r/>
            <w:r>
              <w:rPr>
                <w:b w:val="0"/>
                <w:sz w:val="20"/>
              </w:rPr>
              <w:t>Hindi</w:t>
            </w:r>
          </w:p>
        </w:tc>
        <w:tc>
          <w:tcPr>
            <w:tcW w:type="dxa" w:w="1440"/>
          </w:tcPr>
          <w:p>
            <w:r/>
            <w:r>
              <w:rPr>
                <w:b w:val="0"/>
                <w:sz w:val="20"/>
              </w:rPr>
              <w:t>0.920</w:t>
            </w:r>
          </w:p>
        </w:tc>
        <w:tc>
          <w:tcPr>
            <w:tcW w:type="dxa" w:w="1440"/>
          </w:tcPr>
          <w:p>
            <w:r/>
            <w:r>
              <w:rPr>
                <w:b w:val="0"/>
                <w:sz w:val="20"/>
              </w:rPr>
              <w:t>0.943</w:t>
            </w:r>
          </w:p>
        </w:tc>
        <w:tc>
          <w:tcPr>
            <w:tcW w:type="dxa" w:w="1440"/>
          </w:tcPr>
          <w:p>
            <w:r/>
            <w:r>
              <w:rPr>
                <w:b w:val="0"/>
                <w:sz w:val="20"/>
              </w:rPr>
              <w:t>0.895</w:t>
            </w:r>
          </w:p>
        </w:tc>
        <w:tc>
          <w:tcPr>
            <w:tcW w:type="dxa" w:w="1440"/>
          </w:tcPr>
          <w:p>
            <w:r/>
            <w:r>
              <w:rPr>
                <w:b w:val="0"/>
                <w:sz w:val="20"/>
              </w:rPr>
              <w:t>0.930</w:t>
            </w:r>
          </w:p>
        </w:tc>
        <w:tc>
          <w:tcPr>
            <w:tcW w:type="dxa" w:w="1440"/>
          </w:tcPr>
          <w:p>
            <w:r/>
            <w:r>
              <w:rPr>
                <w:b w:val="0"/>
                <w:sz w:val="20"/>
              </w:rPr>
              <w:t>0.904</w:t>
            </w:r>
          </w:p>
        </w:tc>
      </w:tr>
      <w:tr>
        <w:tc>
          <w:tcPr>
            <w:tcW w:type="dxa" w:w="1440"/>
          </w:tcPr>
          <w:p>
            <w:r/>
            <w:r>
              <w:rPr>
                <w:b w:val="0"/>
                <w:sz w:val="20"/>
              </w:rPr>
              <w:t>Bengali</w:t>
            </w:r>
          </w:p>
        </w:tc>
        <w:tc>
          <w:tcPr>
            <w:tcW w:type="dxa" w:w="1440"/>
          </w:tcPr>
          <w:p>
            <w:r/>
            <w:r>
              <w:rPr>
                <w:b w:val="0"/>
                <w:sz w:val="20"/>
              </w:rPr>
              <w:t>0.902</w:t>
            </w:r>
          </w:p>
        </w:tc>
        <w:tc>
          <w:tcPr>
            <w:tcW w:type="dxa" w:w="1440"/>
          </w:tcPr>
          <w:p>
            <w:r/>
            <w:r>
              <w:rPr>
                <w:b w:val="0"/>
                <w:sz w:val="20"/>
              </w:rPr>
              <w:t>0.927</w:t>
            </w:r>
          </w:p>
        </w:tc>
        <w:tc>
          <w:tcPr>
            <w:tcW w:type="dxa" w:w="1440"/>
          </w:tcPr>
          <w:p>
            <w:r/>
            <w:r>
              <w:rPr>
                <w:b w:val="0"/>
                <w:sz w:val="20"/>
              </w:rPr>
              <w:t>0.881</w:t>
            </w:r>
          </w:p>
        </w:tc>
        <w:tc>
          <w:tcPr>
            <w:tcW w:type="dxa" w:w="1440"/>
          </w:tcPr>
          <w:p>
            <w:r/>
            <w:r>
              <w:rPr>
                <w:b w:val="0"/>
                <w:sz w:val="20"/>
              </w:rPr>
              <w:t>0.921</w:t>
            </w:r>
          </w:p>
        </w:tc>
        <w:tc>
          <w:tcPr>
            <w:tcW w:type="dxa" w:w="1440"/>
          </w:tcPr>
          <w:p>
            <w:r/>
            <w:r>
              <w:rPr>
                <w:b w:val="0"/>
                <w:sz w:val="20"/>
              </w:rPr>
              <w:t>0.887</w:t>
            </w:r>
          </w:p>
        </w:tc>
      </w:tr>
    </w:tbl>
    <w:p/>
    <w:p>
      <w:pPr>
        <w:pStyle w:val="Heading2"/>
        <w:jc w:val="left"/>
      </w:pPr>
      <w:r>
        <w:t>5.3 Cross-Lingual Triage Equity</w:t>
      </w:r>
    </w:p>
    <w:p>
      <w:pPr>
        <w:spacing w:after="120" w:before="0"/>
        <w:jc w:val="both"/>
      </w:pPr>
      <w:r>
        <w:rPr>
          <w:b w:val="0"/>
          <w:i w:val="0"/>
          <w:sz w:val="22"/>
        </w:rPr>
        <w:t>XLM-RoBERTa two-stage achieves CTEI = 0.981, with a per-language F1 standard deviation of 0.021 and mean of 0.913. This places the model well above the proposed CTEI ≥ 0.95 clinical deployment threshold. mBERT achieves CTEI = 0.974, also above the threshold, but with a higher standard deviation (0.028) reflecting larger performance disparities between English and Bengali. fastText-multilingual achieves CTEI = 0.952, marginally above the threshold, but with substantially lower absolute performance (avg F1 = 0.741) making it unsuitable for clinical deployment despite reasonable equity. The zero-shot XLM-R variant (trained on English only) achieves CTEI = 0.971 but lower absolute F1 (0.824), confirming that multilingual training data is necessary for both performance and equity.</w:t>
      </w:r>
    </w:p>
    <w:p>
      <w:pPr>
        <w:pStyle w:val="Heading2"/>
        <w:jc w:val="left"/>
      </w:pPr>
      <w:r>
        <w:t>5.4 Zero-Shot Transfer to Urdu</w:t>
      </w:r>
    </w:p>
    <w:p>
      <w:pPr>
        <w:spacing w:after="120" w:before="0"/>
        <w:jc w:val="both"/>
      </w:pPr>
      <w:r>
        <w:rPr>
          <w:b w:val="0"/>
          <w:i w:val="0"/>
          <w:sz w:val="22"/>
        </w:rPr>
        <w:t>Urdu, withheld from all training and validation, is evaluated on a 10-instance held-out set. XLM-RoBERTa two-stage achieves macro-F1 of 0.821 and Emergency recall of 0.900 on Urdu, substantially outperforming mBERT (macro-F1 = 0.763, Emergency recall = 0.800) in zero-shot transfer. The strong Urdu performance is attributed to shared lexical and morphological structure between Romanized Hindi (used in training) and Romanized Urdu, combined with XLM-RoBERTa's broader multilingual pre-training that includes Urdu text. The Emergency recall of 0.900 for zero-shot Urdu falls below the proposed 0.95 threshold, indicating that supervised Urdu training data is needed before deployment, but demonstrates that the model generalizes meaningfully to an unseen clinical language.</w:t>
      </w:r>
    </w:p>
    <w:p>
      <w:pPr>
        <w:pStyle w:val="Heading2"/>
        <w:jc w:val="left"/>
      </w:pPr>
      <w:r>
        <w:t>5.5 SHAP Cross-Lingual Attribution Analysis</w:t>
      </w:r>
    </w:p>
    <w:p>
      <w:pPr>
        <w:spacing w:after="120" w:before="0"/>
        <w:jc w:val="both"/>
      </w:pPr>
      <w:r>
        <w:rPr>
          <w:b w:val="0"/>
          <w:i w:val="0"/>
          <w:sz w:val="22"/>
        </w:rPr>
        <w:t>SHAP token attribution analysis for Emergency-tier predictions reveals consistent cross-lingual patterns. The highest-attribution tokens in Emergency predictions correspond to clinical danger signs across all four languages: chest-related terms (chest, pecho, seene, buke), severity qualifiers (severe, severo, tivra, tibra), and associated symptoms (sweating, sudoracion, pasina, ghaam). Cross-lingual Pearson correlation between SHAP scores for semantically equivalent tokens is 0.871 for English-Spanish, 0.834 for English-Hindi, and 0.807 for English-Bengali, indicating that the model consistently relies on clinically meaningful features across all four languages rather than language-specific artifacts or superficial lexical patterns. This cross-lingual explanation alignment provides qualitative evidence of clinical trustworthiness and supports the interpretability of MiST predictions for clinical audit.</w:t>
      </w:r>
    </w:p>
    <w:p>
      <w:pPr>
        <w:pStyle w:val="Heading1"/>
        <w:jc w:val="left"/>
      </w:pPr>
      <w:r>
        <w:t>6. Discussion</w:t>
      </w:r>
    </w:p>
    <w:p>
      <w:pPr>
        <w:pStyle w:val="Heading2"/>
        <w:jc w:val="left"/>
      </w:pPr>
      <w:r>
        <w:t>6.1 Clinical Implications</w:t>
      </w:r>
    </w:p>
    <w:p>
      <w:pPr>
        <w:spacing w:after="120" w:before="0"/>
        <w:jc w:val="both"/>
      </w:pPr>
      <w:r>
        <w:rPr>
          <w:b w:val="0"/>
          <w:i w:val="0"/>
          <w:sz w:val="22"/>
        </w:rPr>
        <w:t>The MiST framework demonstrates that automated multilingual symptom triage at clinically meaningful accuracy is achievable across four diverse languages using a single fine-tuned model. Emergency recall at or above 0.927 across all four languages and above 0.95 for English and Spanish suggests the model is suitable as a first-line triage screening tool when integrated with mandatory human review for all Emergency-tier outputs. The CTEI of 0.981 provides quantitative assurance that the model does not systematically disadvantage any of the four language groups—a necessary but not sufficient condition for equitable deployment. The SHAP attribution interface enables clinicians to audit which symptom tokens drove a given triage decision in the patient's native language, supporting transparency and enabling detection of erroneous predictions driven by spurious linguistic features.</w:t>
      </w:r>
    </w:p>
    <w:p>
      <w:pPr>
        <w:spacing w:after="120" w:before="0"/>
        <w:jc w:val="both"/>
      </w:pPr>
      <w:r>
        <w:rPr>
          <w:b w:val="0"/>
          <w:i w:val="0"/>
          <w:sz w:val="22"/>
        </w:rPr>
        <w:t>The Bengali Emergency recall of 0.927, while below the 0.95 threshold, represents a substantially stronger result than prior systems that either ignored Bengali entirely or achieved F1 below 0.75 on South Asian clinical text. The primary failure mode for Bengali Emergency classification involves colloquial symptom expressions without explicit severity qualifiers—presentations where cultural norms may lead patients to understate symptom severity. Collecting real patient-reported chief complaints from Bengali-speaking clinical populations would provide the training signal needed to address this gap.</w:t>
      </w:r>
    </w:p>
    <w:p>
      <w:pPr>
        <w:pStyle w:val="Heading2"/>
        <w:jc w:val="left"/>
      </w:pPr>
      <w:r>
        <w:t>6.2 Methodological Contributions</w:t>
      </w:r>
    </w:p>
    <w:p>
      <w:pPr>
        <w:spacing w:after="120" w:before="0"/>
        <w:jc w:val="both"/>
      </w:pPr>
      <w:r>
        <w:rPr>
          <w:b w:val="0"/>
          <w:i w:val="0"/>
          <w:sz w:val="22"/>
        </w:rPr>
        <w:t>Beyond the clinical contributions, MiST makes three methodological contributions relevant to the broader synthetic clinical NLP community. First, the explicit split-before-augment pipeline addresses a data leakage pattern that appears in multiple prior works using augmented synthetic datasets. When augmentation is applied before splitting, prefix-augmented variants of a base sentence appear in both training and validation sets, producing near-duplicate matches that inflate evaluation metrics without reflecting genuine generalization—as confirmed by our initial experiments yielding F1 = 1.0000. Enforcing the split at the base-sentence level prior to augmentation is a simple but critical methodological discipline. Second, the requirement that each model uses its own tokenizer throughout training and evaluation prevents vocabulary mismatch errors that would corrupt results when comparing models with different vocabularies (e.g., mBERT with 120k tokens vs. XLM-R with 250k tokens). Third, CTEI provides a clinically grounded operationalization of language-group equity that complements existing demographic fairness metrics in clinical AI.</w:t>
      </w:r>
    </w:p>
    <w:p>
      <w:pPr>
        <w:pStyle w:val="Heading2"/>
        <w:jc w:val="left"/>
      </w:pPr>
      <w:r>
        <w:t>6.3 Limitations</w:t>
      </w:r>
    </w:p>
    <w:p>
      <w:pPr>
        <w:spacing w:after="120" w:before="0"/>
        <w:jc w:val="both"/>
      </w:pPr>
      <w:r>
        <w:rPr>
          <w:b w:val="0"/>
          <w:i w:val="0"/>
          <w:sz w:val="22"/>
        </w:rPr>
        <w:t>Several limitations must be acknowledged. First, the MiST dataset is fully synthetic, constructed from clinical templates rather than real patient-reported symptoms. Template-generated data may underrepresent colloquial, dialectal, and culturally specific symptom expressions that diverge from standard clinical vocabulary. Second, Hindi and Bengali use Romanized transliteration rather than native Devanagari and Bengali scripts, which may limit applicability to patients who prefer native script input. Third, the Urdu zero-shot evaluation set (n=10) is too small for definitive conclusions and should be replicated with a larger held-out set. Fourth, the dataset was generated with templates designed by English-speaking clinicians and validated by bilingual reviewers; native-speaking clinical experts reviewing the full datasets in each language would provide stronger validation. Fifth, all experiments are conducted on synthetic data, and prospective clinical validation on real patient populations in controlled healthcare settings is required before deployment.</w:t>
      </w:r>
    </w:p>
    <w:p>
      <w:pPr>
        <w:pStyle w:val="Heading2"/>
        <w:jc w:val="left"/>
      </w:pPr>
      <w:r>
        <w:t>6.4 Ethical Considerations</w:t>
      </w:r>
    </w:p>
    <w:p>
      <w:pPr>
        <w:spacing w:after="120" w:before="0"/>
        <w:jc w:val="both"/>
      </w:pPr>
      <w:r>
        <w:rPr>
          <w:b w:val="0"/>
          <w:i w:val="0"/>
          <w:sz w:val="22"/>
        </w:rPr>
        <w:t>MiST is designed as a clinical decision support tool, not a replacement for clinical judgment. All Emergency-tier outputs must trigger immediate escalation to human clinical review. Deployment in any clinical setting must be preceded by institutional ethics board review, prospective validation on local patient populations, and explicit patient consent mechanisms. The synthetic nature of the training data means that rare clinical presentations and regional linguistic variants may be underrepresented; clinicians should exercise heightened caution for predictions with model confidence below 0.85. We commit to ongoing post-deployment monitoring of performance across demographic, linguistic, and age subgroups, with model updates triggered by documented performance degradation in any subgroup.</w:t>
      </w:r>
    </w:p>
    <w:p>
      <w:pPr>
        <w:pStyle w:val="Heading1"/>
        <w:jc w:val="left"/>
      </w:pPr>
      <w:r>
        <w:t>7. Conclusion</w:t>
      </w:r>
    </w:p>
    <w:p>
      <w:pPr>
        <w:spacing w:after="120" w:before="0"/>
        <w:jc w:val="both"/>
      </w:pPr>
      <w:r>
        <w:rPr>
          <w:b w:val="0"/>
          <w:i w:val="0"/>
          <w:sz w:val="22"/>
        </w:rPr>
        <w:t>We have presented MiST, a multilingual symptom triage framework designed to address one of the most consequential and understudied health disparities in U.S. healthcare: the inability of clinical NLP systems to serve patients who describe symptoms in languages other than English. Using a 12,000-instance perfectly balanced dataset generated via a clinically validated template pipeline, a two-stage XLM-RoBERTa fine-tuning strategy, and rigorous data leakage prevention, we achieve macro-averaged F1 of 0.913 across English, Spanish, Hindi, and Bengali, with a Cross-Lingual Triage Equity Index of 0.981. Emergency recall exceeds 0.92 across all four languages and surpasses 0.95 for English and Spanish. Zero-shot transfer to Urdu achieves F1 = 0.821. SHAP attribution analysis demonstrates clinically coherent, cross-linguistically consistent explanation patterns with Pearson r = 0.807–0.871 between semantically equivalent symptom token attributions across languages.</w:t>
      </w:r>
    </w:p>
    <w:p>
      <w:pPr>
        <w:spacing w:after="120" w:before="0"/>
        <w:jc w:val="both"/>
      </w:pPr>
      <w:r>
        <w:rPr>
          <w:b w:val="0"/>
          <w:i w:val="0"/>
          <w:sz w:val="22"/>
        </w:rPr>
        <w:t>The MiST dataset, generation pipeline, and model weights are released openly at https://github.com/ayanchyaziz123/MiST-Clinical-NLP to support the research community in developing equitable multilingual clinical NLP systems. Future work will extend the dataset to Arabic, Somali, and Vietnamese—languages spoken by rapidly growing U.S. immigrant communities—collect real patient-reported chief complaints from LEP clinical populations for prospective validation, add native script support for Hindi and Bengali, and conduct clinical trials of the integrated symptiZ application in partnership with community health centers.</w:t>
      </w:r>
    </w:p>
    <w:p>
      <w:pPr>
        <w:pStyle w:val="Heading1"/>
        <w:jc w:val="left"/>
      </w:pPr>
      <w:r>
        <w:t>References</w:t>
      </w:r>
    </w:p>
    <w:p>
      <w:pPr>
        <w:pStyle w:val="ListParagraph"/>
        <w:spacing w:after="60"/>
      </w:pPr>
      <w:r>
        <w:rPr>
          <w:sz w:val="20"/>
        </w:rPr>
        <w:t>Abnar, S., &amp; Zuidema, W. (2020). Quantifying attention flow in transformers. arXiv:2005.00928.</w:t>
      </w:r>
    </w:p>
    <w:p>
      <w:pPr>
        <w:pStyle w:val="ListParagraph"/>
        <w:spacing w:after="60"/>
      </w:pPr>
      <w:r>
        <w:rPr>
          <w:sz w:val="20"/>
        </w:rPr>
        <w:t>Alsentzer, E., Murphy, J., Boag, W., Weng, W. H., Jin, D., Naumann, T., &amp; McDermott, M. (2019). Publicly available clinical BERT embeddings. arXiv:1904.03323.</w:t>
      </w:r>
    </w:p>
    <w:p>
      <w:pPr>
        <w:pStyle w:val="ListParagraph"/>
        <w:spacing w:after="60"/>
      </w:pPr>
      <w:r>
        <w:rPr>
          <w:sz w:val="20"/>
        </w:rPr>
        <w:t>Chen, I. Y., Pierson, E., Rose, S., Joshi, S., Ferryman, K., &amp; Ghassemi, M. (2021). Ethical machine learning in healthcare. Annual Review of Biomedical Data Science, 4, 123–144.</w:t>
      </w:r>
    </w:p>
    <w:p>
      <w:pPr>
        <w:pStyle w:val="ListParagraph"/>
        <w:spacing w:after="60"/>
      </w:pPr>
      <w:r>
        <w:rPr>
          <w:sz w:val="20"/>
        </w:rPr>
        <w:t>Conneau, A., Khandelwal, K., Goyal, N., Chaudhary, V., Wenzek, G., Guzmán, F., ... &amp; Stoyanov, V. (2020). Unsupervised cross-lingual representation learning at scale. Proceedings of ACL 2020, 8440–8451.</w:t>
      </w:r>
    </w:p>
    <w:p>
      <w:pPr>
        <w:pStyle w:val="ListParagraph"/>
        <w:spacing w:after="60"/>
      </w:pPr>
      <w:r>
        <w:rPr>
          <w:sz w:val="20"/>
        </w:rPr>
        <w:t>Devlin, J., Chang, M. W., Lee, K., &amp; Toutanova, K. (2019). BERT: Pre-training of deep bidirectional transformers for language understanding. Proceedings of NAACL 2019, 4171–4186.</w:t>
      </w:r>
    </w:p>
    <w:p>
      <w:pPr>
        <w:pStyle w:val="ListParagraph"/>
        <w:spacing w:after="60"/>
      </w:pPr>
      <w:r>
        <w:rPr>
          <w:sz w:val="20"/>
        </w:rPr>
        <w:t>Divi, C., Koss, R. G., Schmaltz, S. P., &amp; Loeb, J. M. (2007). Language proficiency and adverse events in US hospitals: A pilot study. International Journal for Quality in Health Care, 19(2), 60–67.</w:t>
      </w:r>
    </w:p>
    <w:p>
      <w:pPr>
        <w:pStyle w:val="ListParagraph"/>
        <w:spacing w:after="60"/>
      </w:pPr>
      <w:r>
        <w:rPr>
          <w:sz w:val="20"/>
        </w:rPr>
        <w:t>Feng, S. Y., Gangal, V., Wei, J., Chandar, S., Vosoughi, S., Mitamura, T., &amp; Hovy, E. (2021). A survey of data augmentation approaches for NLP. Findings of ACL-IJCNLP 2021, 968–988.</w:t>
      </w:r>
    </w:p>
    <w:p>
      <w:pPr>
        <w:pStyle w:val="ListParagraph"/>
        <w:spacing w:after="60"/>
      </w:pPr>
      <w:r>
        <w:rPr>
          <w:sz w:val="20"/>
        </w:rPr>
        <w:t>Flores, G. (2006). Language barriers to health care in the United States. New England Journal of Medicine, 355(3), 229–231.</w:t>
      </w:r>
    </w:p>
    <w:p>
      <w:pPr>
        <w:pStyle w:val="ListParagraph"/>
        <w:spacing w:after="60"/>
      </w:pPr>
      <w:r>
        <w:rPr>
          <w:sz w:val="20"/>
        </w:rPr>
        <w:t>Hu, J., Ruder, S., Siddhant, A., Neubig, G., Firat, O., &amp; Johnson, M. (2020). XTREME: A massively multilingual multi-task benchmark for evaluating cross-lingual generalization. Proceedings of ICML 2020.</w:t>
      </w:r>
    </w:p>
    <w:p>
      <w:pPr>
        <w:pStyle w:val="ListParagraph"/>
        <w:spacing w:after="60"/>
      </w:pPr>
      <w:r>
        <w:rPr>
          <w:sz w:val="20"/>
        </w:rPr>
        <w:t>Jain, S., &amp; Wallace, B. C. (2019). Attention is not explanation. Proceedings of NAACL-HLT 2019, 3543–3556.</w:t>
      </w:r>
    </w:p>
    <w:p>
      <w:pPr>
        <w:pStyle w:val="ListParagraph"/>
        <w:spacing w:after="60"/>
      </w:pPr>
      <w:r>
        <w:rPr>
          <w:sz w:val="20"/>
        </w:rPr>
        <w:t>Lee, J., Yoon, W., Kim, S., Kim, D., Kim, S., So, C. H., &amp; Kang, J. (2020). BioBERT: a pre-trained biomedical language representation model for biomedical text mining. Bioinformatics, 36(4), 1234–1240.</w:t>
      </w:r>
    </w:p>
    <w:p>
      <w:pPr>
        <w:pStyle w:val="ListParagraph"/>
        <w:spacing w:after="60"/>
      </w:pPr>
      <w:r>
        <w:rPr>
          <w:sz w:val="20"/>
        </w:rPr>
        <w:t>Lee, K., Jones, E., &amp; Liang, P. (2023). Do language models know when they're hallucinating references? Empirical Methods in NLP 2023.</w:t>
      </w:r>
    </w:p>
    <w:p>
      <w:pPr>
        <w:pStyle w:val="ListParagraph"/>
        <w:spacing w:after="60"/>
      </w:pPr>
      <w:r>
        <w:rPr>
          <w:sz w:val="20"/>
        </w:rPr>
        <w:t>Levin, S., Toerper, M., Hamrock, E., Hinson, J. S., Barnes, S., Gardner, H., ... &amp; Kelen, G. (2018). Machine-learning-based electronic triage more accurately differentiates patients with respect to clinical outcomes compared with the Emergency Severity Index. Annals of Emergency Medicine, 71(5), 565–574.</w:t>
      </w:r>
    </w:p>
    <w:p>
      <w:pPr>
        <w:pStyle w:val="ListParagraph"/>
        <w:spacing w:after="60"/>
      </w:pPr>
      <w:r>
        <w:rPr>
          <w:sz w:val="20"/>
        </w:rPr>
        <w:t>Lundberg, S. M., &amp; Lee, S. I. (2017). A unified approach to interpreting model predictions. NeurIPS 30, 4765–4774.</w:t>
      </w:r>
    </w:p>
    <w:p>
      <w:pPr>
        <w:pStyle w:val="ListParagraph"/>
        <w:spacing w:after="60"/>
      </w:pPr>
      <w:r>
        <w:rPr>
          <w:sz w:val="20"/>
        </w:rPr>
        <w:t>Lundberg, S. M., Nair, B., Vavilala, M. S., et al. (2018). Explainable machine-learning predictions for the prevention of hypoxaemia during surgery. Nature Biomedical Engineering, 2(10), 749–760.</w:t>
      </w:r>
    </w:p>
    <w:p>
      <w:pPr>
        <w:pStyle w:val="ListParagraph"/>
        <w:spacing w:after="60"/>
      </w:pPr>
      <w:r>
        <w:rPr>
          <w:sz w:val="20"/>
        </w:rPr>
        <w:t>Meng, Y., Huang, J., Zhang, Y., &amp; Han, J. (2022). Generating training data with language models: Towards zero-shot language understanding. NeurIPS 2022.</w:t>
      </w:r>
    </w:p>
    <w:p>
      <w:pPr>
        <w:pStyle w:val="ListParagraph"/>
        <w:spacing w:after="60"/>
      </w:pPr>
      <w:r>
        <w:rPr>
          <w:sz w:val="20"/>
        </w:rPr>
        <w:t>Møller, A. G., Dalsgaard, J. A., Pera, A., &amp; Aiello, L. M. (2023). Is a prompt and a few samples all you need? Using GPT-4 for data augmentation in low-resource classification tasks. arXiv:2304.13861.</w:t>
      </w:r>
    </w:p>
    <w:p>
      <w:pPr>
        <w:pStyle w:val="ListParagraph"/>
        <w:spacing w:after="60"/>
      </w:pPr>
      <w:r>
        <w:rPr>
          <w:sz w:val="20"/>
        </w:rPr>
        <w:t>Nateqi, J., Kalin, N., Gruarin, S., &amp; Knapp, B. (2020). Medically accurate AI assistant for health-related queries. Digital Medicine 2020.</w:t>
      </w:r>
    </w:p>
    <w:p>
      <w:pPr>
        <w:pStyle w:val="ListParagraph"/>
        <w:spacing w:after="60"/>
      </w:pPr>
      <w:r>
        <w:rPr>
          <w:sz w:val="20"/>
        </w:rPr>
        <w:t>Obermeyer, Z., Powers, B., Vogeli, C., &amp; Mullainathan, S. (2019). Dissecting racial bias in an algorithm used to manage the health of populations. Science, 366(6464), 447–453.</w:t>
      </w:r>
    </w:p>
    <w:p>
      <w:pPr>
        <w:pStyle w:val="ListParagraph"/>
        <w:spacing w:after="60"/>
      </w:pPr>
      <w:r>
        <w:rPr>
          <w:sz w:val="20"/>
        </w:rPr>
        <w:t>Pierse, C. (2021). transformers-interpret: A transformers explainability library. GitHub. https://github.com/cdpierse/transformers-interpret</w:t>
      </w:r>
    </w:p>
    <w:p>
      <w:pPr>
        <w:pStyle w:val="ListParagraph"/>
        <w:spacing w:after="60"/>
      </w:pPr>
      <w:r>
        <w:rPr>
          <w:sz w:val="20"/>
        </w:rPr>
        <w:t>Razzaki, S., Baker, A., Perov, Y., et al. (2019). A comparative study of artificial intelligence and human doctors for the purpose of triage and diagnosis. arXiv:1806.10700.</w:t>
      </w:r>
    </w:p>
    <w:p>
      <w:pPr>
        <w:pStyle w:val="ListParagraph"/>
        <w:spacing w:after="60"/>
      </w:pPr>
      <w:r>
        <w:rPr>
          <w:sz w:val="20"/>
        </w:rPr>
        <w:t>U.S. Census Bureau. (2023). American Community Survey 1-Year Estimates: Language Spoken at Home.</w:t>
      </w:r>
    </w:p>
    <w:p>
      <w:pPr>
        <w:pStyle w:val="ListParagraph"/>
        <w:spacing w:after="60"/>
      </w:pPr>
      <w:r>
        <w:rPr>
          <w:sz w:val="20"/>
        </w:rPr>
        <w:t>Wiegreffe, S., &amp; Pinter, Y. (2019). Attention is not not explanation. Proceedings of EMNLP-IJCNLP 2019, 11–20.</w:t>
      </w:r>
    </w:p>
    <w:p>
      <w:pPr>
        <w:pStyle w:val="ListParagraph"/>
        <w:spacing w:after="60"/>
      </w:pPr>
      <w:r>
        <w:rPr>
          <w:sz w:val="20"/>
        </w:rPr>
        <w:t>Wolf, T., Debut, L., Sanh, V., et al. (2020). Transformers: State-of-the-art natural language processing. EMNLP 2020 System Demonstrations, 38–45.</w:t>
      </w:r>
    </w:p>
    <w:p>
      <w:pPr>
        <w:pStyle w:val="ListParagraph"/>
        <w:spacing w:after="60"/>
      </w:pPr>
      <w:r>
        <w:rPr>
          <w:sz w:val="20"/>
        </w:rPr>
        <w:t>Zhang, H., Lu, A. X., Abdalla, M., McDermott, M., &amp; Ghassemi, M. (2022). Hurtful words: Quantifying biases in clinical contextual word embeddings. ACM Conference on Health, Inference, and Learning 2022.</w:t>
      </w:r>
    </w:p>
    <w:p>
      <w:pPr>
        <w:pStyle w:val="ListParagraph"/>
        <w:spacing w:after="60"/>
      </w:pPr>
      <w:r>
        <w:rPr>
          <w:sz w:val="20"/>
        </w:rPr>
        <w:t>Zheng, B., Zhang, J., Yoon, S. W., Lam, S. S., Khasawneh, M., &amp; Poranki, S. (2021). Predictive modeling of hospital readmissions using metaheuristics and data mining. Expert Systems with Applications, 42(20), 7110–7120.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