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MiST: A Multilingual Symptom Triage Framework for Immigrant Populations Using XLM-RoBERTa and Cross-Lingual Explainability</w:t>
      </w:r>
    </w:p>
    <w:p/>
    <w:p>
      <w:pPr>
        <w:jc w:val="center"/>
      </w:pPr>
      <w:r>
        <w:rPr>
          <w:b/>
          <w:sz w:val="24"/>
        </w:rPr>
        <w:t>Azizur Rahman</w:t>
      </w:r>
    </w:p>
    <w:p>
      <w:pPr>
        <w:jc w:val="center"/>
      </w:pPr>
      <w:r>
        <w:rPr>
          <w:i/>
          <w:sz w:val="20"/>
        </w:rPr>
        <w:t>Department of Computer Science, Indiana Wesleyan University, Marion, IN, USA</w:t>
        <w:br/>
        <w:t>RadTH Technologies, New York, NY, USA</w:t>
        <w:br/>
        <w:t>Correspondence: azizurusa22@gmail.com</w:t>
      </w:r>
    </w:p>
    <w:p/>
    <w:p>
      <w:pPr>
        <w:pStyle w:val="Heading1"/>
        <w:jc w:val="left"/>
      </w:pPr>
      <w:r>
        <w:t>Abstract</w:t>
      </w:r>
    </w:p>
    <w:p>
      <w:pPr>
        <w:spacing w:before="0" w:after="120"/>
        <w:jc w:val="both"/>
      </w:pPr>
      <w:r>
        <w:rPr>
          <w:b w:val="0"/>
          <w:i w:val="0"/>
          <w:sz w:val="22"/>
        </w:rPr>
        <w:t>Language barriers represent one of the most consequential yet underaddressed challenges in immigrant healthcare. Approximately 25 million individuals in the United States have limited English proficiency (LEP), and an estimated 60–70% report difficulty communicating symptoms to healthcare providers. This inability to accurately describe symptoms in English leads to delayed diagnoses, inappropriate triage decisions, and disproportionate adverse health outcomes. Existing clinical natural language processing (NLP) systems are predominantly trained on English-language data and fail to generalize to immigrant patient populations who describe symptoms in Bengali, Spanish, Hindi, Urdu, or other native languages.</w:t>
      </w:r>
    </w:p>
    <w:p>
      <w:pPr>
        <w:spacing w:before="0" w:after="120"/>
        <w:jc w:val="both"/>
      </w:pPr>
      <w:r>
        <w:rPr>
          <w:b w:val="0"/>
          <w:i w:val="0"/>
          <w:sz w:val="22"/>
        </w:rPr>
        <w:t>We present MiST (Multilingual Symptom Triage), a framework for automated symptom severity classification across four languages: English, Spanish, Hindi, and Bengali. We construct the MiST dataset comprising 12,000 clinically validated symptom descriptions—1,000 per urgency class per language—labeled across three urgency tiers: Emergency, Urgent, and Routine, yielding a perfectly balanced benchmark of 3,000 instances per language. We fine-tune XLM-RoBERTa-base using a two-stage training strategy on 72,000 augmented samples (augmentation factor 5) and introduce the Cross-Lingual Triage Equity Index (CTEI), a novel fairness metric that quantifies model performance parity across language groups. SHAP-based token-level attribution and attention rollout visualization provide clinical transparency across all four languages. Experimental results demonstrate that XLM-RoBERTa achieves macro-averaged F1 of 0.913 across all languages, outperforming multilingual BERT (mBERT) by 8.1 percentage points, with a CTEI of 0.981 indicating near-perfect cross-lingual equity. Emergency-tier recall exceeds 0.95 across all four languages, meeting the clinical safety threshold for deployment. Zero-shot transfer to Urdu achieves F1 of 0.821, demonstrating robust cross-lingual generalization beyond explicitly trained languages. We release the MiST dataset, generation pipeline, and model weights to support future research in multilingual health NLP for underserved immigrant communities.</w:t>
      </w:r>
    </w:p>
    <w:p>
      <w:pPr>
        <w:spacing w:before="0" w:after="120"/>
        <w:jc w:val="both"/>
      </w:pPr>
      <w:r>
        <w:rPr>
          <w:b w:val="0"/>
          <w:i/>
          <w:sz w:val="22"/>
        </w:rPr>
        <w:t>Keywords: multilingual NLP, symptom triage, immigrant health, XLM-RoBERTa, clinical NLP, health equity, SHAP explainability, cross-lingual transfer, limited English proficiency, synthetic dataset generation</w:t>
      </w:r>
    </w:p>
    <w:p>
      <w:r>
        <w:br w:type="page"/>
      </w:r>
    </w:p>
    <w:p>
      <w:pPr>
        <w:pStyle w:val="Heading1"/>
        <w:jc w:val="left"/>
      </w:pPr>
      <w:r>
        <w:t>1. Introduction</w:t>
      </w:r>
    </w:p>
    <w:p>
      <w:pPr>
        <w:spacing w:before="0" w:after="120"/>
        <w:jc w:val="both"/>
      </w:pPr>
      <w:r>
        <w:rPr>
          <w:b w:val="0"/>
          <w:i w:val="0"/>
          <w:sz w:val="22"/>
        </w:rPr>
        <w:t>The United States is home to over 47 million immigrants, representing approximately 14.3% of the total population (U.S. Census Bureau, 2023). Among these, an estimated 25.9 million individuals are classified as having limited English proficiency (LEP)—defined as speaking English less than "very well" by the U.S. Census. This population includes recent arrivals from Latin America, South Asia, East Asia, and Sub-Saharan Africa, and is disproportionately concentrated in states including California, New York, Texas, and Florida. Despite representing a substantial share of the U.S. population, LEP individuals face significant structural barriers in accessing timely and appropriate healthcare.</w:t>
      </w:r>
    </w:p>
    <w:p>
      <w:pPr>
        <w:spacing w:before="0" w:after="120"/>
        <w:jc w:val="both"/>
      </w:pPr>
      <w:r>
        <w:rPr>
          <w:b w:val="0"/>
          <w:i w:val="0"/>
          <w:sz w:val="22"/>
        </w:rPr>
        <w:t>Among the most consequential of these barriers is the inability to accurately describe symptoms in English during clinical encounters. When patients cannot communicate their chief complaint clearly, triage nurses and emergency department physicians must make urgency assessments with incomplete or misunderstood information. Studies have consistently documented that language barriers are associated with increased rates of adverse events, longer emergency department wait times, higher rates of misdiagnosis, and greater patient dissatisfaction (Divi et al., 2007; Flores, 2006). The COVID-19 pandemic further exposed these vulnerabilities, as immigrant communities with limited English proficiency experienced disproportionately high rates of severe illness, in part due to delayed help-seeking and inability to navigate symptom screening tools available only in English.</w:t>
      </w:r>
    </w:p>
    <w:p>
      <w:pPr>
        <w:spacing w:before="0" w:after="120"/>
        <w:jc w:val="both"/>
      </w:pPr>
      <w:r>
        <w:rPr>
          <w:b w:val="0"/>
          <w:i w:val="0"/>
          <w:sz w:val="22"/>
        </w:rPr>
        <w:t>Clinical natural language processing has emerged as a promising tool for automating symptom triage, patient routing, and disease risk stratification. Systems such as BERT-based clinical classifiers and large language model-powered chatbots have demonstrated strong performance on English-language symptom datasets. However, the overwhelming majority of clinical NLP research focuses exclusively on English, creating a significant gap for LEP patient populations. Multilingual pre-trained language models such as mBERT (Devlin et al., 2019) and XLM-RoBERTa (Conneau et al., 2020) offer a potential pathway to cross-lingual clinical NLP, but their application to symptom triage—particularly for low-resource languages such as Bengali—remains largely unexplored.</w:t>
      </w:r>
    </w:p>
    <w:p>
      <w:pPr>
        <w:spacing w:before="0" w:after="120"/>
        <w:jc w:val="both"/>
      </w:pPr>
      <w:r>
        <w:rPr>
          <w:b w:val="0"/>
          <w:i w:val="0"/>
          <w:sz w:val="22"/>
        </w:rPr>
        <w:t>This paper addresses this gap with four core contributions. First, we construct and release the MiST dataset: a perfectly balanced multilingual symptom triage benchmark comprising 12,000 unique symptom descriptions across English, Spanish, Hindi, and Bengali, with 1,000 instances per urgency class per language. The dataset is constructed using a clinically-grounded template generation pipeline that ensures medical accuracy, linguistic diversity, and label consistency across all four languages. Bengali is specifically prioritized as a low-resource language spoken by approximately 230 million people globally, with a significant diaspora population in the United States that is systematically underrepresented in clinical NLP research. Second, we fine-tune XLM-RoBERTa-base for symptom urgency classification using a two-stage training strategy on 72,000 augmented samples and benchmark against mBERT and fastText-multilingual baselines. Third, we introduce the Cross-Lingual Triage Equity Index (CTEI), a fairness metric designed to quantify equitable performance across language groups. Fourth, we integrate SHAP token-level attribution to provide clinical explainability for triage decisions across all four target languages, enabling clinicians to audit model reasoning in the patient's native language.</w:t>
      </w:r>
    </w:p>
    <w:p>
      <w:pPr>
        <w:spacing w:before="0" w:after="120"/>
        <w:jc w:val="both"/>
      </w:pPr>
      <w:r>
        <w:rPr>
          <w:b w:val="0"/>
          <w:i w:val="0"/>
          <w:sz w:val="22"/>
        </w:rPr>
        <w:t>Our work is motivated not only by academic interest but by direct deployment considerations. The MiST framework is designed for integration into symptiZ, a multilingual health navigation application targeting immigrant communities in the United States. By embedding clinically explainable triage into a patient-facing mobile application, we aim to reduce preventable emergency department overcrowding, improve early detection of serious conditions among LEP populations, and advance health equity for one of the most medically underserved demographic groups in the United States.</w:t>
      </w:r>
    </w:p>
    <w:p>
      <w:pPr>
        <w:pStyle w:val="Heading1"/>
        <w:jc w:val="left"/>
      </w:pPr>
      <w:r>
        <w:t>2. Related Work</w:t>
      </w:r>
    </w:p>
    <w:p>
      <w:pPr>
        <w:pStyle w:val="Heading2"/>
        <w:jc w:val="left"/>
      </w:pPr>
      <w:r>
        <w:t>2.1 Multilingual Pre-trained Language Models</w:t>
      </w:r>
    </w:p>
    <w:p>
      <w:pPr>
        <w:spacing w:before="0" w:after="120"/>
        <w:jc w:val="both"/>
      </w:pPr>
      <w:r>
        <w:rPr>
          <w:b w:val="0"/>
          <w:i w:val="0"/>
          <w:sz w:val="22"/>
        </w:rPr>
        <w:t>The development of multilingual transformer models has significantly expanded the scope of cross-lingual NLP. mBERT (Devlin et al., 2019) introduced a single transformer pre-trained on 104 languages using Wikipedia corpora, demonstrating surprising zero-shot cross-lingual transfer on named entity recognition and natural language inference tasks. XLM-RoBERTa (Conneau et al., 2020) extended this work by pre-training RoBERTa on CommonCrawl data spanning 100 languages, yielding substantial improvements on the XTREME benchmark. Subsequent work by Hu et al. (2020) showed that XLM-RoBERTa outperforms mBERT on 40 out of 40 cross-lingual transfer tasks, making it the current state-of-the-art baseline for multilingual classification. However, performance on low-resource languages such as Bengali and Swahili remains substantially below that on high-resource languages, motivating targeted fine-tuning and domain adaptation strategies.</w:t>
      </w:r>
    </w:p>
    <w:p>
      <w:pPr>
        <w:pStyle w:val="Heading2"/>
        <w:jc w:val="left"/>
      </w:pPr>
      <w:r>
        <w:t>2.2 Clinical NLP and Symptom Classification</w:t>
      </w:r>
    </w:p>
    <w:p>
      <w:pPr>
        <w:spacing w:before="0" w:after="120"/>
        <w:jc w:val="both"/>
      </w:pPr>
      <w:r>
        <w:rPr>
          <w:b w:val="0"/>
          <w:i w:val="0"/>
          <w:sz w:val="22"/>
        </w:rPr>
        <w:t>Clinical NLP has seen rapid advances in symptom extraction, disease classification, and triage automation. ClinicalBERT (Alsentzer et al., 2019) and Bio_ClinicalBERT demonstrated that domain-specific pre-training on clinical notes improves performance on named entity recognition and relation extraction from MIMIC-III records. Symptom-disease classification has been approached as a text classification task using discharge summaries (Johnson et al., 2016) and patient-reported outcome measures. Recent work has explored conversational AI for symptom checking (Razzaki et al., 2019), though these systems remain primarily English-only. A notable gap exists in multilingual clinical symptom NLP: to our knowledge, no prior work has benchmarked cross-lingual symptom triage across South Asian languages, particularly Bengali, using large-scale balanced training data.</w:t>
      </w:r>
    </w:p>
    <w:p>
      <w:pPr>
        <w:pStyle w:val="Heading2"/>
        <w:jc w:val="left"/>
      </w:pPr>
      <w:r>
        <w:t>2.3 Health Equity and Language Barriers in AI</w:t>
      </w:r>
    </w:p>
    <w:p>
      <w:pPr>
        <w:spacing w:before="0" w:after="120"/>
        <w:jc w:val="both"/>
      </w:pPr>
      <w:r>
        <w:rPr>
          <w:b w:val="0"/>
          <w:i w:val="0"/>
          <w:sz w:val="22"/>
        </w:rPr>
        <w:t>The intersection of AI fairness and language equity in healthcare has received increasing scholarly attention. Chen et al. (2021) demonstrated that commercial clinical NLP tools perform significantly worse on notes from non-white and non-English-speaking patients. Obermeyer et al. (2019) documented algorithmic bias in a widely-used healthcare risk scoring system, spurring broader interest in fairness-constrained clinical AI. Zhang et al. (2022) proposed demographic parity constraints for clinical risk stratification models. However, fairness metrics in clinical NLP have predominantly focused on racial and gender equity, with language-group equity receiving limited attention. Our CTEI metric addresses this gap by providing a quantitative measure of cross-lingual fairness specifically designed for multilingual symptom classification systems.</w:t>
      </w:r>
    </w:p>
    <w:p>
      <w:pPr>
        <w:pStyle w:val="Heading2"/>
        <w:jc w:val="left"/>
      </w:pPr>
      <w:r>
        <w:t>2.4 Synthetic Dataset Generation for Clinical NLP</w:t>
      </w:r>
    </w:p>
    <w:p>
      <w:pPr>
        <w:spacing w:before="0" w:after="120"/>
        <w:jc w:val="both"/>
      </w:pPr>
      <w:r>
        <w:rPr>
          <w:b w:val="0"/>
          <w:i w:val="0"/>
          <w:sz w:val="22"/>
        </w:rPr>
        <w:t>The scarcity of annotated multilingual clinical data has motivated a growing body of work on synthetic data generation for healthcare NLP. Template-based generation (Feng et al., 2021) and large language model-driven augmentation (Meng et al., 2022) have been applied to create training corpora for low-resource medical NLP tasks. Studies have shown that models trained on high-quality synthetic clinical data can achieve performance comparable to models trained on real clinical notes, provided the synthetic data captures the linguistic and clinical diversity of the target domain (Lee et al., 2023). Our MiST dataset construction approach draws on these findings, using a structured template generation pipeline with clinically validated vocabulary to produce diverse, medically accurate symptom descriptions across four languages.</w:t>
      </w:r>
    </w:p>
    <w:p>
      <w:pPr>
        <w:pStyle w:val="Heading2"/>
        <w:jc w:val="left"/>
      </w:pPr>
      <w:r>
        <w:t>2.5 Explainability in Clinical NLP</w:t>
      </w:r>
    </w:p>
    <w:p>
      <w:pPr>
        <w:spacing w:before="0" w:after="120"/>
        <w:jc w:val="both"/>
      </w:pPr>
      <w:r>
        <w:rPr>
          <w:b w:val="0"/>
          <w:i w:val="0"/>
          <w:sz w:val="22"/>
        </w:rPr>
        <w:t>Clinical adoption of NLP systems requires not only strong predictive performance but also interpretable explanations that clinicians can audit and trust. SHAP (SHapley Additive exPlanations; Lundberg and Lee, 2017) has been applied to tabular clinical risk models (Lundberg et al., 2018) and, more recently, to transformer-based text classifiers via the transformers-interpret library. Attention-based explanations have been proposed for BERT models (Jain and Wallace, 2019), though their faithfulness as explanations has been debated (Wiegreffe and Pinter, 2019). We adopt a combined approach: SHAP token attribution for rigorous feature importance quantification, supplemented by attention rollout (Abnar and Zuidema, 2020) for visualization, and validate cross-lingual explanation alignment by examining whether equivalent symptom concepts in different languages receive similar attribution patterns.</w:t>
      </w:r>
    </w:p>
    <w:p>
      <w:pPr>
        <w:pStyle w:val="Heading1"/>
        <w:jc w:val="left"/>
      </w:pPr>
      <w:r>
        <w:t>3. Dataset Construction</w:t>
      </w:r>
    </w:p>
    <w:p>
      <w:pPr>
        <w:pStyle w:val="Heading2"/>
        <w:jc w:val="left"/>
      </w:pPr>
      <w:r>
        <w:t>3.1 Dataset Overview</w:t>
      </w:r>
    </w:p>
    <w:p>
      <w:pPr>
        <w:spacing w:before="0" w:after="120"/>
        <w:jc w:val="both"/>
      </w:pPr>
      <w:r>
        <w:rPr>
          <w:b w:val="0"/>
          <w:i w:val="0"/>
          <w:sz w:val="22"/>
        </w:rPr>
        <w:t>We construct the MiST (Multilingual Symptom Triage) dataset comprising 12,000 unique symptom description instances perfectly balanced across four languages—English, Spanish, Hindi, and Bengali—with 3,000 instances per language and exactly 1,000 instances per urgency class per language. This balanced design eliminates class imbalance as a confounding factor in cross-lingual evaluation and enables direct comparison of model performance across language-class combinations. Each instance consists of a free-text symptom description of 8–120 words capturing realistic clinical presentations. Following base dataset construction, we apply a prefix augmentation strategy (augmentation factor 5) that prepends one of five clinically plausible chief-complaint prefixes (e.g., "Patient reports:", "Chief complaint:", "Presenting with:") to each base description, yielding 72,000 total training instances. The augmentation replicates the variability in how clinical intake personnel document chief complaints across different healthcare settings.</w:t>
      </w:r>
    </w:p>
    <w:p>
      <w:pPr>
        <w:pStyle w:val="Heading2"/>
        <w:jc w:val="left"/>
      </w:pPr>
      <w:r>
        <w:t>3.2 Urgency Tier Definitions</w:t>
      </w:r>
    </w:p>
    <w:p>
      <w:pPr>
        <w:spacing w:before="0" w:after="120"/>
        <w:jc w:val="both"/>
      </w:pPr>
      <w:r>
        <w:rPr>
          <w:b w:val="0"/>
          <w:i w:val="0"/>
          <w:sz w:val="22"/>
        </w:rPr>
        <w:t>We adopt a three-tier urgency classification scheme consistent with the Emergency Severity Index (ESI) used in U.S. emergency departments. Emergency-tier instances describe symptoms requiring immediate life-saving intervention (e.g., chest pain with diaphoresis, acute stroke symptoms, severe anaphylaxis, uncontrolled hemorrhage). Urgent-tier instances describe symptoms requiring evaluation within 2–4 hours but not immediately life-threatening (e.g., high fever with localized infection, suspected fracture, persistent vomiting with dehydration, moderate abdominal pain). Routine-tier instances describe symptoms appropriate for same-day or next-day primary care evaluation (e.g., mild cough, rash without systemic symptoms, minor headache responding to OTC medication, insomnia). The three-class balanced distribution (1,000 per class per language) departs from the natural clinical encounter distribution but ensures equal representation for model evaluation; class weights are applied during training to correct for this.</w:t>
      </w:r>
    </w:p>
    <w:p>
      <w:pPr>
        <w:pStyle w:val="Heading2"/>
        <w:jc w:val="left"/>
      </w:pPr>
      <w:r>
        <w:t>3.3 Dataset Construction Pipeline</w:t>
      </w:r>
    </w:p>
    <w:p>
      <w:pPr>
        <w:spacing w:before="0" w:after="120"/>
        <w:jc w:val="both"/>
      </w:pPr>
      <w:r>
        <w:rPr>
          <w:b w:val="0"/>
          <w:i w:val="0"/>
          <w:sz w:val="22"/>
        </w:rPr>
        <w:t>The MiST dataset is constructed using a structured clinical template generation pipeline developed in collaboration with clinical subject matter experts. The pipeline consists of three stages:</w:t>
      </w:r>
    </w:p>
    <w:p>
      <w:pPr>
        <w:spacing w:before="0" w:after="120"/>
        <w:jc w:val="both"/>
      </w:pPr>
      <w:r>
        <w:rPr>
          <w:b w:val="0"/>
          <w:i w:val="0"/>
          <w:sz w:val="22"/>
        </w:rPr>
        <w:t>Stage 1 — Template Design. For each language-class combination, clinical experts designed 15–20 symptom description templates organized by clinical category (cardiac, neurological, respiratory, gastrointestinal, musculoskeletal, dermatological, genitourinary, and pediatric presentations). Each template contains between 3 and 5 variable slots (e.g., {severity}, {location}, {associated_symptom}, {duration}) populated from curated medical vocabulary lists validated against standard clinical terminology. Template categories and vocabulary were reviewed by a registered nurse and a physician assistant to ensure clinical accuracy and appropriate urgency assignment.</w:t>
      </w:r>
    </w:p>
    <w:p>
      <w:pPr>
        <w:spacing w:before="0" w:after="120"/>
        <w:jc w:val="both"/>
      </w:pPr>
      <w:r>
        <w:rPr>
          <w:b w:val="0"/>
          <w:i w:val="0"/>
          <w:sz w:val="22"/>
        </w:rPr>
        <w:t>Stage 2 — Instance Generation. For each template, the generation algorithm randomly samples values from each slot vocabulary and combines them to produce a unique symptom description. A duplicate-detection mechanism ensures that all 1,000 instances per class per language are lexically distinct. The generation process uses a fixed random seed (42) to ensure full reproducibility. Across 12 language-class combinations, the pipeline generates over 14,000 candidate instances from which the final 12,000 are selected after deduplication.</w:t>
      </w:r>
    </w:p>
    <w:p>
      <w:pPr>
        <w:spacing w:before="0" w:after="120"/>
        <w:jc w:val="both"/>
      </w:pPr>
      <w:r>
        <w:rPr>
          <w:b w:val="0"/>
          <w:i w:val="0"/>
          <w:sz w:val="22"/>
        </w:rPr>
        <w:t>Stage 3 — Clinical Validation. A stratified random sample of 10% of instances (n=1,200) was reviewed by two independent clinical annotators for urgency tier accuracy. Inter-rater agreement yielded Cohen's κ = 0.863, indicating near-perfect agreement. All disagreements were adjudicated by a third clinical reviewer. Instances flagged as clinically ambiguous or incorrectly labeled were removed and replaced through additional generation cycles, maintaining the 1,000-per-class-per-language target.</w:t>
      </w:r>
    </w:p>
    <w:p>
      <w:pPr>
        <w:pStyle w:val="Heading2"/>
        <w:jc w:val="left"/>
      </w:pPr>
      <w:r>
        <w:t>3.4 Language Coverage</w:t>
      </w:r>
    </w:p>
    <w:p>
      <w:pPr>
        <w:spacing w:before="0" w:after="120"/>
        <w:jc w:val="both"/>
      </w:pPr>
      <w:r>
        <w:rPr>
          <w:b w:val="0"/>
          <w:i w:val="0"/>
          <w:sz w:val="22"/>
        </w:rPr>
        <w:t>English descriptions target standard American clinical chief complaint documentation style and cover the full range of emergency, urgent, and routine presentations encountered in U.S. emergency departments and urgent care settings. Spanish descriptions reflect standard medical Spanish as spoken in the United States and Latin America, covering regional vocabulary for common symptom presentations. Hindi descriptions are provided in Romanized transliteration (Latin script) to maximize accessibility for the Hindustani-speaking diaspora in the United States, using vocabulary consistent with colloquial symptom descriptions used in clinical settings. Bengali descriptions similarly use Romanized transliteration of standard Bengali medical terminology, validated by native-speaking clinical volunteers with healthcare familiarity. Urdu is reserved as a zero-shot evaluation language (n=10 held-out instances), not included in training data.</w:t>
      </w:r>
    </w:p>
    <w:p>
      <w:pPr>
        <w:pStyle w:val="Heading2"/>
        <w:jc w:val="left"/>
      </w:pPr>
      <w:r>
        <w:t>Table 1. MiST Dataset Statistics by Language and Urgency Tier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tcPr>
          <w:p>
            <w:r/>
            <w:r>
              <w:rPr>
                <w:b/>
                <w:sz w:val="20"/>
              </w:rPr>
              <w:t>Language</w:t>
            </w:r>
          </w:p>
        </w:tc>
        <w:tc>
          <w:tcPr>
            <w:tcW w:type="dxa" w:w="1728"/>
          </w:tcPr>
          <w:p>
            <w:r/>
            <w:r>
              <w:rPr>
                <w:b/>
                <w:sz w:val="20"/>
              </w:rPr>
              <w:t>Emergency</w:t>
            </w:r>
          </w:p>
        </w:tc>
        <w:tc>
          <w:tcPr>
            <w:tcW w:type="dxa" w:w="1728"/>
          </w:tcPr>
          <w:p>
            <w:r/>
            <w:r>
              <w:rPr>
                <w:b/>
                <w:sz w:val="20"/>
              </w:rPr>
              <w:t>Urgent</w:t>
            </w:r>
          </w:p>
        </w:tc>
        <w:tc>
          <w:tcPr>
            <w:tcW w:type="dxa" w:w="1728"/>
          </w:tcPr>
          <w:p>
            <w:r/>
            <w:r>
              <w:rPr>
                <w:b/>
                <w:sz w:val="20"/>
              </w:rPr>
              <w:t>Routine</w:t>
            </w:r>
          </w:p>
        </w:tc>
        <w:tc>
          <w:tcPr>
            <w:tcW w:type="dxa" w:w="1728"/>
          </w:tcPr>
          <w:p>
            <w:r/>
            <w:r>
              <w:rPr>
                <w:b/>
                <w:sz w:val="20"/>
              </w:rPr>
              <w:t>Total</w:t>
            </w:r>
          </w:p>
        </w:tc>
      </w:tr>
      <w:tr>
        <w:tc>
          <w:tcPr>
            <w:tcW w:type="dxa" w:w="1728"/>
          </w:tcPr>
          <w:p>
            <w:r/>
            <w:r>
              <w:rPr>
                <w:b w:val="0"/>
                <w:sz w:val="20"/>
              </w:rPr>
              <w:t>English</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3,000</w:t>
            </w:r>
          </w:p>
        </w:tc>
      </w:tr>
      <w:tr>
        <w:tc>
          <w:tcPr>
            <w:tcW w:type="dxa" w:w="1728"/>
          </w:tcPr>
          <w:p>
            <w:r/>
            <w:r>
              <w:rPr>
                <w:b w:val="0"/>
                <w:sz w:val="20"/>
              </w:rPr>
              <w:t>Spanish</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3,000</w:t>
            </w:r>
          </w:p>
        </w:tc>
      </w:tr>
      <w:tr>
        <w:tc>
          <w:tcPr>
            <w:tcW w:type="dxa" w:w="1728"/>
          </w:tcPr>
          <w:p>
            <w:r/>
            <w:r>
              <w:rPr>
                <w:b w:val="0"/>
                <w:sz w:val="20"/>
              </w:rPr>
              <w:t>Hindi</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3,000</w:t>
            </w:r>
          </w:p>
        </w:tc>
      </w:tr>
      <w:tr>
        <w:tc>
          <w:tcPr>
            <w:tcW w:type="dxa" w:w="1728"/>
          </w:tcPr>
          <w:p>
            <w:r/>
            <w:r>
              <w:rPr>
                <w:b w:val="0"/>
                <w:sz w:val="20"/>
              </w:rPr>
              <w:t>Bengali</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1,000</w:t>
            </w:r>
          </w:p>
        </w:tc>
        <w:tc>
          <w:tcPr>
            <w:tcW w:type="dxa" w:w="1728"/>
          </w:tcPr>
          <w:p>
            <w:r/>
            <w:r>
              <w:rPr>
                <w:b w:val="0"/>
                <w:sz w:val="20"/>
              </w:rPr>
              <w:t>3,000</w:t>
            </w:r>
          </w:p>
        </w:tc>
      </w:tr>
      <w:tr>
        <w:tc>
          <w:tcPr>
            <w:tcW w:type="dxa" w:w="1728"/>
          </w:tcPr>
          <w:p>
            <w:r/>
            <w:r>
              <w:rPr>
                <w:b/>
                <w:sz w:val="20"/>
              </w:rPr>
              <w:t>Total</w:t>
            </w:r>
          </w:p>
        </w:tc>
        <w:tc>
          <w:tcPr>
            <w:tcW w:type="dxa" w:w="1728"/>
          </w:tcPr>
          <w:p>
            <w:r/>
            <w:r>
              <w:rPr>
                <w:b/>
                <w:sz w:val="20"/>
              </w:rPr>
              <w:t>4,000</w:t>
            </w:r>
          </w:p>
        </w:tc>
        <w:tc>
          <w:tcPr>
            <w:tcW w:type="dxa" w:w="1728"/>
          </w:tcPr>
          <w:p>
            <w:r/>
            <w:r>
              <w:rPr>
                <w:b/>
                <w:sz w:val="20"/>
              </w:rPr>
              <w:t>4,000</w:t>
            </w:r>
          </w:p>
        </w:tc>
        <w:tc>
          <w:tcPr>
            <w:tcW w:type="dxa" w:w="1728"/>
          </w:tcPr>
          <w:p>
            <w:r/>
            <w:r>
              <w:rPr>
                <w:b/>
                <w:sz w:val="20"/>
              </w:rPr>
              <w:t>4,000</w:t>
            </w:r>
          </w:p>
        </w:tc>
        <w:tc>
          <w:tcPr>
            <w:tcW w:type="dxa" w:w="1728"/>
          </w:tcPr>
          <w:p>
            <w:r/>
            <w:r>
              <w:rPr>
                <w:b/>
                <w:sz w:val="20"/>
              </w:rPr>
              <w:t>12,000</w:t>
            </w:r>
          </w:p>
        </w:tc>
      </w:tr>
    </w:tbl>
    <w:p/>
    <w:p>
      <w:pPr>
        <w:spacing w:before="0" w:after="120"/>
        <w:jc w:val="both"/>
      </w:pPr>
      <w:r>
        <w:rPr>
          <w:b w:val="0"/>
          <w:i/>
          <w:sz w:val="22"/>
        </w:rPr>
        <w:t>After prefix augmentation (factor 5): 72,000 total training instances. Train/Val/Test split: 70% / 15% / 15%, stratified by language and urgency tier, yielding approximately 50,400 training, 10,800 validation, and 10,800 test instances.</w:t>
      </w:r>
    </w:p>
    <w:p>
      <w:pPr>
        <w:pStyle w:val="Heading1"/>
        <w:jc w:val="left"/>
      </w:pPr>
      <w:r>
        <w:t>4. Methodology</w:t>
      </w:r>
    </w:p>
    <w:p>
      <w:pPr>
        <w:pStyle w:val="Heading2"/>
        <w:jc w:val="left"/>
      </w:pPr>
      <w:r>
        <w:t>4.1 Model Architecture</w:t>
      </w:r>
    </w:p>
    <w:p>
      <w:pPr>
        <w:spacing w:before="0" w:after="120"/>
        <w:jc w:val="both"/>
      </w:pPr>
      <w:r>
        <w:rPr>
          <w:b w:val="0"/>
          <w:i w:val="0"/>
          <w:sz w:val="22"/>
        </w:rPr>
        <w:t>We adopt XLM-RoBERTa-base (Conneau et al., 2020) as our primary model. XLM-RoBERTa is a transformer encoder pre-trained on 2.5 TB of filtered CommonCrawl data spanning 100 languages using masked language modeling. The base variant contains 278 million parameters with 12 transformer layers, 768-dimensional hidden states, and 12 attention heads. We append a three-way classification head consisting of a dropout layer (p=0.1), a linear projection from 768 to 256 dimensions with ReLU activation, and a final linear layer mapping to three output logits corresponding to urgency tiers (Emergency=2, Urgent=1, Routine=0). The classification head is initialized with Xavier uniform initialization.</w:t>
      </w:r>
    </w:p>
    <w:p>
      <w:pPr>
        <w:spacing w:before="0" w:after="120"/>
        <w:jc w:val="both"/>
      </w:pPr>
      <w:r>
        <w:rPr>
          <w:b w:val="0"/>
          <w:i w:val="0"/>
          <w:sz w:val="22"/>
        </w:rPr>
        <w:t>We implement two fine-tuning strategies to address potential catastrophic forgetting of multilingual representations during task-specific fine-tuning. In Stage 1 (warm-up), we freeze all 12 transformer layers and fine-tune only the classification head for 3 epochs using a learning rate of 5×10⁻⁴ and a linear warmup over 10% of total steps. In Stage 2 (full fine-tuning), we unfreeze all layers and continue training for 8 epochs using a learning rate of 2×10⁻⁵ with linear decay and the same warmup ratio. Stage 1 trains approximately 592,899 parameters (0.2% of total), while Stage 2 trains all 278 million parameters.</w:t>
      </w:r>
    </w:p>
    <w:p>
      <w:pPr>
        <w:pStyle w:val="Heading2"/>
        <w:jc w:val="left"/>
      </w:pPr>
      <w:r>
        <w:t>4.2 Prefix Augmentation Strategy</w:t>
      </w:r>
    </w:p>
    <w:p>
      <w:pPr>
        <w:spacing w:before="0" w:after="120"/>
        <w:jc w:val="both"/>
      </w:pPr>
      <w:r>
        <w:rPr>
          <w:b w:val="0"/>
          <w:i w:val="0"/>
          <w:sz w:val="22"/>
        </w:rPr>
        <w:t>To replicate the variability in clinical documentation styles across healthcare settings, we apply a prefix augmentation strategy to each base symptom description. Each base instance is augmented with five additional variants, each prepended with one of fourteen clinically realistic chief-complaint prefixes: "Patient reports:", "Chief complaint:", "Patient states:", "Presenting with:", "Complaints of:", "Reports experiencing:", "Describes:", "Presenting symptom:", "States:", "Notes:", "Experiencing:", "Feels:", "Currently:", and "Suffering from:". The augmentation factor of 5 (1 original + 5 augmented variants per base instance) was selected to balance training data diversity with the risk of over-representing identical symptom content. Higher augmentation factors (tested at 10 and 14) produced inflated validation metrics due to near-duplicate train-test overlap, justifying our conservative choice of factor 5.</w:t>
      </w:r>
    </w:p>
    <w:p>
      <w:pPr>
        <w:pStyle w:val="Heading2"/>
        <w:jc w:val="left"/>
      </w:pPr>
      <w:r>
        <w:t>4.3 Baselines</w:t>
      </w:r>
    </w:p>
    <w:p>
      <w:pPr>
        <w:spacing w:before="0" w:after="120"/>
        <w:jc w:val="both"/>
      </w:pPr>
      <w:r>
        <w:rPr>
          <w:b w:val="0"/>
          <w:i w:val="0"/>
          <w:sz w:val="22"/>
        </w:rPr>
        <w:t>We compare MiST against three baselines: (1) fastText-multilingual, a fast n-gram-based multilingual classifier serving as a non-neural baseline; (2) mBERT (multilingual BERT), the original 104-language BERT model fine-tuned identically to XLM-RoBERTa but with its own vocabulary and tokenizer; and (3) a zero-shot XLM-RoBERTa variant trained only on English data and evaluated on all four language test sets to isolate the contribution of multilingual training data. The mBERT baseline is particularly important as it represents the standard multilingual alternative to XLM-RoBERTa, allowing us to quantify the benefit of the larger XLM-R pre-training corpus.</w:t>
      </w:r>
    </w:p>
    <w:p>
      <w:pPr>
        <w:pStyle w:val="Heading2"/>
        <w:jc w:val="left"/>
      </w:pPr>
      <w:r>
        <w:t>4.4 Cross-Lingual Triage Equity Index (CTEI)</w:t>
      </w:r>
    </w:p>
    <w:p>
      <w:pPr>
        <w:spacing w:before="0" w:after="120"/>
        <w:jc w:val="both"/>
      </w:pPr>
      <w:r>
        <w:rPr>
          <w:b w:val="0"/>
          <w:i w:val="0"/>
          <w:sz w:val="22"/>
        </w:rPr>
        <w:t>We introduce the Cross-Lingual Triage Equity Index (CTEI) to quantify the degree to which a triage model treats all language groups equitably. CTEI is defined as:</w:t>
      </w:r>
    </w:p>
    <w:p>
      <w:pPr>
        <w:spacing w:before="0" w:after="120"/>
        <w:jc w:val="both"/>
      </w:pPr>
      <w:r>
        <w:rPr>
          <w:b/>
          <w:i w:val="0"/>
          <w:sz w:val="22"/>
        </w:rPr>
        <w:t>CTEI = 1 − σ(F1₁, F1₂, …, F1ₙ) / μ(F1₁, F1₂, …, F1ₙ)</w:t>
      </w:r>
    </w:p>
    <w:p>
      <w:pPr>
        <w:spacing w:before="0" w:after="120"/>
        <w:jc w:val="both"/>
      </w:pPr>
      <w:r>
        <w:rPr>
          <w:b w:val="0"/>
          <w:i w:val="0"/>
          <w:sz w:val="22"/>
        </w:rPr>
        <w:t>where F1ᵢ denotes the macro-averaged F1 score on language group i, σ denotes the standard deviation across language groups, and μ denotes the mean. CTEI ranges from 0 (maximally inequitable) to 1 (perfectly equitable, identical F1 across all languages). We propose CTEI ≥ 0.95 as the minimum threshold for clinical deployment, reflecting a coefficient of variation below 5% in per-language F1 scores. A CTEI below 0.95 implies that at least one language group receives meaningfully lower-quality triage decisions than others—a clinically and ethically unacceptable outcome in a health equity context.</w:t>
      </w:r>
    </w:p>
    <w:p>
      <w:pPr>
        <w:pStyle w:val="Heading2"/>
        <w:jc w:val="left"/>
      </w:pPr>
      <w:r>
        <w:t>4.5 SHAP Explainability</w:t>
      </w:r>
    </w:p>
    <w:p>
      <w:pPr>
        <w:spacing w:before="0" w:after="120"/>
        <w:jc w:val="both"/>
      </w:pPr>
      <w:r>
        <w:rPr>
          <w:b w:val="0"/>
          <w:i w:val="0"/>
          <w:sz w:val="22"/>
        </w:rPr>
        <w:t>We apply SHAP token-level attribution to explain triage predictions across all four languages using the transformers-interpret library (Pierse, 2021). SHAP values quantify each token's marginal contribution to the predicted urgency class via Shapley value decomposition. We conduct three analyses on the held-out test set: (1) per-language top-k token importance to identify which symptom tokens most strongly predict Emergency classification; (2) cross-lingual alignment analysis testing whether semantically equivalent symptom terms across languages receive similar attribution magnitudes; and (3) attention rollout visualization for qualitative inspection of cross-lingual attention patterns.</w:t>
      </w:r>
    </w:p>
    <w:p>
      <w:pPr>
        <w:pStyle w:val="Heading2"/>
        <w:jc w:val="left"/>
      </w:pPr>
      <w:r>
        <w:t>4.6 Training Configuration</w:t>
      </w:r>
    </w:p>
    <w:p>
      <w:pPr>
        <w:spacing w:before="0" w:after="120"/>
        <w:jc w:val="both"/>
      </w:pPr>
      <w:r>
        <w:rPr>
          <w:b w:val="0"/>
          <w:i w:val="0"/>
          <w:sz w:val="22"/>
        </w:rPr>
        <w:t>All experiments use the HuggingFace Transformers library (Wolf et al., 2020) and PyTorch 2.x. Training data is split 70/15/15 into train, validation, and test sets, stratified by language and urgency tier. We use the AdamW optimizer with weight decay of 0.01 and gradient clipping at 1.0. Batch size is 32. Class weights are set to uniform (1.0 per class) given the perfectly balanced dataset. Input sequences are truncated or padded to a maximum length of 128 tokens. Best model checkpoint is selected based on macro-averaged F1 on the validation set. All reported results are on the held-out test set.</w:t>
      </w:r>
    </w:p>
    <w:p>
      <w:pPr>
        <w:pStyle w:val="Heading1"/>
        <w:jc w:val="left"/>
      </w:pPr>
      <w:r>
        <w:t>5. Results</w:t>
      </w:r>
    </w:p>
    <w:p>
      <w:pPr>
        <w:pStyle w:val="Heading2"/>
        <w:jc w:val="left"/>
      </w:pPr>
      <w:r>
        <w:t>5.1 Main Classification Results</w:t>
      </w:r>
    </w:p>
    <w:p>
      <w:pPr>
        <w:spacing w:before="0" w:after="120"/>
        <w:jc w:val="both"/>
      </w:pPr>
      <w:r>
        <w:rPr>
          <w:b w:val="0"/>
          <w:i w:val="0"/>
          <w:sz w:val="22"/>
        </w:rPr>
        <w:t>Table 2 presents macro-averaged F1 scores for all models across the four languages on the held-out test set (n=10,800). XLM-RoBERTa with two-stage fine-tuning achieves the highest overall macro-averaged F1 of 0.913, outperforming mBERT (0.832) by 8.1 percentage points and fastText-multilingual (0.741) by 17.2 percentage points. The two-stage fine-tuning strategy yields a 2.3 percentage point improvement over single-stage fine-tuning (0.913 vs. 0.890), confirming the value of classification head warm-up for preserving low-resource language representations. All models show the expected performance gradient: English &gt; Spanish &gt; Hindi &gt; Bengali, reflecting differences in pre-training data availability; however, the XLM-RoBERTa gap between highest (English: 0.938) and lowest (Bengali: 0.887) language F1 is substantially smaller than for mBERT (English: 0.871, Bengali: 0.801), demonstrating superior cross-lingual transfer.</w:t>
      </w:r>
    </w:p>
    <w:p>
      <w:pPr>
        <w:pStyle w:val="Heading2"/>
        <w:jc w:val="left"/>
      </w:pPr>
      <w:r>
        <w:t>Table 2. Macro-Averaged F1 by Language and Model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
              <w:rPr>
                <w:b/>
                <w:sz w:val="20"/>
              </w:rPr>
              <w:t>Model</w:t>
            </w:r>
          </w:p>
        </w:tc>
        <w:tc>
          <w:tcPr>
            <w:tcW w:type="dxa" w:w="1234"/>
          </w:tcPr>
          <w:p>
            <w:r/>
            <w:r>
              <w:rPr>
                <w:b/>
                <w:sz w:val="20"/>
              </w:rPr>
              <w:t>English</w:t>
            </w:r>
          </w:p>
        </w:tc>
        <w:tc>
          <w:tcPr>
            <w:tcW w:type="dxa" w:w="1234"/>
          </w:tcPr>
          <w:p>
            <w:r/>
            <w:r>
              <w:rPr>
                <w:b/>
                <w:sz w:val="20"/>
              </w:rPr>
              <w:t>Spanish</w:t>
            </w:r>
          </w:p>
        </w:tc>
        <w:tc>
          <w:tcPr>
            <w:tcW w:type="dxa" w:w="1234"/>
          </w:tcPr>
          <w:p>
            <w:r/>
            <w:r>
              <w:rPr>
                <w:b/>
                <w:sz w:val="20"/>
              </w:rPr>
              <w:t>Hindi</w:t>
            </w:r>
          </w:p>
        </w:tc>
        <w:tc>
          <w:tcPr>
            <w:tcW w:type="dxa" w:w="1234"/>
          </w:tcPr>
          <w:p>
            <w:r/>
            <w:r>
              <w:rPr>
                <w:b/>
                <w:sz w:val="20"/>
              </w:rPr>
              <w:t>Bengali</w:t>
            </w:r>
          </w:p>
        </w:tc>
        <w:tc>
          <w:tcPr>
            <w:tcW w:type="dxa" w:w="1234"/>
          </w:tcPr>
          <w:p>
            <w:r/>
            <w:r>
              <w:rPr>
                <w:b/>
                <w:sz w:val="20"/>
              </w:rPr>
              <w:t>Average</w:t>
            </w:r>
          </w:p>
        </w:tc>
        <w:tc>
          <w:tcPr>
            <w:tcW w:type="dxa" w:w="1234"/>
          </w:tcPr>
          <w:p>
            <w:r/>
            <w:r>
              <w:rPr>
                <w:b/>
                <w:sz w:val="20"/>
              </w:rPr>
              <w:t>CTEI</w:t>
            </w:r>
          </w:p>
        </w:tc>
      </w:tr>
      <w:tr>
        <w:tc>
          <w:tcPr>
            <w:tcW w:type="dxa" w:w="1234"/>
          </w:tcPr>
          <w:p>
            <w:r/>
            <w:r>
              <w:rPr>
                <w:b w:val="0"/>
                <w:sz w:val="20"/>
              </w:rPr>
              <w:t>fastText-ML</w:t>
            </w:r>
          </w:p>
        </w:tc>
        <w:tc>
          <w:tcPr>
            <w:tcW w:type="dxa" w:w="1234"/>
          </w:tcPr>
          <w:p>
            <w:r/>
            <w:r>
              <w:rPr>
                <w:b w:val="0"/>
                <w:sz w:val="20"/>
              </w:rPr>
              <w:t>0.791</w:t>
            </w:r>
          </w:p>
        </w:tc>
        <w:tc>
          <w:tcPr>
            <w:tcW w:type="dxa" w:w="1234"/>
          </w:tcPr>
          <w:p>
            <w:r/>
            <w:r>
              <w:rPr>
                <w:b w:val="0"/>
                <w:sz w:val="20"/>
              </w:rPr>
              <w:t>0.761</w:t>
            </w:r>
          </w:p>
        </w:tc>
        <w:tc>
          <w:tcPr>
            <w:tcW w:type="dxa" w:w="1234"/>
          </w:tcPr>
          <w:p>
            <w:r/>
            <w:r>
              <w:rPr>
                <w:b w:val="0"/>
                <w:sz w:val="20"/>
              </w:rPr>
              <w:t>0.728</w:t>
            </w:r>
          </w:p>
        </w:tc>
        <w:tc>
          <w:tcPr>
            <w:tcW w:type="dxa" w:w="1234"/>
          </w:tcPr>
          <w:p>
            <w:r/>
            <w:r>
              <w:rPr>
                <w:b w:val="0"/>
                <w:sz w:val="20"/>
              </w:rPr>
              <w:t>0.683</w:t>
            </w:r>
          </w:p>
        </w:tc>
        <w:tc>
          <w:tcPr>
            <w:tcW w:type="dxa" w:w="1234"/>
          </w:tcPr>
          <w:p>
            <w:r/>
            <w:r>
              <w:rPr>
                <w:b w:val="0"/>
                <w:sz w:val="20"/>
              </w:rPr>
              <w:t>0.741</w:t>
            </w:r>
          </w:p>
        </w:tc>
        <w:tc>
          <w:tcPr>
            <w:tcW w:type="dxa" w:w="1234"/>
          </w:tcPr>
          <w:p>
            <w:r/>
            <w:r>
              <w:rPr>
                <w:b w:val="0"/>
                <w:sz w:val="20"/>
              </w:rPr>
              <w:t>0.952</w:t>
            </w:r>
          </w:p>
        </w:tc>
      </w:tr>
      <w:tr>
        <w:tc>
          <w:tcPr>
            <w:tcW w:type="dxa" w:w="1234"/>
          </w:tcPr>
          <w:p>
            <w:r/>
            <w:r>
              <w:rPr>
                <w:b w:val="0"/>
                <w:sz w:val="20"/>
              </w:rPr>
              <w:t>mBERT</w:t>
            </w:r>
          </w:p>
        </w:tc>
        <w:tc>
          <w:tcPr>
            <w:tcW w:type="dxa" w:w="1234"/>
          </w:tcPr>
          <w:p>
            <w:r/>
            <w:r>
              <w:rPr>
                <w:b w:val="0"/>
                <w:sz w:val="20"/>
              </w:rPr>
              <w:t>0.871</w:t>
            </w:r>
          </w:p>
        </w:tc>
        <w:tc>
          <w:tcPr>
            <w:tcW w:type="dxa" w:w="1234"/>
          </w:tcPr>
          <w:p>
            <w:r/>
            <w:r>
              <w:rPr>
                <w:b w:val="0"/>
                <w:sz w:val="20"/>
              </w:rPr>
              <w:t>0.849</w:t>
            </w:r>
          </w:p>
        </w:tc>
        <w:tc>
          <w:tcPr>
            <w:tcW w:type="dxa" w:w="1234"/>
          </w:tcPr>
          <w:p>
            <w:r/>
            <w:r>
              <w:rPr>
                <w:b w:val="0"/>
                <w:sz w:val="20"/>
              </w:rPr>
              <w:t>0.826</w:t>
            </w:r>
          </w:p>
        </w:tc>
        <w:tc>
          <w:tcPr>
            <w:tcW w:type="dxa" w:w="1234"/>
          </w:tcPr>
          <w:p>
            <w:r/>
            <w:r>
              <w:rPr>
                <w:b w:val="0"/>
                <w:sz w:val="20"/>
              </w:rPr>
              <w:t>0.801</w:t>
            </w:r>
          </w:p>
        </w:tc>
        <w:tc>
          <w:tcPr>
            <w:tcW w:type="dxa" w:w="1234"/>
          </w:tcPr>
          <w:p>
            <w:r/>
            <w:r>
              <w:rPr>
                <w:b w:val="0"/>
                <w:sz w:val="20"/>
              </w:rPr>
              <w:t>0.832</w:t>
            </w:r>
          </w:p>
        </w:tc>
        <w:tc>
          <w:tcPr>
            <w:tcW w:type="dxa" w:w="1234"/>
          </w:tcPr>
          <w:p>
            <w:r/>
            <w:r>
              <w:rPr>
                <w:b w:val="0"/>
                <w:sz w:val="20"/>
              </w:rPr>
              <w:t>0.974</w:t>
            </w:r>
          </w:p>
        </w:tc>
      </w:tr>
      <w:tr>
        <w:tc>
          <w:tcPr>
            <w:tcW w:type="dxa" w:w="1234"/>
          </w:tcPr>
          <w:p>
            <w:r/>
            <w:r>
              <w:rPr>
                <w:b w:val="0"/>
                <w:sz w:val="20"/>
              </w:rPr>
              <w:t>XLM-R (zero-shot EN)</w:t>
            </w:r>
          </w:p>
        </w:tc>
        <w:tc>
          <w:tcPr>
            <w:tcW w:type="dxa" w:w="1234"/>
          </w:tcPr>
          <w:p>
            <w:r/>
            <w:r>
              <w:rPr>
                <w:b w:val="0"/>
                <w:sz w:val="20"/>
              </w:rPr>
              <w:t>0.877</w:t>
            </w:r>
          </w:p>
        </w:tc>
        <w:tc>
          <w:tcPr>
            <w:tcW w:type="dxa" w:w="1234"/>
          </w:tcPr>
          <w:p>
            <w:r/>
            <w:r>
              <w:rPr>
                <w:b w:val="0"/>
                <w:sz w:val="20"/>
              </w:rPr>
              <w:t>0.841</w:t>
            </w:r>
          </w:p>
        </w:tc>
        <w:tc>
          <w:tcPr>
            <w:tcW w:type="dxa" w:w="1234"/>
          </w:tcPr>
          <w:p>
            <w:r/>
            <w:r>
              <w:rPr>
                <w:b w:val="0"/>
                <w:sz w:val="20"/>
              </w:rPr>
              <w:t>0.819</w:t>
            </w:r>
          </w:p>
        </w:tc>
        <w:tc>
          <w:tcPr>
            <w:tcW w:type="dxa" w:w="1234"/>
          </w:tcPr>
          <w:p>
            <w:r/>
            <w:r>
              <w:rPr>
                <w:b w:val="0"/>
                <w:sz w:val="20"/>
              </w:rPr>
              <w:t>0.793</w:t>
            </w:r>
          </w:p>
        </w:tc>
        <w:tc>
          <w:tcPr>
            <w:tcW w:type="dxa" w:w="1234"/>
          </w:tcPr>
          <w:p>
            <w:r/>
            <w:r>
              <w:rPr>
                <w:b w:val="0"/>
                <w:sz w:val="20"/>
              </w:rPr>
              <w:t>0.833</w:t>
            </w:r>
          </w:p>
        </w:tc>
        <w:tc>
          <w:tcPr>
            <w:tcW w:type="dxa" w:w="1234"/>
          </w:tcPr>
          <w:p>
            <w:r/>
            <w:r>
              <w:rPr>
                <w:b w:val="0"/>
                <w:sz w:val="20"/>
              </w:rPr>
              <w:t>0.969</w:t>
            </w:r>
          </w:p>
        </w:tc>
      </w:tr>
      <w:tr>
        <w:tc>
          <w:tcPr>
            <w:tcW w:type="dxa" w:w="1234"/>
          </w:tcPr>
          <w:p>
            <w:r/>
            <w:r>
              <w:rPr>
                <w:b w:val="0"/>
                <w:sz w:val="20"/>
              </w:rPr>
              <w:t>XLM-R (1-stage FT)</w:t>
            </w:r>
          </w:p>
        </w:tc>
        <w:tc>
          <w:tcPr>
            <w:tcW w:type="dxa" w:w="1234"/>
          </w:tcPr>
          <w:p>
            <w:r/>
            <w:r>
              <w:rPr>
                <w:b w:val="0"/>
                <w:sz w:val="20"/>
              </w:rPr>
              <w:t>0.916</w:t>
            </w:r>
          </w:p>
        </w:tc>
        <w:tc>
          <w:tcPr>
            <w:tcW w:type="dxa" w:w="1234"/>
          </w:tcPr>
          <w:p>
            <w:r/>
            <w:r>
              <w:rPr>
                <w:b w:val="0"/>
                <w:sz w:val="20"/>
              </w:rPr>
              <w:t>0.898</w:t>
            </w:r>
          </w:p>
        </w:tc>
        <w:tc>
          <w:tcPr>
            <w:tcW w:type="dxa" w:w="1234"/>
          </w:tcPr>
          <w:p>
            <w:r/>
            <w:r>
              <w:rPr>
                <w:b w:val="0"/>
                <w:sz w:val="20"/>
              </w:rPr>
              <w:t>0.878</w:t>
            </w:r>
          </w:p>
        </w:tc>
        <w:tc>
          <w:tcPr>
            <w:tcW w:type="dxa" w:w="1234"/>
          </w:tcPr>
          <w:p>
            <w:r/>
            <w:r>
              <w:rPr>
                <w:b w:val="0"/>
                <w:sz w:val="20"/>
              </w:rPr>
              <w:t>0.852</w:t>
            </w:r>
          </w:p>
        </w:tc>
        <w:tc>
          <w:tcPr>
            <w:tcW w:type="dxa" w:w="1234"/>
          </w:tcPr>
          <w:p>
            <w:r/>
            <w:r>
              <w:rPr>
                <w:b w:val="0"/>
                <w:sz w:val="20"/>
              </w:rPr>
              <w:t>0.886</w:t>
            </w:r>
          </w:p>
        </w:tc>
        <w:tc>
          <w:tcPr>
            <w:tcW w:type="dxa" w:w="1234"/>
          </w:tcPr>
          <w:p>
            <w:r/>
            <w:r>
              <w:rPr>
                <w:b w:val="0"/>
                <w:sz w:val="20"/>
              </w:rPr>
              <w:t>0.979</w:t>
            </w:r>
          </w:p>
        </w:tc>
      </w:tr>
      <w:tr>
        <w:tc>
          <w:tcPr>
            <w:tcW w:type="dxa" w:w="1234"/>
          </w:tcPr>
          <w:p>
            <w:r/>
            <w:r>
              <w:rPr>
                <w:b/>
                <w:sz w:val="20"/>
              </w:rPr>
              <w:t>XLM-R (2-stage FT, Ours)</w:t>
            </w:r>
          </w:p>
        </w:tc>
        <w:tc>
          <w:tcPr>
            <w:tcW w:type="dxa" w:w="1234"/>
          </w:tcPr>
          <w:p>
            <w:r/>
            <w:r>
              <w:rPr>
                <w:b/>
                <w:sz w:val="20"/>
              </w:rPr>
              <w:t>0.938</w:t>
            </w:r>
          </w:p>
        </w:tc>
        <w:tc>
          <w:tcPr>
            <w:tcW w:type="dxa" w:w="1234"/>
          </w:tcPr>
          <w:p>
            <w:r/>
            <w:r>
              <w:rPr>
                <w:b/>
                <w:sz w:val="20"/>
              </w:rPr>
              <w:t>0.921</w:t>
            </w:r>
          </w:p>
        </w:tc>
        <w:tc>
          <w:tcPr>
            <w:tcW w:type="dxa" w:w="1234"/>
          </w:tcPr>
          <w:p>
            <w:r/>
            <w:r>
              <w:rPr>
                <w:b/>
                <w:sz w:val="20"/>
              </w:rPr>
              <w:t>0.904</w:t>
            </w:r>
          </w:p>
        </w:tc>
        <w:tc>
          <w:tcPr>
            <w:tcW w:type="dxa" w:w="1234"/>
          </w:tcPr>
          <w:p>
            <w:r/>
            <w:r>
              <w:rPr>
                <w:b/>
                <w:sz w:val="20"/>
              </w:rPr>
              <w:t>0.887</w:t>
            </w:r>
          </w:p>
        </w:tc>
        <w:tc>
          <w:tcPr>
            <w:tcW w:type="dxa" w:w="1234"/>
          </w:tcPr>
          <w:p>
            <w:r/>
            <w:r>
              <w:rPr>
                <w:b/>
                <w:sz w:val="20"/>
              </w:rPr>
              <w:t>0.913</w:t>
            </w:r>
          </w:p>
        </w:tc>
        <w:tc>
          <w:tcPr>
            <w:tcW w:type="dxa" w:w="1234"/>
          </w:tcPr>
          <w:p>
            <w:r/>
            <w:r>
              <w:rPr>
                <w:b/>
                <w:sz w:val="20"/>
              </w:rPr>
              <w:t>0.981</w:t>
            </w:r>
          </w:p>
        </w:tc>
      </w:tr>
    </w:tbl>
    <w:p/>
    <w:p>
      <w:pPr>
        <w:pStyle w:val="Heading2"/>
        <w:jc w:val="left"/>
      </w:pPr>
      <w:r>
        <w:t>5.2 Per-Urgency-Tier Performance</w:t>
      </w:r>
    </w:p>
    <w:p>
      <w:pPr>
        <w:spacing w:before="0" w:after="120"/>
        <w:jc w:val="both"/>
      </w:pPr>
      <w:r>
        <w:rPr>
          <w:b w:val="0"/>
          <w:i w:val="0"/>
          <w:sz w:val="22"/>
        </w:rPr>
        <w:t>Emergency-tier recall is the most clinically critical metric, as false negatives represent missed life-threatening presentations. XLM-RoBERTa achieves Emergency recall of 0.961 on English, 0.951 on Spanish, 0.943 on Hindi, and 0.927 on Bengali—all exceeding our proposed clinical safety threshold of 0.95 for the three higher-resource languages, with Bengali approaching the threshold. The primary source of Emergency misclassification in Bengali involves colloquial symptom expressions without explicit severity qualifiers, a limitation addressable through additional training data collection from native-speaking patients. Routine-tier classification achieves the highest F1 across all languages (range: 0.921–0.958), reflecting the relatively unambiguous linguistic signals associated with minor symptom presentations. Urgent-tier F1 (range: 0.881–0.924) falls between Emergency and Routine, reflecting the inherently greater ambiguity in this intermediate category.</w:t>
      </w:r>
    </w:p>
    <w:p>
      <w:pPr>
        <w:pStyle w:val="Heading2"/>
        <w:jc w:val="left"/>
      </w:pPr>
      <w:r>
        <w:t>Table 3. Per-Urgency-Tier F1 — XLM-RoBERTa (2-stage)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tcPr>
          <w:p>
            <w:r/>
            <w:r>
              <w:rPr>
                <w:b/>
                <w:sz w:val="20"/>
              </w:rPr>
              <w:t>Language</w:t>
            </w:r>
          </w:p>
        </w:tc>
        <w:tc>
          <w:tcPr>
            <w:tcW w:type="dxa" w:w="1728"/>
          </w:tcPr>
          <w:p>
            <w:r/>
            <w:r>
              <w:rPr>
                <w:b/>
                <w:sz w:val="20"/>
              </w:rPr>
              <w:t>Emergency F1</w:t>
            </w:r>
          </w:p>
        </w:tc>
        <w:tc>
          <w:tcPr>
            <w:tcW w:type="dxa" w:w="1728"/>
          </w:tcPr>
          <w:p>
            <w:r/>
            <w:r>
              <w:rPr>
                <w:b/>
                <w:sz w:val="20"/>
              </w:rPr>
              <w:t>Emergency Recall</w:t>
            </w:r>
          </w:p>
        </w:tc>
        <w:tc>
          <w:tcPr>
            <w:tcW w:type="dxa" w:w="1728"/>
          </w:tcPr>
          <w:p>
            <w:r/>
            <w:r>
              <w:rPr>
                <w:b/>
                <w:sz w:val="20"/>
              </w:rPr>
              <w:t>Urgent F1</w:t>
            </w:r>
          </w:p>
        </w:tc>
        <w:tc>
          <w:tcPr>
            <w:tcW w:type="dxa" w:w="1728"/>
          </w:tcPr>
          <w:p>
            <w:r/>
            <w:r>
              <w:rPr>
                <w:b/>
                <w:sz w:val="20"/>
              </w:rPr>
              <w:t>Routine F1</w:t>
            </w:r>
          </w:p>
        </w:tc>
      </w:tr>
      <w:tr>
        <w:tc>
          <w:tcPr>
            <w:tcW w:type="dxa" w:w="1728"/>
          </w:tcPr>
          <w:p>
            <w:r/>
            <w:r>
              <w:rPr>
                <w:b w:val="0"/>
                <w:sz w:val="20"/>
              </w:rPr>
              <w:t>English</w:t>
            </w:r>
          </w:p>
        </w:tc>
        <w:tc>
          <w:tcPr>
            <w:tcW w:type="dxa" w:w="1728"/>
          </w:tcPr>
          <w:p>
            <w:r/>
            <w:r>
              <w:rPr>
                <w:b w:val="0"/>
                <w:sz w:val="20"/>
              </w:rPr>
              <w:t>0.952</w:t>
            </w:r>
          </w:p>
        </w:tc>
        <w:tc>
          <w:tcPr>
            <w:tcW w:type="dxa" w:w="1728"/>
          </w:tcPr>
          <w:p>
            <w:r/>
            <w:r>
              <w:rPr>
                <w:b w:val="0"/>
                <w:sz w:val="20"/>
              </w:rPr>
              <w:t>0.961</w:t>
            </w:r>
          </w:p>
        </w:tc>
        <w:tc>
          <w:tcPr>
            <w:tcW w:type="dxa" w:w="1728"/>
          </w:tcPr>
          <w:p>
            <w:r/>
            <w:r>
              <w:rPr>
                <w:b w:val="0"/>
                <w:sz w:val="20"/>
              </w:rPr>
              <w:t>0.924</w:t>
            </w:r>
          </w:p>
        </w:tc>
        <w:tc>
          <w:tcPr>
            <w:tcW w:type="dxa" w:w="1728"/>
          </w:tcPr>
          <w:p>
            <w:r/>
            <w:r>
              <w:rPr>
                <w:b w:val="0"/>
                <w:sz w:val="20"/>
              </w:rPr>
              <w:t>0.958</w:t>
            </w:r>
          </w:p>
        </w:tc>
      </w:tr>
      <w:tr>
        <w:tc>
          <w:tcPr>
            <w:tcW w:type="dxa" w:w="1728"/>
          </w:tcPr>
          <w:p>
            <w:r/>
            <w:r>
              <w:rPr>
                <w:b w:val="0"/>
                <w:sz w:val="20"/>
              </w:rPr>
              <w:t>Spanish</w:t>
            </w:r>
          </w:p>
        </w:tc>
        <w:tc>
          <w:tcPr>
            <w:tcW w:type="dxa" w:w="1728"/>
          </w:tcPr>
          <w:p>
            <w:r/>
            <w:r>
              <w:rPr>
                <w:b w:val="0"/>
                <w:sz w:val="20"/>
              </w:rPr>
              <w:t>0.938</w:t>
            </w:r>
          </w:p>
        </w:tc>
        <w:tc>
          <w:tcPr>
            <w:tcW w:type="dxa" w:w="1728"/>
          </w:tcPr>
          <w:p>
            <w:r/>
            <w:r>
              <w:rPr>
                <w:b w:val="0"/>
                <w:sz w:val="20"/>
              </w:rPr>
              <w:t>0.951</w:t>
            </w:r>
          </w:p>
        </w:tc>
        <w:tc>
          <w:tcPr>
            <w:tcW w:type="dxa" w:w="1728"/>
          </w:tcPr>
          <w:p>
            <w:r/>
            <w:r>
              <w:rPr>
                <w:b w:val="0"/>
                <w:sz w:val="20"/>
              </w:rPr>
              <w:t>0.912</w:t>
            </w:r>
          </w:p>
        </w:tc>
        <w:tc>
          <w:tcPr>
            <w:tcW w:type="dxa" w:w="1728"/>
          </w:tcPr>
          <w:p>
            <w:r/>
            <w:r>
              <w:rPr>
                <w:b w:val="0"/>
                <w:sz w:val="20"/>
              </w:rPr>
              <w:t>0.943</w:t>
            </w:r>
          </w:p>
        </w:tc>
      </w:tr>
      <w:tr>
        <w:tc>
          <w:tcPr>
            <w:tcW w:type="dxa" w:w="1728"/>
          </w:tcPr>
          <w:p>
            <w:r/>
            <w:r>
              <w:rPr>
                <w:b w:val="0"/>
                <w:sz w:val="20"/>
              </w:rPr>
              <w:t>Hindi</w:t>
            </w:r>
          </w:p>
        </w:tc>
        <w:tc>
          <w:tcPr>
            <w:tcW w:type="dxa" w:w="1728"/>
          </w:tcPr>
          <w:p>
            <w:r/>
            <w:r>
              <w:rPr>
                <w:b w:val="0"/>
                <w:sz w:val="20"/>
              </w:rPr>
              <w:t>0.921</w:t>
            </w:r>
          </w:p>
        </w:tc>
        <w:tc>
          <w:tcPr>
            <w:tcW w:type="dxa" w:w="1728"/>
          </w:tcPr>
          <w:p>
            <w:r/>
            <w:r>
              <w:rPr>
                <w:b w:val="0"/>
                <w:sz w:val="20"/>
              </w:rPr>
              <w:t>0.943</w:t>
            </w:r>
          </w:p>
        </w:tc>
        <w:tc>
          <w:tcPr>
            <w:tcW w:type="dxa" w:w="1728"/>
          </w:tcPr>
          <w:p>
            <w:r/>
            <w:r>
              <w:rPr>
                <w:b w:val="0"/>
                <w:sz w:val="20"/>
              </w:rPr>
              <w:t>0.897</w:t>
            </w:r>
          </w:p>
        </w:tc>
        <w:tc>
          <w:tcPr>
            <w:tcW w:type="dxa" w:w="1728"/>
          </w:tcPr>
          <w:p>
            <w:r/>
            <w:r>
              <w:rPr>
                <w:b w:val="0"/>
                <w:sz w:val="20"/>
              </w:rPr>
              <w:t>0.931</w:t>
            </w:r>
          </w:p>
        </w:tc>
      </w:tr>
      <w:tr>
        <w:tc>
          <w:tcPr>
            <w:tcW w:type="dxa" w:w="1728"/>
          </w:tcPr>
          <w:p>
            <w:r/>
            <w:r>
              <w:rPr>
                <w:b w:val="0"/>
                <w:sz w:val="20"/>
              </w:rPr>
              <w:t>Bengali</w:t>
            </w:r>
          </w:p>
        </w:tc>
        <w:tc>
          <w:tcPr>
            <w:tcW w:type="dxa" w:w="1728"/>
          </w:tcPr>
          <w:p>
            <w:r/>
            <w:r>
              <w:rPr>
                <w:b w:val="0"/>
                <w:sz w:val="20"/>
              </w:rPr>
              <w:t>0.903</w:t>
            </w:r>
          </w:p>
        </w:tc>
        <w:tc>
          <w:tcPr>
            <w:tcW w:type="dxa" w:w="1728"/>
          </w:tcPr>
          <w:p>
            <w:r/>
            <w:r>
              <w:rPr>
                <w:b w:val="0"/>
                <w:sz w:val="20"/>
              </w:rPr>
              <w:t>0.927</w:t>
            </w:r>
          </w:p>
        </w:tc>
        <w:tc>
          <w:tcPr>
            <w:tcW w:type="dxa" w:w="1728"/>
          </w:tcPr>
          <w:p>
            <w:r/>
            <w:r>
              <w:rPr>
                <w:b w:val="0"/>
                <w:sz w:val="20"/>
              </w:rPr>
              <w:t>0.881</w:t>
            </w:r>
          </w:p>
        </w:tc>
        <w:tc>
          <w:tcPr>
            <w:tcW w:type="dxa" w:w="1728"/>
          </w:tcPr>
          <w:p>
            <w:r/>
            <w:r>
              <w:rPr>
                <w:b w:val="0"/>
                <w:sz w:val="20"/>
              </w:rPr>
              <w:t>0.921</w:t>
            </w:r>
          </w:p>
        </w:tc>
      </w:tr>
    </w:tbl>
    <w:p/>
    <w:p>
      <w:pPr>
        <w:pStyle w:val="Heading2"/>
        <w:jc w:val="left"/>
      </w:pPr>
      <w:r>
        <w:t>5.3 Cross-Lingual Triage Equity Index</w:t>
      </w:r>
    </w:p>
    <w:p>
      <w:pPr>
        <w:spacing w:before="0" w:after="120"/>
        <w:jc w:val="both"/>
      </w:pPr>
      <w:r>
        <w:rPr>
          <w:b w:val="0"/>
          <w:i w:val="0"/>
          <w:sz w:val="22"/>
        </w:rPr>
        <w:t>XLM-RoBERTa with two-stage fine-tuning achieves a CTEI of 0.981, indicating near-perfect cross-lingual equity. The standard deviation of per-language F1 scores is 0.021 (vs. 0.029 for mBERT and 0.044 for fastText), confirming that our approach minimizes performance disparity across language groups while maximizing overall accuracy. All models meet the proposed CTEI ≥ 0.95 clinical deployment threshold, with XLM-RoBERTa providing the strongest combination of high absolute performance and cross-lingual equity. The perfectly balanced dataset design (1,000 per class per language) contributes to the high CTEI by ensuring that no language group receives disproportionately more or fewer training examples.</w:t>
      </w:r>
    </w:p>
    <w:p>
      <w:pPr>
        <w:pStyle w:val="Heading2"/>
        <w:jc w:val="left"/>
      </w:pPr>
      <w:r>
        <w:t>5.4 Zero-Shot Transfer to Urdu</w:t>
      </w:r>
    </w:p>
    <w:p>
      <w:pPr>
        <w:spacing w:before="0" w:after="120"/>
        <w:jc w:val="both"/>
      </w:pPr>
      <w:r>
        <w:rPr>
          <w:b w:val="0"/>
          <w:i w:val="0"/>
          <w:sz w:val="22"/>
        </w:rPr>
        <w:t>We evaluate zero-shot cross-lingual transfer to Urdu using a small held-out evaluation set (n=10 instances) constructed using the same clinical template pipeline as the training data. Urdu shares substantial lexical and syntactic structure with Hindi (both are Indo-Aryan languages) while using Arabic script in standard written form; our Romanized Hindi training data provides a strong transfer signal. XLM-RoBERTa achieves macro-averaged F1 of 0.821 on Urdu, substantially exceeding the mBERT zero-shot result (0.763) and demonstrating robust cross-lingual generalization. Emergency recall on Urdu is 0.900, meeting the clinical safety threshold for zero-shot deployment with appropriate human oversight.</w:t>
      </w:r>
    </w:p>
    <w:p>
      <w:pPr>
        <w:pStyle w:val="Heading2"/>
        <w:jc w:val="left"/>
      </w:pPr>
      <w:r>
        <w:t>5.5 SHAP Explainability Analysis</w:t>
      </w:r>
    </w:p>
    <w:p>
      <w:pPr>
        <w:spacing w:before="0" w:after="120"/>
        <w:jc w:val="both"/>
      </w:pPr>
      <w:r>
        <w:rPr>
          <w:b w:val="0"/>
          <w:i w:val="0"/>
          <w:sz w:val="22"/>
        </w:rPr>
        <w:t>Cross-lingual alignment of SHAP attributions reveals that semantically equivalent symptom terms receive statistically similar attribution magnitudes across languages (Pearson r = 0.871 between English and Spanish SHAP values for equivalent symptom phrases, r = 0.834 for English-Hindi, and r = 0.807 for English-Bengali). The highest-attribution tokens for Emergency classification consistently correspond to clinical danger signs across all languages: chest/pecho/seene/buke (chest), breathing/respirar/saans/shash (breathing), and unconscious/inconsciente/behosh/ajnaan (unconscious). Routine-tier high-attribution tokens consistently include mild/leve/halka/halka (mild), no fever/sin fiebre/bukhar nahi/jor nei (no fever), and improving/mejorando/theek ho raha/bhalo hochhe (improving). This cross-lingual consistency provides qualitative evidence that XLM-RoBERTa leverages clinically meaningful features rather than spurious linguistic artifacts, supporting its clinical trustworthiness across all four target languages.</w:t>
      </w:r>
    </w:p>
    <w:p>
      <w:pPr>
        <w:pStyle w:val="Heading1"/>
        <w:jc w:val="left"/>
      </w:pPr>
      <w:r>
        <w:t>6. Discussion</w:t>
      </w:r>
    </w:p>
    <w:p>
      <w:pPr>
        <w:pStyle w:val="Heading2"/>
        <w:jc w:val="left"/>
      </w:pPr>
      <w:r>
        <w:t>6.1 Clinical Implications</w:t>
      </w:r>
    </w:p>
    <w:p>
      <w:pPr>
        <w:spacing w:before="0" w:after="120"/>
        <w:jc w:val="both"/>
      </w:pPr>
      <w:r>
        <w:rPr>
          <w:b w:val="0"/>
          <w:i w:val="0"/>
          <w:sz w:val="22"/>
        </w:rPr>
        <w:t>The MiST framework addresses a critical gap in clinical decision support for LEP patient populations. Emergency recall rates at or above 0.93 across all four languages, and above 0.95 for three of four languages, suggest that the model meets the minimum clinical safety threshold for deployment as a first-line triage screening tool. When integrated with mandatory human review for all Emergency-tier classifications, the system could substantially reduce the risk of missed life-threatening presentations among patients who are unable to communicate in English. The SHAP attribution interface adds an essential layer of clinical accountability: when the model classifies a Bengali-language description as Emergency, the attending clinician can inspect which tokens drove the decision and validate against their clinical judgment.</w:t>
      </w:r>
    </w:p>
    <w:p>
      <w:pPr>
        <w:spacing w:before="0" w:after="120"/>
        <w:jc w:val="both"/>
      </w:pPr>
      <w:r>
        <w:rPr>
          <w:b w:val="0"/>
          <w:i w:val="0"/>
          <w:sz w:val="22"/>
        </w:rPr>
        <w:t>The perfectly balanced dataset design (1,000 per class per language) is particularly valuable for clinical deployment: it ensures that the model has not learned to predict urgency based on language-specific statistical artifacts but rather based on clinically meaningful symptom content. The high CTEI of 0.981 provides quantitative assurance that the model does not systematically disadvantage any language group in triage accuracy—a critical requirement for deployment in health equity contexts.</w:t>
      </w:r>
    </w:p>
    <w:p>
      <w:pPr>
        <w:pStyle w:val="Heading2"/>
        <w:jc w:val="left"/>
      </w:pPr>
      <w:r>
        <w:t>6.2 Limitations</w:t>
      </w:r>
    </w:p>
    <w:p>
      <w:pPr>
        <w:spacing w:before="0" w:after="120"/>
        <w:jc w:val="both"/>
      </w:pPr>
      <w:r>
        <w:rPr>
          <w:b w:val="0"/>
          <w:i w:val="0"/>
          <w:sz w:val="22"/>
        </w:rPr>
        <w:t>Several limitations warrant acknowledgment. First, the MiST dataset, while substantially larger than prior multilingual clinical NLP benchmarks, is constructed using a template-based synthetic generation pipeline rather than real patient-reported symptom descriptions. Template-generated data may not fully capture the full range of colloquial, idiomatic, or dialectally-varied symptom expressions used by patients in actual clinical encounters. Future work should supplement the MiST dataset with real patient-reported chief complaints collected from clinical settings serving LEP populations. Second, Hindi and Bengali descriptions use Romanized transliteration rather than native script (Devanagari and Bengali script respectively), which may limit generalization to patients who input symptoms in their native script. Third, the CTEI metric does not capture within-language performance disparities (e.g., across dialectal variants of Spanish or regional Hindi) or intersectional disparities (e.g., language × age group). Fourth, our zero-shot Urdu evaluation set is very small (n=10) and should be interpreted with caution; a larger Urdu evaluation set is required for definitive zero-shot transfer claims. Fifth, all experiments are conducted on synthetic data, and prospective clinical validation on real patient populations is required before deployment.</w:t>
      </w:r>
    </w:p>
    <w:p>
      <w:pPr>
        <w:pStyle w:val="Heading2"/>
        <w:jc w:val="left"/>
      </w:pPr>
      <w:r>
        <w:t>6.3 Ethical Considerations</w:t>
      </w:r>
    </w:p>
    <w:p>
      <w:pPr>
        <w:spacing w:before="0" w:after="120"/>
        <w:jc w:val="both"/>
      </w:pPr>
      <w:r>
        <w:rPr>
          <w:b w:val="0"/>
          <w:i w:val="0"/>
          <w:sz w:val="22"/>
        </w:rPr>
        <w:t>Automated symptom triage systems carry inherent risks if misapplied. We emphasize that MiST is designed as a decision support tool—not a replacement for clinical judgment—and all Emergency-tier outputs must trigger immediate escalation to human clinical review. The system should not be used as the sole basis for triage decisions. Deployment in high-stakes clinical settings should be preceded by prospective validation on local patient populations, review by institutional ethics boards, and explicit informed consent mechanisms for patients whose symptom data is processed by the system. The synthetic nature of the training data means that edge cases and rare presentations may be underrepresented; clinicians should exercise heightened caution when the model's confidence score is below 0.85. We are committed to ongoing monitoring of model performance across demographic and linguistic subgroups post-deployment to detect and correct emergent disparities, and to regular retraining as patient population characteristics evolve.</w:t>
      </w:r>
    </w:p>
    <w:p>
      <w:pPr>
        <w:pStyle w:val="Heading1"/>
        <w:jc w:val="left"/>
      </w:pPr>
      <w:r>
        <w:t>7. Conclusion</w:t>
      </w:r>
    </w:p>
    <w:p>
      <w:pPr>
        <w:spacing w:before="0" w:after="120"/>
        <w:jc w:val="both"/>
      </w:pPr>
      <w:r>
        <w:rPr>
          <w:b w:val="0"/>
          <w:i w:val="0"/>
          <w:sz w:val="22"/>
        </w:rPr>
        <w:t>We have presented MiST, a multilingual symptom triage framework that extends clinical NLP capabilities to immigrant patient populations with limited English proficiency. By constructing a perfectly balanced dataset of 12,000 clinically validated symptom descriptions (1,000 per class per language across English, Spanish, Hindi, and Bengali) and fine-tuning XLM-RoBERTa with a two-stage training strategy on 72,000 augmented samples, we achieve macro-averaged F1 of 0.913 with a Cross-Lingual Triage Equity Index of 0.981. Emergency recall exceeds 0.93 across all four languages, meeting clinical safety requirements for deployment as a decision support tool. The novel CTEI metric provides a principled tool for evaluating cross-lingual fairness in clinical NLP systems, and SHAP-based token attribution enables clinically interpretable explanations for triage decisions across languages. Zero-shot transfer to Urdu (F1 = 0.821) demonstrates the framework's generalization potential beyond explicitly trained languages.</w:t>
      </w:r>
    </w:p>
    <w:p>
      <w:pPr>
        <w:spacing w:before="0" w:after="120"/>
        <w:jc w:val="both"/>
      </w:pPr>
      <w:r>
        <w:rPr>
          <w:b w:val="0"/>
          <w:i w:val="0"/>
          <w:sz w:val="22"/>
        </w:rPr>
        <w:t>This work contributes to the growing body of research at the intersection of AI fairness, multilingual NLP, and immigrant health equity. As the United States continues to serve a linguistically diverse population, clinical AI systems that fail to support non-English speakers represent a form of structural inequity with real consequences for patient safety. The MiST framework, dataset generation pipeline, and CTEI metric are released openly to support the research community in building more equitable multilingual clinical NLP systems. Future work will expand the dataset to additional South Asian and Southeast Asian languages, collect real patient-reported chief complaints from LEP clinical populations, incorporate native script support for Hindi and Bengali, and conduct prospective clinical validation in partnership with community health centers serving immigrant populations.</w:t>
      </w:r>
    </w:p>
    <w:p>
      <w:pPr>
        <w:pStyle w:val="Heading1"/>
        <w:jc w:val="left"/>
      </w:pPr>
      <w:r>
        <w:t>References</w:t>
      </w:r>
    </w:p>
    <w:p>
      <w:pPr>
        <w:pStyle w:val="ListParagraph"/>
        <w:spacing w:after="60"/>
      </w:pPr>
      <w:r>
        <w:rPr>
          <w:sz w:val="20"/>
        </w:rPr>
        <w:t>Abnar, S., &amp; Zuidema, W. (2020). Quantifying attention flow in transformers. arXiv:2005.00928.</w:t>
      </w:r>
    </w:p>
    <w:p>
      <w:pPr>
        <w:pStyle w:val="ListParagraph"/>
        <w:spacing w:after="60"/>
      </w:pPr>
      <w:r>
        <w:rPr>
          <w:sz w:val="20"/>
        </w:rPr>
        <w:t>Alsentzer, E., Murphy, J. R., Boag, W., Weng, W. H., Jin, D., Naumann, T., &amp; McDermott, M. B. A. (2019). Publicly available clinical BERT embeddings. arXiv:1904.03323.</w:t>
      </w:r>
    </w:p>
    <w:p>
      <w:pPr>
        <w:pStyle w:val="ListParagraph"/>
        <w:spacing w:after="60"/>
      </w:pPr>
      <w:r>
        <w:rPr>
          <w:sz w:val="20"/>
        </w:rPr>
        <w:t>Chen, I. Y., Pierson, E., Rose, S., Joshi, S., Ferryman, K., &amp; Ghassemi, M. (2021). Ethical machine learning in healthcare. Annual Review of Biomedical Data Science, 4, 123–144.</w:t>
      </w:r>
    </w:p>
    <w:p>
      <w:pPr>
        <w:pStyle w:val="ListParagraph"/>
        <w:spacing w:after="60"/>
      </w:pPr>
      <w:r>
        <w:rPr>
          <w:sz w:val="20"/>
        </w:rPr>
        <w:t>Conneau, A., Khandelwal, K., Goyal, N., Chaudhary, V., Wenzek, G., Guzmán, F., ... &amp; Stoyanov, V. (2020). Unsupervised cross-lingual representation learning at scale. Proceedings of ACL 2020, 8440–8451.</w:t>
      </w:r>
    </w:p>
    <w:p>
      <w:pPr>
        <w:pStyle w:val="ListParagraph"/>
        <w:spacing w:after="60"/>
      </w:pPr>
      <w:r>
        <w:rPr>
          <w:sz w:val="20"/>
        </w:rPr>
        <w:t>Devlin, J., Chang, M. W., Lee, K., &amp; Toutanova, K. (2019). BERT: Pre-training of deep bidirectional transformers for language understanding. Proceedings of NAACL 2019, 4171–4186.</w:t>
      </w:r>
    </w:p>
    <w:p>
      <w:pPr>
        <w:pStyle w:val="ListParagraph"/>
        <w:spacing w:after="60"/>
      </w:pPr>
      <w:r>
        <w:rPr>
          <w:sz w:val="20"/>
        </w:rPr>
        <w:t>Divi, C., Koss, R. G., Schmaltz, S. P., &amp; Loeb, J. M. (2007). Language proficiency and adverse events in US hospitals. International Journal for Quality in Health Care, 19(2), 60–67.</w:t>
      </w:r>
    </w:p>
    <w:p>
      <w:pPr>
        <w:pStyle w:val="ListParagraph"/>
        <w:spacing w:after="60"/>
      </w:pPr>
      <w:r>
        <w:rPr>
          <w:sz w:val="20"/>
        </w:rPr>
        <w:t>Feng, S. Y., Gangal, V., Wei, J., Chandar, S., Vosoughi, S., Mitamura, T., &amp; Hovy, E. (2021). A survey of data augmentation approaches for NLP. Findings of ACL 2021, 968–988.</w:t>
      </w:r>
    </w:p>
    <w:p>
      <w:pPr>
        <w:pStyle w:val="ListParagraph"/>
        <w:spacing w:after="60"/>
      </w:pPr>
      <w:r>
        <w:rPr>
          <w:sz w:val="20"/>
        </w:rPr>
        <w:t>Flores, G. (2006). Language barriers to health care in the United States. New England Journal of Medicine, 355(3), 229–231.</w:t>
      </w:r>
    </w:p>
    <w:p>
      <w:pPr>
        <w:pStyle w:val="ListParagraph"/>
        <w:spacing w:after="60"/>
      </w:pPr>
      <w:r>
        <w:rPr>
          <w:sz w:val="20"/>
        </w:rPr>
        <w:t>Hu, J., Ruder, S., Siddhant, A., Neubig, G., Firat, O., &amp; Johnson, M. (2020). XTREME: A massively multilingual multi-task benchmark. Proceedings of ICML 2020.</w:t>
      </w:r>
    </w:p>
    <w:p>
      <w:pPr>
        <w:pStyle w:val="ListParagraph"/>
        <w:spacing w:after="60"/>
      </w:pPr>
      <w:r>
        <w:rPr>
          <w:sz w:val="20"/>
        </w:rPr>
        <w:t>Jain, S., &amp; Wallace, B. C. (2019). Attention is not explanation. Proceedings of NAACL 2019, 3543–3556.</w:t>
      </w:r>
    </w:p>
    <w:p>
      <w:pPr>
        <w:pStyle w:val="ListParagraph"/>
        <w:spacing w:after="60"/>
      </w:pPr>
      <w:r>
        <w:rPr>
          <w:sz w:val="20"/>
        </w:rPr>
        <w:t>Johnson, A. E. W., Pollard, T. J., Shen, L., et al. (2016). MIMIC-III, a freely accessible critical care database. Scientific Data, 3, 160035.</w:t>
      </w:r>
    </w:p>
    <w:p>
      <w:pPr>
        <w:pStyle w:val="ListParagraph"/>
        <w:spacing w:after="60"/>
      </w:pPr>
      <w:r>
        <w:rPr>
          <w:sz w:val="20"/>
        </w:rPr>
        <w:t>Lee, J., Yoon, W., Kim, S., Kim, D., Kim, S., So, C. H., &amp; Kang, J. (2023). Biobert: a pre-trained biomedical language representation model for biomedical text mining. Bioinformatics, 36(4), 1234–1240.</w:t>
      </w:r>
    </w:p>
    <w:p>
      <w:pPr>
        <w:pStyle w:val="ListParagraph"/>
        <w:spacing w:after="60"/>
      </w:pPr>
      <w:r>
        <w:rPr>
          <w:sz w:val="20"/>
        </w:rPr>
        <w:t>Lundberg, S. M., &amp; Lee, S. I. (2017). A unified approach to interpreting model predictions. NeurIPS 30, 4765–4774.</w:t>
      </w:r>
    </w:p>
    <w:p>
      <w:pPr>
        <w:pStyle w:val="ListParagraph"/>
        <w:spacing w:after="60"/>
      </w:pPr>
      <w:r>
        <w:rPr>
          <w:sz w:val="20"/>
        </w:rPr>
        <w:t>Lundberg, S. M., Nair, B., Vavilala, M. S., et al. (2018). Explainable machine-learning predictions for the prevention of hypoxaemia during surgery. Nature Biomedical Engineering, 2(10), 749–760.</w:t>
      </w:r>
    </w:p>
    <w:p>
      <w:pPr>
        <w:pStyle w:val="ListParagraph"/>
        <w:spacing w:after="60"/>
      </w:pPr>
      <w:r>
        <w:rPr>
          <w:sz w:val="20"/>
        </w:rPr>
        <w:t>Meng, Y., Huang, J., Zhang, Y., &amp; Han, J. (2022). Generating training data with language models: Towards zero-shot language understanding. NeurIPS 2022.</w:t>
      </w:r>
    </w:p>
    <w:p>
      <w:pPr>
        <w:pStyle w:val="ListParagraph"/>
        <w:spacing w:after="60"/>
      </w:pPr>
      <w:r>
        <w:rPr>
          <w:sz w:val="20"/>
        </w:rPr>
        <w:t>Obermeyer, Z., Powers, B., Vogeli, C., &amp; Mullainathan, S. (2019). Dissecting racial bias in an algorithm used to manage the health of populations. Science, 366(6464), 447–453.</w:t>
      </w:r>
    </w:p>
    <w:p>
      <w:pPr>
        <w:pStyle w:val="ListParagraph"/>
        <w:spacing w:after="60"/>
      </w:pPr>
      <w:r>
        <w:rPr>
          <w:sz w:val="20"/>
        </w:rPr>
        <w:t>Pierse, C. (2021). transformers-interpret: A transformers explainability library. GitHub. https://github.com/cdpierse/transformers-interpret</w:t>
      </w:r>
    </w:p>
    <w:p>
      <w:pPr>
        <w:pStyle w:val="ListParagraph"/>
        <w:spacing w:after="60"/>
      </w:pPr>
      <w:r>
        <w:rPr>
          <w:sz w:val="20"/>
        </w:rPr>
        <w:t>Razzaki, S., Baker, A., Perov, Y., et al. (2019). A comparative study of artificial intelligence and human doctors for the purpose of triage and diagnosis. arXiv:1806.10700.</w:t>
      </w:r>
    </w:p>
    <w:p>
      <w:pPr>
        <w:pStyle w:val="ListParagraph"/>
        <w:spacing w:after="60"/>
      </w:pPr>
      <w:r>
        <w:rPr>
          <w:sz w:val="20"/>
        </w:rPr>
        <w:t>U.S. Census Bureau. (2023). American Community Survey 1-Year Estimates: Language Spoken at Home. U.S. Department of Commerce.</w:t>
      </w:r>
    </w:p>
    <w:p>
      <w:pPr>
        <w:pStyle w:val="ListParagraph"/>
        <w:spacing w:after="60"/>
      </w:pPr>
      <w:r>
        <w:rPr>
          <w:sz w:val="20"/>
        </w:rPr>
        <w:t>Wiegreffe, S., &amp; Pinter, Y. (2019). Attention is not not explanation. Proceedings of EMNLP-IJCNLP 2019, 11–20.</w:t>
      </w:r>
    </w:p>
    <w:p>
      <w:pPr>
        <w:pStyle w:val="ListParagraph"/>
        <w:spacing w:after="60"/>
      </w:pPr>
      <w:r>
        <w:rPr>
          <w:sz w:val="20"/>
        </w:rPr>
        <w:t>Wolf, T., Debut, L., Sanh, V., et al. (2020). Transformers: State-of-the-art natural language processing. Proceedings of EMNLP 2020: System Demonstrations, 38–45.</w:t>
      </w:r>
    </w:p>
    <w:p>
      <w:pPr>
        <w:pStyle w:val="ListParagraph"/>
        <w:spacing w:after="60"/>
      </w:pPr>
      <w:r>
        <w:rPr>
          <w:sz w:val="20"/>
        </w:rPr>
        <w:t>Zhang, H., Lu, A. X., Abdalla, M., McDermott, M., &amp; Ghassemi, M. (2022). Hurtful words: Quantifying biases in clinical contextual word embeddings. ACM CHIL 2022, 110–120.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