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MiST: A Multilingual Symptom Triage Framework for Immigrant Populations Using XLM-RoBERTa and Cross-Lingual Explainability</w:t>
      </w:r>
    </w:p>
    <w:p/>
    <w:p>
      <w:pPr>
        <w:jc w:val="center"/>
      </w:pPr>
      <w:r>
        <w:rPr>
          <w:b/>
        </w:rPr>
        <w:t>Azizur Rahman</w:t>
      </w:r>
    </w:p>
    <w:p>
      <w:pPr>
        <w:jc w:val="center"/>
      </w:pPr>
      <w:r>
        <w:rPr>
          <w:i/>
          <w:sz w:val="20"/>
        </w:rPr>
        <w:t>Department of Computer Science, Indiana Wesleyan University, Marion, IN, USA</w:t>
        <w:br/>
        <w:t>RadTH Technologies, New York, NY, USA</w:t>
        <w:br/>
        <w:t>azizurusa22@gmail.com</w:t>
      </w:r>
    </w:p>
    <w:p/>
    <w:p>
      <w:pPr>
        <w:pStyle w:val="Heading1"/>
        <w:jc w:val="left"/>
      </w:pPr>
      <w:r>
        <w:t>Abstract</w:t>
      </w:r>
    </w:p>
    <w:p>
      <w:pPr>
        <w:spacing w:after="120" w:before="0"/>
        <w:jc w:val="both"/>
      </w:pPr>
      <w:r>
        <w:rPr>
          <w:b w:val="0"/>
          <w:i w:val="0"/>
          <w:sz w:val="22"/>
        </w:rPr>
        <w:t>Language barriers in healthcare represent a critical and underaddressed equity crisis. Approximately 25 million individuals in the United States have limited English proficiency (LEP), and studies consistently document that these patients face higher rates of misdiagnosis, delayed treatment, and serious adverse outcomes stemming from the inability to accurately communicate symptoms to clinicians. Existing clinical natural language processing (NLP) systems are developed almost exclusively for English, failing the large and medically underserved immigrant population that describes symptoms in Spanish, Hindi, Bengali, Urdu, and dozens of other languages.</w:t>
      </w:r>
    </w:p>
    <w:p>
      <w:pPr>
        <w:spacing w:after="120" w:before="0"/>
        <w:jc w:val="both"/>
      </w:pPr>
      <w:r>
        <w:rPr>
          <w:b w:val="0"/>
          <w:i w:val="0"/>
          <w:sz w:val="22"/>
        </w:rPr>
        <w:t>We present MiST (Multilingual Symptom Triage), a cross-lingual framework for automated symptom urgency classification across four languages: English, Spanish, Hindi, and Bengali. We construct the MiST-12K dataset comprising 12,000 clinically validated symptom descriptions—1,000 per urgency class per language—balanced across three urgency tiers: Emergency, Urgent, and Routine. A key methodological contribution is our two-tier dataset design: 70% of each class consists of prototypical clinical presentations, while the remaining 30% are deliberately difficult instances including atypical presentations (e.g., patients minimizing genuine emergencies), negation-in-context cases (e.g., Emergency vocabulary appearing in clearly benign Routine descriptions), and borderline urgency cases that resist simple keyword classification. This design prevents models from exploiting keyword shortcuts and ensures evaluations measure genuine cross-lingual clinical understanding. Dataset splits are performed at the base-sentence level prior to prefix augmentation—a critical methodological discipline that prevents data leakage—yielding 50,400 augmented training samples, 1,800 validation samples, and 1,800 test samples.</w:t>
      </w:r>
    </w:p>
    <w:p>
      <w:pPr>
        <w:spacing w:after="120" w:before="0"/>
        <w:jc w:val="both"/>
      </w:pPr>
      <w:r>
        <w:rPr>
          <w:b w:val="0"/>
          <w:i w:val="0"/>
          <w:sz w:val="22"/>
        </w:rPr>
        <w:t>XLM-RoBERTa-base is fine-tuned using a two-stage strategy (3-epoch head warm-up followed by 8-epoch full fine-tuning) and benchmarked against multilingual BERT (mBERT). We introduce the Cross-Lingual Triage Equity Index (CTEI) to quantify performance fairness across language groups and provide SHAP token-level attribution for clinical explainability across all four languages. XLM-RoBERTa achieves macro-averaged F1 of 0.908 across all four languages, outperforming mBERT (0.832) by 7.6 percentage points, with CTEI of 0.979 indicating near-perfect cross-lingual equity. Emergency-tier recall exceeds 0.94 across all languages and surpasses 0.95 for English and Spanish. Zero-shot transfer to Urdu achieves macro-F1 of 0.814. Cross-lingual SHAP alignment (Pearson r = 0.801–0.869) confirms that the model attends to clinically meaningful features across languages rather than surface lexical shortcuts.</w:t>
      </w:r>
    </w:p>
    <w:p>
      <w:pPr>
        <w:spacing w:after="120" w:before="0"/>
        <w:jc w:val="both"/>
      </w:pPr>
      <w:r>
        <w:rPr>
          <w:b w:val="0"/>
          <w:i/>
          <w:sz w:val="22"/>
        </w:rPr>
        <w:t>Keywords: multilingual NLP, symptom triage, immigrant health equity, XLM-RoBERTa, clinical NLP, SHAP explainability, cross-lingual transfer, limited English proficiency, hard negative mining, CTEI</w:t>
      </w:r>
    </w:p>
    <w:p>
      <w:r>
        <w:br w:type="page"/>
      </w:r>
    </w:p>
    <w:p>
      <w:pPr>
        <w:pStyle w:val="Heading1"/>
        <w:jc w:val="left"/>
      </w:pPr>
      <w:r>
        <w:t>1. Introduction</w:t>
      </w:r>
    </w:p>
    <w:p>
      <w:pPr>
        <w:spacing w:after="120" w:before="0"/>
        <w:jc w:val="both"/>
      </w:pPr>
      <w:r>
        <w:rPr>
          <w:b w:val="0"/>
          <w:i w:val="0"/>
          <w:sz w:val="22"/>
        </w:rPr>
        <w:t>The United States is home to over 47 million immigrants, approximately 14.3% of the total population, of whom 25.9 million are classified as having limited English proficiency (LEP)—defined by the U.S. Census Bureau as speaking English less than 'very well.' These individuals, drawn predominantly from Latin America, South Asia, Southeast Asia, and East Africa, are concentrated in large metropolitan areas but increasingly present in suburban and rural communities where professional interpreter services are scarce or unavailable. The consequences of language barriers in healthcare are well-documented and severe: LEP patients experience significantly higher rates of adverse clinical events, medication errors, delayed diagnoses, and lower patient satisfaction compared to English-proficient counterparts (Divi et al., 2007; Flores, 2006). The COVID-19 pandemic provided a stark reminder of these inequities, as immigrant communities with limited English proficiency faced disproportionate morbidity and mortality attributable in part to language-mediated barriers to symptom recognition and timely care-seeking.</w:t>
      </w:r>
    </w:p>
    <w:p>
      <w:pPr>
        <w:spacing w:after="120" w:before="0"/>
        <w:jc w:val="both"/>
      </w:pPr>
      <w:r>
        <w:rPr>
          <w:b w:val="0"/>
          <w:i w:val="0"/>
          <w:sz w:val="22"/>
        </w:rPr>
        <w:t>Central to this problem is the chief complaint—the brief verbal or written description of the patient's primary symptom that drives triage decisions in emergency departments and urgent care settings. When a patient cannot articulate their chief complaint in English, the triaging clinician must assign urgency levels with fundamentally incomplete information. The consequences are asymmetric: under-triage of a genuine emergency (a Bengali-speaking patient with atypical myocardial infarction who says 'mild chest pressure' rather than 'severe chest pain') can be fatal, while over-triage wastes limited emergency resources. An automated multilingual triage support system that accepts symptom descriptions in the patient's native language and classifies urgency for clinical review could dramatically reduce this gap.</w:t>
      </w:r>
    </w:p>
    <w:p>
      <w:pPr>
        <w:spacing w:after="120" w:before="0"/>
        <w:jc w:val="both"/>
      </w:pPr>
      <w:r>
        <w:rPr>
          <w:b w:val="0"/>
          <w:i w:val="0"/>
          <w:sz w:val="22"/>
        </w:rPr>
        <w:t>Clinical NLP has achieved impressive results in English—BERT-based models now approach clinician-level performance on English symptom classification, diagnostic coding, and clinical note summarization. Multilingual pre-trained models, most notably XLM-RoBERTa (Conneau et al., 2020) and mBERT (Devlin et al., 2019), extend this capability to hundreds of languages without task-specific pre-training in each. However, systematic application of these models to multilingual clinical symptom triage—particularly for South Asian languages like Hindi and Bengali—has not been rigorously studied, and no prior work has reported on cross-lingual fairness in clinical triage classification using a purpose-built multilingual benchmark.</w:t>
      </w:r>
    </w:p>
    <w:p>
      <w:pPr>
        <w:spacing w:after="120" w:before="0"/>
        <w:jc w:val="both"/>
      </w:pPr>
      <w:r>
        <w:rPr>
          <w:b w:val="0"/>
          <w:i w:val="0"/>
          <w:sz w:val="22"/>
        </w:rPr>
        <w:t>This paper makes five contributions. First, we construct and release MiST-12K: 12,000 clinically validated symptom descriptions across English, Spanish, Hindi, and Bengali, perfectly balanced at 1,000 instances per urgency class per language, using a template-based generation pipeline with clinical subject matter expert validation. Second, we introduce a two-tier difficulty design—70% prototypical plus 30% deliberately hard examples—that forces models to learn clinically meaningful patterns rather than keyword shortcuts, yielding more credible and generalizable performance estimates. Third, we enforce split-before-augmentation as a methodological discipline and demonstrate empirically that violating this constraint produces severely inflated evaluation metrics (val F1 approaching 1.0). Fourth, we introduce CTEI (Cross-Lingual Triage Equity Index), a fairness metric for quantifying cross-lingual performance parity in clinical AI systems. Fifth, we provide SHAP-based cross-lingual explanation alignment analysis, demonstrating that XLM-RoBERTa's triage decisions are grounded in clinically coherent features across all four languages.</w:t>
      </w:r>
    </w:p>
    <w:p>
      <w:pPr>
        <w:spacing w:after="120" w:before="0"/>
        <w:jc w:val="both"/>
      </w:pPr>
      <w:r>
        <w:rPr>
          <w:b w:val="0"/>
          <w:i w:val="0"/>
          <w:sz w:val="22"/>
        </w:rPr>
        <w:t>The MiST framework is designed for integration into symptiZ, a multilingual health navigation application targeting LEP immigrant communities in the United States, with the goal of reducing preventable emergency delays and improving early recognition of high-acuity presentations among patients who cannot describe symptoms in English.</w:t>
      </w:r>
    </w:p>
    <w:p>
      <w:pPr>
        <w:pStyle w:val="Heading1"/>
        <w:jc w:val="left"/>
      </w:pPr>
      <w:r>
        <w:t>2. Related Work</w:t>
      </w:r>
    </w:p>
    <w:p>
      <w:pPr>
        <w:pStyle w:val="Heading2"/>
        <w:jc w:val="left"/>
      </w:pPr>
      <w:r>
        <w:t>2.1 Multilingual Pre-trained Language Models</w:t>
      </w:r>
    </w:p>
    <w:p>
      <w:pPr>
        <w:spacing w:after="120" w:before="0"/>
        <w:jc w:val="both"/>
      </w:pPr>
      <w:r>
        <w:rPr>
          <w:b w:val="0"/>
          <w:i w:val="0"/>
          <w:sz w:val="22"/>
        </w:rPr>
        <w:t>The development of multilingual transformers has fundamentally expanded the scope of cross-lingual NLP. mBERT (Devlin et al., 2019) demonstrated surprising zero-shot cross-lingual transfer across 104 languages pre-trained on Wikipedia, achieving competitive performance on named entity recognition and natural language inference without language-specific fine-tuning. XLM-RoBERTa (Conneau et al., 2020) improved upon mBERT substantially by training on 2.5 TB of filtered CommonCrawl text across 100 languages using an optimized RoBERTa training regimen, achieving state-of-the-art results on the XTREME multilingual benchmark. Hu et al. (2020) found XLM-RoBERTa superior to mBERT on all 40 XTREME tasks, with particularly strong gains on low-resource languages including Urdu, Tamil, and Swahili, motivating our selection of XLM-RoBERTa as the primary model.</w:t>
      </w:r>
    </w:p>
    <w:p>
      <w:pPr>
        <w:pStyle w:val="Heading2"/>
        <w:jc w:val="left"/>
      </w:pPr>
      <w:r>
        <w:t>2.2 Clinical NLP and Symptom Triage</w:t>
      </w:r>
    </w:p>
    <w:p>
      <w:pPr>
        <w:spacing w:after="120" w:before="0"/>
        <w:jc w:val="both"/>
      </w:pPr>
      <w:r>
        <w:rPr>
          <w:b w:val="0"/>
          <w:i w:val="0"/>
          <w:sz w:val="22"/>
        </w:rPr>
        <w:t>Clinical NLP has advanced substantially in English. ClinicalBERT (Alsentzer et al., 2019) and BioBERT (Lee et al., 2020) showed that domain-specific continued pre-training on clinical notes and biomedical literature improves performance on named entity recognition, relation extraction, and clinical event detection. Symptom-based urgency classification using chief complaint text has been demonstrated using electronic health record data (Levin et al., 2018; Zheng et al., 2021), but these systems are English-only and rely on real patient data with privacy constraints that limit reproducibility. Conversational AI-based symptom checkers (Razzaki et al., 2019; Nateqi et al., 2020) have explored multilingual interfaces, but none have formally evaluated cross-lingual urgency triage accuracy on South Asian languages or quantified fairness across language groups. To our knowledge, MiST is the first work to benchmark multilingual symptom triage across English, Spanish, Hindi, and Bengali with a balanced benchmark, formal fairness evaluation, and per-language explainability analysis.</w:t>
      </w:r>
    </w:p>
    <w:p>
      <w:pPr>
        <w:pStyle w:val="Heading2"/>
        <w:jc w:val="left"/>
      </w:pPr>
      <w:r>
        <w:t>2.3 Synthetic Dataset Construction for Clinical NLP</w:t>
      </w:r>
    </w:p>
    <w:p>
      <w:pPr>
        <w:spacing w:after="120" w:before="0"/>
        <w:jc w:val="both"/>
      </w:pPr>
      <w:r>
        <w:rPr>
          <w:b w:val="0"/>
          <w:i w:val="0"/>
          <w:sz w:val="22"/>
        </w:rPr>
        <w:t>Scarcity of annotated multilingual clinical data motivates synthetic generation. Template-based approaches (Feng et al., 2021) offer precise vocabulary and label control while eliminating patient privacy concerns, making them suitable for multilingual clinical benchmarks where real annotated data in low-resource languages is unavailable. A critical but frequently overlooked methodological requirement is to perform train/test splits at the base instance level before augmentation—failure to do so allows augmented variants of a training instance to appear in the test set, producing near-perfect evaluation metrics that reflect memorization rather than generalization (as confirmed in our ablation). Beyond leakage prevention, the design of hard instances—ambiguous, atypical, and negation-containing examples—is essential for benchmark quality. Models trained exclusively on prototypical examples learn simple keyword classifiers (e.g., 'severe' → Emergency, 'mild' → Routine) that will fail on real patient descriptions where severity language is inconsistent (Meng et al., 2022). Our two-tier dataset design explicitly addresses this gap.</w:t>
      </w:r>
    </w:p>
    <w:p>
      <w:pPr>
        <w:pStyle w:val="Heading2"/>
        <w:jc w:val="left"/>
      </w:pPr>
      <w:r>
        <w:t>2.4 Fairness and Equity in Clinical AI</w:t>
      </w:r>
    </w:p>
    <w:p>
      <w:pPr>
        <w:spacing w:after="120" w:before="0"/>
        <w:jc w:val="both"/>
      </w:pPr>
      <w:r>
        <w:rPr>
          <w:b w:val="0"/>
          <w:i w:val="0"/>
          <w:sz w:val="22"/>
        </w:rPr>
        <w:t>Algorithmic fairness in clinical AI has received growing attention following demonstrations of demographic bias in healthcare risk models (Obermeyer et al., 2019). The majority of fairness interventions address racial and gender disparities (Chen et al., 2021), with language-group equity receiving comparatively little attention despite its direct relevance to LEP populations. A triage model that achieves F1=0.95 on English but F1=0.78 on Bengali does not merely 'underperform'—it systematically under-triages Bengali-speaking patients, potentially missing life-threatening emergencies. Existing multilingual NLP fairness metrics (performance gap across languages) do not map to clinical consequences. CTEI provides a clinically grounded summary statistic for cross-lingual equity with an explicit deployment threshold, filling this gap.</w:t>
      </w:r>
    </w:p>
    <w:p>
      <w:pPr>
        <w:pStyle w:val="Heading2"/>
        <w:jc w:val="left"/>
      </w:pPr>
      <w:r>
        <w:t>2.5 Explainability in Clinical NLP</w:t>
      </w:r>
    </w:p>
    <w:p>
      <w:pPr>
        <w:spacing w:after="120" w:before="0"/>
        <w:jc w:val="both"/>
      </w:pPr>
      <w:r>
        <w:rPr>
          <w:b w:val="0"/>
          <w:i w:val="0"/>
          <w:sz w:val="22"/>
        </w:rPr>
        <w:t>SHAP (Shapley Additive exPlanations; Lundberg and Lee, 2017) provides model-agnostic token-level attribution with theoretical grounding in cooperative game theory and has been applied to transformer classifiers via the transformers-interpret library (Pierse, 2021). Cross-lingual explanation consistency—whether semantically equivalent tokens across languages receive similar attribution magnitudes—has not been systematically evaluated in clinical NLP. We quantify this alignment using Pearson correlation between SHAP scores for semantically equivalent symptom terms across all four language pairs, providing empirical evidence for or against consistent clinical reasoning across languages.</w:t>
      </w:r>
    </w:p>
    <w:p>
      <w:pPr>
        <w:pStyle w:val="Heading1"/>
        <w:jc w:val="left"/>
      </w:pPr>
      <w:r>
        <w:t>3. Dataset Construction</w:t>
      </w:r>
    </w:p>
    <w:p>
      <w:pPr>
        <w:pStyle w:val="Heading2"/>
        <w:jc w:val="left"/>
      </w:pPr>
      <w:r>
        <w:t>3.1 Overview and Design Principles</w:t>
      </w:r>
    </w:p>
    <w:p>
      <w:pPr>
        <w:spacing w:after="120" w:before="0"/>
        <w:jc w:val="both"/>
      </w:pPr>
      <w:r>
        <w:rPr>
          <w:b w:val="0"/>
          <w:i w:val="0"/>
          <w:sz w:val="22"/>
        </w:rPr>
        <w:t>MiST-12K comprises 12,000 symptom descriptions distributed across four languages (English, Spanish, Hindi, Bengali) and three urgency tiers (Emergency, Urgent, Routine), with exactly 1,000 instances per language-class combination. The dataset is constructed according to four principles: (1) Perfect balance: equal representation across all language-class cells eliminates imbalance as a confounding factor in cross-lingual evaluation. (2) Two-tier difficulty: each cell contains 700 prototypical instances and 300 hard instances, described in detail in Section 3.3. (3) Clinical validity: all instances are grounded in clinical template structures validated by healthcare professionals and consistent with ESI urgency tier criteria. (4) Leakage prevention: train/validation/test splits are performed at the base-sentence level before any augmentation, ensuring that no augmented variant of a base training sentence appears in the validation or test sets.</w:t>
      </w:r>
    </w:p>
    <w:p>
      <w:pPr>
        <w:pStyle w:val="Heading2"/>
        <w:jc w:val="left"/>
      </w:pPr>
      <w:r>
        <w:t>3.2 Urgency Tier Definitions</w:t>
      </w:r>
    </w:p>
    <w:p>
      <w:pPr>
        <w:spacing w:after="120" w:before="0"/>
        <w:jc w:val="both"/>
      </w:pPr>
      <w:r>
        <w:rPr>
          <w:b w:val="0"/>
          <w:i w:val="0"/>
          <w:sz w:val="22"/>
        </w:rPr>
        <w:t>Urgency tiers follow the Emergency Severity Index (ESI) used in U.S. emergency departments. Emergency (label 2) covers immediately life-threatening presentations: acute coronary syndrome, stroke, severe anaphylaxis, respiratory failure, uncontrolled hemorrhage, status epilepticus, and diabetic emergencies. Urgent (label 1) covers serious but non-immediately-life-threatening conditions requiring evaluation within 2–4 hours: high fever with focal infection, suspected fractures, persistent vomiting with dehydration risk, renal colic, hypertensive urgency, and moderate abdominal pain. Routine (label 0) covers conditions appropriate for same-day or next-day primary care: mild upper respiratory symptoms, minor dermatological complaints, tension headache, mild musculoskeletal pain, and stable chronic disease follow-up.</w:t>
      </w:r>
    </w:p>
    <w:p>
      <w:pPr>
        <w:pStyle w:val="Heading2"/>
        <w:jc w:val="left"/>
      </w:pPr>
      <w:r>
        <w:t>3.3 Two-Tier Difficulty Design</w:t>
      </w:r>
    </w:p>
    <w:p>
      <w:pPr>
        <w:spacing w:after="120" w:before="0"/>
        <w:jc w:val="both"/>
      </w:pPr>
      <w:r>
        <w:rPr>
          <w:b w:val="0"/>
          <w:i w:val="0"/>
          <w:sz w:val="22"/>
        </w:rPr>
        <w:t>A key contribution of MiST-12K is the explicit inclusion of hard instances designed to prevent keyword shortcut learning. We identified three failure modes through pilot experiments: (1) severity keyword exploitation—models classify 'severe/crushing/acute' as Emergency and 'mild/resolving/no fever' as Routine regardless of clinical context; (2) domain-keyword exploitation—models associate specific symptom nouns (chest, stroke, consciousness) with Emergency independent of surrounding context; (3) negation blindness—models fail to recognize that 'no chest pain, just mild fatigue' is Routine despite the presence of the word 'chest pain.'</w:t>
      </w:r>
    </w:p>
    <w:p>
      <w:pPr>
        <w:spacing w:after="120" w:before="0"/>
        <w:jc w:val="both"/>
      </w:pPr>
      <w:r>
        <w:rPr>
          <w:b w:val="0"/>
          <w:i w:val="0"/>
          <w:sz w:val="22"/>
        </w:rPr>
        <w:t>The 300 hard instances per class per language address these failure modes directly. Emergency hard instances include atypical presentations where the patient minimizes or underreports a genuine emergency (e.g., an elderly diabetic describing a silent MI as 'mild chest pressure rated 3/10' while simultaneously diaphoretic and hypotensive), and presentations where emergency-tier severity becomes apparent only through context rather than severity keywords (e.g., 'sudden extreme fatigue while watching television—speech became slurred'). Urgent hard instances use high-severity language (e.g., 'severe dental pain rated 9/10 with facial swelling') for conditions that are serious but not immediately life-threatening, testing whether the model has learned urgency tiers clinically rather than lexically. Routine hard instances include Emergency vocabulary in clearly benign contexts: patients with resolved prior emergencies presenting for routine follow-up (e.g., 'history of stroke three years ago, fully recovered, here for medication refill'), musculoskeletal chest pain explicitly distinguished from cardiac (e.g., 'chest wall tenderness reproducible on palpation, vital signs normal'), and mild shortness of breath with fully reassuring objective findings.</w:t>
      </w:r>
    </w:p>
    <w:p>
      <w:pPr>
        <w:pStyle w:val="Heading2"/>
        <w:jc w:val="left"/>
      </w:pPr>
      <w:r>
        <w:t>3.4 Template Generation Pipeline</w:t>
      </w:r>
    </w:p>
    <w:p>
      <w:pPr>
        <w:spacing w:after="120" w:before="0"/>
        <w:jc w:val="both"/>
      </w:pPr>
      <w:r>
        <w:rPr>
          <w:b w:val="0"/>
          <w:i w:val="0"/>
          <w:sz w:val="22"/>
        </w:rPr>
        <w:t>Dataset construction proceeds through three stages. Stage 1 (template design): clinical subject matter experts designed 15–20 prototypical and 5 hard templates per urgency class per language, covering eight clinical categories (cardiac, neurological, respiratory, gastrointestinal, musculoskeletal, dermatological, genitourinary, pediatric). Each template contains 3–5 variable slots populated from curated medical vocabulary lists. Hard templates were specifically designed to overlap vocabulary with adjacent urgency tiers. Stage 2 (generation): for each class, the generator samples slot values to produce 700 unique easy instances and 300 unique hard instances. A duplicate-detection mechanism prevents repetition. All generation uses seed 42 for reproducibility. Stage 3 (validation): two independent clinical annotators reviewed a stratified 10% sample (n=1,200) for urgency tier accuracy (Cohen's κ=0.863), with disagreements adjudicated by a third reviewer.</w:t>
      </w:r>
    </w:p>
    <w:p>
      <w:pPr>
        <w:spacing w:after="120" w:before="0"/>
        <w:jc w:val="both"/>
      </w:pPr>
      <w:r>
        <w:rPr>
          <w:b w:val="0"/>
          <w:i w:val="0"/>
          <w:sz w:val="22"/>
        </w:rPr>
        <w:t>Hindi and Bengali use Romanized transliteration (Latin script) to maximize accessibility for diaspora populations in the United States who primarily type in Latin script on mobile devices. Urdu is withheld from all training and validation as a zero-shot evaluation language (n=10 held-out instances).</w:t>
      </w:r>
    </w:p>
    <w:p>
      <w:pPr>
        <w:pStyle w:val="Heading2"/>
        <w:jc w:val="left"/>
      </w:pPr>
      <w:r>
        <w:t>3.5 Data Splitting and Augmentation</w:t>
      </w:r>
    </w:p>
    <w:p>
      <w:pPr>
        <w:spacing w:after="120" w:before="0"/>
        <w:jc w:val="both"/>
      </w:pPr>
      <w:r>
        <w:rPr>
          <w:b w:val="0"/>
          <w:i w:val="0"/>
          <w:sz w:val="22"/>
        </w:rPr>
        <w:t>The 12,000 base instances are split into train (70%), validation (15%), and test (15%) sets using stratified sampling by language-class combination, yielding 8,400 base train, 1,800 base validation, and 1,800 base test instances. Augmentation is applied exclusively to the training partition: each of the 8,400 training instances is augmented with five additional prefix variants drawn from 14 clinical chief-complaint phrasings ('Patient reports:', 'Chief complaint:', 'Presenting with:', etc.), yielding 50,400 augmented training samples. Validation and test sets retain only original base sentences. This split-before-augment discipline ensures that no prefix-augmented variant of a base test sentence appears in training, preventing the near-perfect validation scores (F1 ≈ 1.000) that arise from the common but incorrect practice of augmenting before splitting.</w:t>
      </w:r>
    </w:p>
    <w:p>
      <w:pPr>
        <w:pStyle w:val="Heading2"/>
        <w:jc w:val="left"/>
      </w:pPr>
      <w:r>
        <w:t>Table 1. MiST-12K Dataset Statistics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
              <w:rPr>
                <w:b/>
                <w:sz w:val="20"/>
              </w:rPr>
              <w:t>Language</w:t>
            </w:r>
          </w:p>
        </w:tc>
        <w:tc>
          <w:tcPr>
            <w:tcW w:type="dxa" w:w="1234"/>
          </w:tcPr>
          <w:p>
            <w:r/>
            <w:r>
              <w:rPr>
                <w:b/>
                <w:sz w:val="20"/>
              </w:rPr>
              <w:t>Emerg.</w:t>
            </w:r>
          </w:p>
        </w:tc>
        <w:tc>
          <w:tcPr>
            <w:tcW w:type="dxa" w:w="1234"/>
          </w:tcPr>
          <w:p>
            <w:r/>
            <w:r>
              <w:rPr>
                <w:b/>
                <w:sz w:val="20"/>
              </w:rPr>
              <w:t>Urgent</w:t>
            </w:r>
          </w:p>
        </w:tc>
        <w:tc>
          <w:tcPr>
            <w:tcW w:type="dxa" w:w="1234"/>
          </w:tcPr>
          <w:p>
            <w:r/>
            <w:r>
              <w:rPr>
                <w:b/>
                <w:sz w:val="20"/>
              </w:rPr>
              <w:t>Routine</w:t>
            </w:r>
          </w:p>
        </w:tc>
        <w:tc>
          <w:tcPr>
            <w:tcW w:type="dxa" w:w="1234"/>
          </w:tcPr>
          <w:p>
            <w:r/>
            <w:r>
              <w:rPr>
                <w:b/>
                <w:sz w:val="20"/>
              </w:rPr>
              <w:t>Total</w:t>
            </w:r>
          </w:p>
        </w:tc>
        <w:tc>
          <w:tcPr>
            <w:tcW w:type="dxa" w:w="1234"/>
          </w:tcPr>
          <w:p>
            <w:r/>
            <w:r>
              <w:rPr>
                <w:b/>
                <w:sz w:val="20"/>
              </w:rPr>
              <w:t>Easy/Hard split</w:t>
            </w:r>
          </w:p>
        </w:tc>
        <w:tc>
          <w:tcPr>
            <w:tcW w:type="dxa" w:w="1234"/>
          </w:tcPr>
          <w:p>
            <w:r/>
            <w:r>
              <w:rPr>
                <w:b/>
                <w:sz w:val="20"/>
              </w:rPr>
              <w:t>Train (aug.)</w:t>
            </w:r>
          </w:p>
        </w:tc>
      </w:tr>
      <w:tr>
        <w:tc>
          <w:tcPr>
            <w:tcW w:type="dxa" w:w="1234"/>
          </w:tcPr>
          <w:p>
            <w:r/>
            <w:r>
              <w:rPr>
                <w:b w:val="0"/>
                <w:sz w:val="20"/>
              </w:rPr>
              <w:t>English</w:t>
            </w:r>
          </w:p>
        </w:tc>
        <w:tc>
          <w:tcPr>
            <w:tcW w:type="dxa" w:w="1234"/>
          </w:tcPr>
          <w:p>
            <w:r/>
            <w:r>
              <w:rPr>
                <w:b w:val="0"/>
                <w:sz w:val="20"/>
              </w:rPr>
              <w:t>1,000</w:t>
            </w:r>
          </w:p>
        </w:tc>
        <w:tc>
          <w:tcPr>
            <w:tcW w:type="dxa" w:w="1234"/>
          </w:tcPr>
          <w:p>
            <w:r/>
            <w:r>
              <w:rPr>
                <w:b w:val="0"/>
                <w:sz w:val="20"/>
              </w:rPr>
              <w:t>1,000</w:t>
            </w:r>
          </w:p>
        </w:tc>
        <w:tc>
          <w:tcPr>
            <w:tcW w:type="dxa" w:w="1234"/>
          </w:tcPr>
          <w:p>
            <w:r/>
            <w:r>
              <w:rPr>
                <w:b w:val="0"/>
                <w:sz w:val="20"/>
              </w:rPr>
              <w:t>1,000</w:t>
            </w:r>
          </w:p>
        </w:tc>
        <w:tc>
          <w:tcPr>
            <w:tcW w:type="dxa" w:w="1234"/>
          </w:tcPr>
          <w:p>
            <w:r/>
            <w:r>
              <w:rPr>
                <w:b w:val="0"/>
                <w:sz w:val="20"/>
              </w:rPr>
              <w:t>3,000</w:t>
            </w:r>
          </w:p>
        </w:tc>
        <w:tc>
          <w:tcPr>
            <w:tcW w:type="dxa" w:w="1234"/>
          </w:tcPr>
          <w:p>
            <w:r/>
            <w:r>
              <w:rPr>
                <w:b w:val="0"/>
                <w:sz w:val="20"/>
              </w:rPr>
              <w:t>700/300 per class</w:t>
            </w:r>
          </w:p>
        </w:tc>
        <w:tc>
          <w:tcPr>
            <w:tcW w:type="dxa" w:w="1234"/>
          </w:tcPr>
          <w:p>
            <w:r/>
            <w:r>
              <w:rPr>
                <w:b w:val="0"/>
                <w:sz w:val="20"/>
              </w:rPr>
              <w:t>12,600</w:t>
            </w:r>
          </w:p>
        </w:tc>
      </w:tr>
      <w:tr>
        <w:tc>
          <w:tcPr>
            <w:tcW w:type="dxa" w:w="1234"/>
          </w:tcPr>
          <w:p>
            <w:r/>
            <w:r>
              <w:rPr>
                <w:b w:val="0"/>
                <w:sz w:val="20"/>
              </w:rPr>
              <w:t>Spanish</w:t>
            </w:r>
          </w:p>
        </w:tc>
        <w:tc>
          <w:tcPr>
            <w:tcW w:type="dxa" w:w="1234"/>
          </w:tcPr>
          <w:p>
            <w:r/>
            <w:r>
              <w:rPr>
                <w:b w:val="0"/>
                <w:sz w:val="20"/>
              </w:rPr>
              <w:t>1,000</w:t>
            </w:r>
          </w:p>
        </w:tc>
        <w:tc>
          <w:tcPr>
            <w:tcW w:type="dxa" w:w="1234"/>
          </w:tcPr>
          <w:p>
            <w:r/>
            <w:r>
              <w:rPr>
                <w:b w:val="0"/>
                <w:sz w:val="20"/>
              </w:rPr>
              <w:t>1,000</w:t>
            </w:r>
          </w:p>
        </w:tc>
        <w:tc>
          <w:tcPr>
            <w:tcW w:type="dxa" w:w="1234"/>
          </w:tcPr>
          <w:p>
            <w:r/>
            <w:r>
              <w:rPr>
                <w:b w:val="0"/>
                <w:sz w:val="20"/>
              </w:rPr>
              <w:t>1,000</w:t>
            </w:r>
          </w:p>
        </w:tc>
        <w:tc>
          <w:tcPr>
            <w:tcW w:type="dxa" w:w="1234"/>
          </w:tcPr>
          <w:p>
            <w:r/>
            <w:r>
              <w:rPr>
                <w:b w:val="0"/>
                <w:sz w:val="20"/>
              </w:rPr>
              <w:t>3,000</w:t>
            </w:r>
          </w:p>
        </w:tc>
        <w:tc>
          <w:tcPr>
            <w:tcW w:type="dxa" w:w="1234"/>
          </w:tcPr>
          <w:p>
            <w:r/>
            <w:r>
              <w:rPr>
                <w:b w:val="0"/>
                <w:sz w:val="20"/>
              </w:rPr>
              <w:t>700/300 per class</w:t>
            </w:r>
          </w:p>
        </w:tc>
        <w:tc>
          <w:tcPr>
            <w:tcW w:type="dxa" w:w="1234"/>
          </w:tcPr>
          <w:p>
            <w:r/>
            <w:r>
              <w:rPr>
                <w:b w:val="0"/>
                <w:sz w:val="20"/>
              </w:rPr>
              <w:t>12,600</w:t>
            </w:r>
          </w:p>
        </w:tc>
      </w:tr>
      <w:tr>
        <w:tc>
          <w:tcPr>
            <w:tcW w:type="dxa" w:w="1234"/>
          </w:tcPr>
          <w:p>
            <w:r/>
            <w:r>
              <w:rPr>
                <w:b w:val="0"/>
                <w:sz w:val="20"/>
              </w:rPr>
              <w:t>Hindi</w:t>
            </w:r>
          </w:p>
        </w:tc>
        <w:tc>
          <w:tcPr>
            <w:tcW w:type="dxa" w:w="1234"/>
          </w:tcPr>
          <w:p>
            <w:r/>
            <w:r>
              <w:rPr>
                <w:b w:val="0"/>
                <w:sz w:val="20"/>
              </w:rPr>
              <w:t>1,000</w:t>
            </w:r>
          </w:p>
        </w:tc>
        <w:tc>
          <w:tcPr>
            <w:tcW w:type="dxa" w:w="1234"/>
          </w:tcPr>
          <w:p>
            <w:r/>
            <w:r>
              <w:rPr>
                <w:b w:val="0"/>
                <w:sz w:val="20"/>
              </w:rPr>
              <w:t>1,000</w:t>
            </w:r>
          </w:p>
        </w:tc>
        <w:tc>
          <w:tcPr>
            <w:tcW w:type="dxa" w:w="1234"/>
          </w:tcPr>
          <w:p>
            <w:r/>
            <w:r>
              <w:rPr>
                <w:b w:val="0"/>
                <w:sz w:val="20"/>
              </w:rPr>
              <w:t>1,000</w:t>
            </w:r>
          </w:p>
        </w:tc>
        <w:tc>
          <w:tcPr>
            <w:tcW w:type="dxa" w:w="1234"/>
          </w:tcPr>
          <w:p>
            <w:r/>
            <w:r>
              <w:rPr>
                <w:b w:val="0"/>
                <w:sz w:val="20"/>
              </w:rPr>
              <w:t>3,000</w:t>
            </w:r>
          </w:p>
        </w:tc>
        <w:tc>
          <w:tcPr>
            <w:tcW w:type="dxa" w:w="1234"/>
          </w:tcPr>
          <w:p>
            <w:r/>
            <w:r>
              <w:rPr>
                <w:b w:val="0"/>
                <w:sz w:val="20"/>
              </w:rPr>
              <w:t>700/300 per class</w:t>
            </w:r>
          </w:p>
        </w:tc>
        <w:tc>
          <w:tcPr>
            <w:tcW w:type="dxa" w:w="1234"/>
          </w:tcPr>
          <w:p>
            <w:r/>
            <w:r>
              <w:rPr>
                <w:b w:val="0"/>
                <w:sz w:val="20"/>
              </w:rPr>
              <w:t>12,600</w:t>
            </w:r>
          </w:p>
        </w:tc>
      </w:tr>
      <w:tr>
        <w:tc>
          <w:tcPr>
            <w:tcW w:type="dxa" w:w="1234"/>
          </w:tcPr>
          <w:p>
            <w:r/>
            <w:r>
              <w:rPr>
                <w:b w:val="0"/>
                <w:sz w:val="20"/>
              </w:rPr>
              <w:t>Bengali</w:t>
            </w:r>
          </w:p>
        </w:tc>
        <w:tc>
          <w:tcPr>
            <w:tcW w:type="dxa" w:w="1234"/>
          </w:tcPr>
          <w:p>
            <w:r/>
            <w:r>
              <w:rPr>
                <w:b w:val="0"/>
                <w:sz w:val="20"/>
              </w:rPr>
              <w:t>1,000</w:t>
            </w:r>
          </w:p>
        </w:tc>
        <w:tc>
          <w:tcPr>
            <w:tcW w:type="dxa" w:w="1234"/>
          </w:tcPr>
          <w:p>
            <w:r/>
            <w:r>
              <w:rPr>
                <w:b w:val="0"/>
                <w:sz w:val="20"/>
              </w:rPr>
              <w:t>1,000</w:t>
            </w:r>
          </w:p>
        </w:tc>
        <w:tc>
          <w:tcPr>
            <w:tcW w:type="dxa" w:w="1234"/>
          </w:tcPr>
          <w:p>
            <w:r/>
            <w:r>
              <w:rPr>
                <w:b w:val="0"/>
                <w:sz w:val="20"/>
              </w:rPr>
              <w:t>1,000</w:t>
            </w:r>
          </w:p>
        </w:tc>
        <w:tc>
          <w:tcPr>
            <w:tcW w:type="dxa" w:w="1234"/>
          </w:tcPr>
          <w:p>
            <w:r/>
            <w:r>
              <w:rPr>
                <w:b w:val="0"/>
                <w:sz w:val="20"/>
              </w:rPr>
              <w:t>3,000</w:t>
            </w:r>
          </w:p>
        </w:tc>
        <w:tc>
          <w:tcPr>
            <w:tcW w:type="dxa" w:w="1234"/>
          </w:tcPr>
          <w:p>
            <w:r/>
            <w:r>
              <w:rPr>
                <w:b w:val="0"/>
                <w:sz w:val="20"/>
              </w:rPr>
              <w:t>700/300 per class</w:t>
            </w:r>
          </w:p>
        </w:tc>
        <w:tc>
          <w:tcPr>
            <w:tcW w:type="dxa" w:w="1234"/>
          </w:tcPr>
          <w:p>
            <w:r/>
            <w:r>
              <w:rPr>
                <w:b w:val="0"/>
                <w:sz w:val="20"/>
              </w:rPr>
              <w:t>12,600</w:t>
            </w:r>
          </w:p>
        </w:tc>
      </w:tr>
      <w:tr>
        <w:tc>
          <w:tcPr>
            <w:tcW w:type="dxa" w:w="1234"/>
          </w:tcPr>
          <w:p>
            <w:r/>
            <w:r>
              <w:rPr>
                <w:b/>
                <w:sz w:val="20"/>
              </w:rPr>
              <w:t>Total</w:t>
            </w:r>
          </w:p>
        </w:tc>
        <w:tc>
          <w:tcPr>
            <w:tcW w:type="dxa" w:w="1234"/>
          </w:tcPr>
          <w:p>
            <w:r/>
            <w:r>
              <w:rPr>
                <w:b/>
                <w:sz w:val="20"/>
              </w:rPr>
              <w:t>4,000</w:t>
            </w:r>
          </w:p>
        </w:tc>
        <w:tc>
          <w:tcPr>
            <w:tcW w:type="dxa" w:w="1234"/>
          </w:tcPr>
          <w:p>
            <w:r/>
            <w:r>
              <w:rPr>
                <w:b/>
                <w:sz w:val="20"/>
              </w:rPr>
              <w:t>4,000</w:t>
            </w:r>
          </w:p>
        </w:tc>
        <w:tc>
          <w:tcPr>
            <w:tcW w:type="dxa" w:w="1234"/>
          </w:tcPr>
          <w:p>
            <w:r/>
            <w:r>
              <w:rPr>
                <w:b/>
                <w:sz w:val="20"/>
              </w:rPr>
              <w:t>4,000</w:t>
            </w:r>
          </w:p>
        </w:tc>
        <w:tc>
          <w:tcPr>
            <w:tcW w:type="dxa" w:w="1234"/>
          </w:tcPr>
          <w:p>
            <w:r/>
            <w:r>
              <w:rPr>
                <w:b/>
                <w:sz w:val="20"/>
              </w:rPr>
              <w:t>12,000</w:t>
            </w:r>
          </w:p>
        </w:tc>
        <w:tc>
          <w:tcPr>
            <w:tcW w:type="dxa" w:w="1234"/>
          </w:tcPr>
          <w:p>
            <w:r/>
            <w:r>
              <w:rPr>
                <w:b/>
                <w:sz w:val="20"/>
              </w:rPr>
              <w:t>—</w:t>
            </w:r>
          </w:p>
        </w:tc>
        <w:tc>
          <w:tcPr>
            <w:tcW w:type="dxa" w:w="1234"/>
          </w:tcPr>
          <w:p>
            <w:r/>
            <w:r>
              <w:rPr>
                <w:b/>
                <w:sz w:val="20"/>
              </w:rPr>
              <w:t>50,400</w:t>
            </w:r>
          </w:p>
        </w:tc>
      </w:tr>
    </w:tbl>
    <w:p/>
    <w:p>
      <w:pPr>
        <w:spacing w:after="120" w:before="0"/>
        <w:jc w:val="both"/>
      </w:pPr>
      <w:r>
        <w:rPr>
          <w:b w:val="0"/>
          <w:i/>
          <w:sz w:val="22"/>
        </w:rPr>
        <w:t>Val: 1,800 base sentences | Test: 1,800 base sentences | Urdu zero-shot: 10 held-out sentences.</w:t>
      </w:r>
    </w:p>
    <w:p>
      <w:pPr>
        <w:pStyle w:val="Heading1"/>
        <w:jc w:val="left"/>
      </w:pPr>
      <w:r>
        <w:t>4. Methodology</w:t>
      </w:r>
    </w:p>
    <w:p>
      <w:pPr>
        <w:pStyle w:val="Heading2"/>
        <w:jc w:val="left"/>
      </w:pPr>
      <w:r>
        <w:t>4.1 Model Architecture</w:t>
      </w:r>
    </w:p>
    <w:p>
      <w:pPr>
        <w:spacing w:after="120" w:before="0"/>
        <w:jc w:val="both"/>
      </w:pPr>
      <w:r>
        <w:rPr>
          <w:b w:val="0"/>
          <w:i w:val="0"/>
          <w:sz w:val="22"/>
        </w:rPr>
        <w:t>Our primary model is XLM-RoBERTa-base (Conneau et al., 2020): a 12-layer transformer encoder with 768 hidden dimensions, 12 attention heads, and 278 million parameters, pre-trained on 2.5 TB of multilingual CommonCrawl text spanning 100 languages using masked language modeling. For sequence classification, we append a dropout layer (p=0.1) followed by a linear projection to 3 output logits (Routine=0, Urgent=1, Emergency=2) initialized with Xavier uniform weights. The baseline model is multilingual BERT (mBERT; bert-base-multilingual-cased), a 12-layer transformer with 178 million parameters pre-trained on 104 languages via Wikipedia masked language modeling. Each model uses its own vocabulary-matched tokenizer throughout training and evaluation: XLM-RoBERTa uses a SentencePiece tokenizer with 250,002-token vocabulary, mBERT uses a WordPiece tokenizer with 119,547 tokens. Using XLM-RoBERTa token IDs with mBERT's embedding table would produce out-of-range embedding lookups and is explicitly avoided by maintaining tokenizer–model pairing throughout the pipeline.</w:t>
      </w:r>
    </w:p>
    <w:p>
      <w:pPr>
        <w:pStyle w:val="Heading2"/>
        <w:jc w:val="left"/>
      </w:pPr>
      <w:r>
        <w:t>4.2 Two-Stage Fine-Tuning Strategy</w:t>
      </w:r>
    </w:p>
    <w:p>
      <w:pPr>
        <w:spacing w:after="120" w:before="0"/>
        <w:jc w:val="both"/>
      </w:pPr>
      <w:r>
        <w:rPr>
          <w:b w:val="0"/>
          <w:i w:val="0"/>
          <w:sz w:val="22"/>
        </w:rPr>
        <w:t>We employ a two-stage fine-tuning strategy to mitigate catastrophic forgetting of XLM-RoBERTa's multilingual representations during domain adaptation. Stage 1 (warm-up, 3 epochs, lr=5×10⁻⁴) freezes all 12 transformer encoder layers and trains only the 592,899-parameter classification head, allowing it to develop a stable initial mapping from [CLS] embeddings to urgency tiers before transformer weights are modified. Stage 2 (full fine-tuning, 8 epochs, lr=2×10⁻⁵ with linear decay) unfreezes all 278 million parameters with a 10% linear warmup schedule. Best model checkpoint is selected by macro-averaged F1 on the validation set. The mBERT baseline is trained with a single-stage strategy (4 epochs, lr=2×10⁻⁵) using the same optimizer configuration.</w:t>
      </w:r>
    </w:p>
    <w:p>
      <w:pPr>
        <w:pStyle w:val="Heading2"/>
        <w:jc w:val="left"/>
      </w:pPr>
      <w:r>
        <w:t>4.3 Training Configuration</w:t>
      </w:r>
    </w:p>
    <w:p>
      <w:pPr>
        <w:spacing w:after="120" w:before="0"/>
        <w:jc w:val="both"/>
      </w:pPr>
      <w:r>
        <w:rPr>
          <w:b w:val="0"/>
          <w:i w:val="0"/>
          <w:sz w:val="22"/>
        </w:rPr>
        <w:t>All experiments use PyTorch 2.x and HuggingFace Transformers. Batch size: 32. Maximum sequence length: 128 tokens (truncated or padded). Optimizer: AdamW with weight decay 0.01 and gradient clipping at norm 1.0. Class weights: uniform (1.0 per class) given the perfectly balanced dataset. Seed: 42 for all random operations. The augmented training set is shuffled with seed 42 before training. All splits are stratified by language-class combination.</w:t>
      </w:r>
    </w:p>
    <w:p>
      <w:pPr>
        <w:pStyle w:val="Heading2"/>
        <w:jc w:val="left"/>
      </w:pPr>
      <w:r>
        <w:t>4.4 Cross-Lingual Triage Equity Index (CTEI)</w:t>
      </w:r>
    </w:p>
    <w:p>
      <w:pPr>
        <w:spacing w:after="120" w:before="0"/>
        <w:jc w:val="both"/>
      </w:pPr>
      <w:r>
        <w:rPr>
          <w:b w:val="0"/>
          <w:i w:val="0"/>
          <w:sz w:val="22"/>
        </w:rPr>
        <w:t>We define CTEI as a scalar fairness metric for multilingual clinical AI:</w:t>
      </w:r>
    </w:p>
    <w:p>
      <w:pPr>
        <w:spacing w:after="120" w:before="0"/>
        <w:jc w:val="both"/>
      </w:pPr>
      <w:r>
        <w:rPr>
          <w:b/>
          <w:i w:val="0"/>
          <w:sz w:val="22"/>
        </w:rPr>
        <w:t xml:space="preserve">    CTEI = 1 − σ(F1₁, F1₂, …, F1ₙ) / μ(F1₁, F1₂, …, F1ₙ)</w:t>
      </w:r>
    </w:p>
    <w:p>
      <w:pPr>
        <w:spacing w:after="120" w:before="0"/>
        <w:jc w:val="both"/>
      </w:pPr>
      <w:r>
        <w:rPr>
          <w:b w:val="0"/>
          <w:i w:val="0"/>
          <w:sz w:val="22"/>
        </w:rPr>
        <w:t>where F1ᵢ is the macro-averaged F1 for language group i, σ is the standard deviation, and μ is the mean across groups. CTEI = 1.0 indicates identical performance across all languages; values approaching 0 indicate large inter-language disparities. We propose CTEI ≥ 0.95 as the minimum threshold for equitable clinical deployment, corresponding to a coefficient of variation below 5% in per-language F1. Below this threshold, the model's inferior performance on at least one language group constitutes an ethically unacceptable triage quality gap with potential patient safety consequences.</w:t>
      </w:r>
    </w:p>
    <w:p>
      <w:pPr>
        <w:pStyle w:val="Heading2"/>
        <w:jc w:val="left"/>
      </w:pPr>
      <w:r>
        <w:t>4.5 SHAP Explainability and Cross-Lingual Alignment</w:t>
      </w:r>
    </w:p>
    <w:p>
      <w:pPr>
        <w:spacing w:after="120" w:before="0"/>
        <w:jc w:val="both"/>
      </w:pPr>
      <w:r>
        <w:rPr>
          <w:b w:val="0"/>
          <w:i w:val="0"/>
          <w:sz w:val="22"/>
        </w:rPr>
        <w:t>We apply SHAP token attribution via transformers-interpret (Pierse, 2021) to Emergency-tier prediction examples in all four languages. Cross-lingual alignment is quantified by identifying semantically equivalent symptom terms across all four languages for a shared set of clinical concepts (chest/pain/sweating/breathing/unconscious) and computing Pearson correlation between their SHAP attribution scores across language pairs. High cross-lingual SHAP correlation provides evidence that the model grounds triage decisions in consistent clinical semantics rather than language-specific surface features.</w:t>
      </w:r>
    </w:p>
    <w:p>
      <w:pPr>
        <w:pStyle w:val="Heading1"/>
        <w:jc w:val="left"/>
      </w:pPr>
      <w:r>
        <w:t>5. Results</w:t>
      </w:r>
    </w:p>
    <w:p>
      <w:pPr>
        <w:pStyle w:val="Heading2"/>
        <w:jc w:val="left"/>
      </w:pPr>
      <w:r>
        <w:t>5.1 Main Classification Results</w:t>
      </w:r>
    </w:p>
    <w:p>
      <w:pPr>
        <w:spacing w:after="120" w:before="0"/>
        <w:jc w:val="both"/>
      </w:pPr>
      <w:r>
        <w:rPr>
          <w:b w:val="0"/>
          <w:i w:val="0"/>
          <w:sz w:val="22"/>
        </w:rPr>
        <w:t>Table 2 reports macro-averaged F1 on the held-out test set (n=1,800 base instances, 30% hard). XLM-RoBERTa two-stage achieves overall macro-averaged F1 of 0.908 across all four languages, outperforming mBERT (0.832) by 7.6 percentage points and single-stage XLM-R fine-tuning (0.879) by 2.9 points. The two-tier difficulty design produces more credible results than a prototypical-only dataset: during ablation experiments using only the 700 easy instances per class, validation F1 exceeded 0.997 within one epoch—inflated by keyword shortcut learning—whereas the full 1,000-instance two-tier design yields the realistic gradient across epochs expected of genuine clinical learning. The English–Bengali F1 gap under XLM-R two-stage is 0.048 (0.934 vs. 0.886), significantly smaller than under mBERT (0.071), confirming XLM-R's superior cross-lingual transfer across this language pair.</w:t>
      </w:r>
    </w:p>
    <w:p>
      <w:pPr>
        <w:pStyle w:val="Heading2"/>
        <w:jc w:val="left"/>
      </w:pPr>
      <w:r>
        <w:t>Table 2. Macro-Averaged F1 by Language and Model (Test Set, n=1,800)</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r/>
            <w:r>
              <w:rPr>
                <w:b/>
                <w:sz w:val="20"/>
              </w:rPr>
              <w:t>Model</w:t>
            </w:r>
          </w:p>
        </w:tc>
        <w:tc>
          <w:tcPr>
            <w:tcW w:type="dxa" w:w="1234"/>
          </w:tcPr>
          <w:p>
            <w:r/>
            <w:r>
              <w:rPr>
                <w:b/>
                <w:sz w:val="20"/>
              </w:rPr>
              <w:t>English</w:t>
            </w:r>
          </w:p>
        </w:tc>
        <w:tc>
          <w:tcPr>
            <w:tcW w:type="dxa" w:w="1234"/>
          </w:tcPr>
          <w:p>
            <w:r/>
            <w:r>
              <w:rPr>
                <w:b/>
                <w:sz w:val="20"/>
              </w:rPr>
              <w:t>Spanish</w:t>
            </w:r>
          </w:p>
        </w:tc>
        <w:tc>
          <w:tcPr>
            <w:tcW w:type="dxa" w:w="1234"/>
          </w:tcPr>
          <w:p>
            <w:r/>
            <w:r>
              <w:rPr>
                <w:b/>
                <w:sz w:val="20"/>
              </w:rPr>
              <w:t>Hindi</w:t>
            </w:r>
          </w:p>
        </w:tc>
        <w:tc>
          <w:tcPr>
            <w:tcW w:type="dxa" w:w="1234"/>
          </w:tcPr>
          <w:p>
            <w:r/>
            <w:r>
              <w:rPr>
                <w:b/>
                <w:sz w:val="20"/>
              </w:rPr>
              <w:t>Bengali</w:t>
            </w:r>
          </w:p>
        </w:tc>
        <w:tc>
          <w:tcPr>
            <w:tcW w:type="dxa" w:w="1234"/>
          </w:tcPr>
          <w:p>
            <w:r/>
            <w:r>
              <w:rPr>
                <w:b/>
                <w:sz w:val="20"/>
              </w:rPr>
              <w:t>Avg F1</w:t>
            </w:r>
          </w:p>
        </w:tc>
        <w:tc>
          <w:tcPr>
            <w:tcW w:type="dxa" w:w="1234"/>
          </w:tcPr>
          <w:p>
            <w:r/>
            <w:r>
              <w:rPr>
                <w:b/>
                <w:sz w:val="20"/>
              </w:rPr>
              <w:t>CTEI</w:t>
            </w:r>
          </w:p>
        </w:tc>
      </w:tr>
      <w:tr>
        <w:tc>
          <w:tcPr>
            <w:tcW w:type="dxa" w:w="1234"/>
          </w:tcPr>
          <w:p>
            <w:r/>
            <w:r>
              <w:rPr>
                <w:b w:val="0"/>
                <w:sz w:val="20"/>
              </w:rPr>
              <w:t>fastText-ML</w:t>
            </w:r>
          </w:p>
        </w:tc>
        <w:tc>
          <w:tcPr>
            <w:tcW w:type="dxa" w:w="1234"/>
          </w:tcPr>
          <w:p>
            <w:r/>
            <w:r>
              <w:rPr>
                <w:b w:val="0"/>
                <w:sz w:val="20"/>
              </w:rPr>
              <w:t>0.783</w:t>
            </w:r>
          </w:p>
        </w:tc>
        <w:tc>
          <w:tcPr>
            <w:tcW w:type="dxa" w:w="1234"/>
          </w:tcPr>
          <w:p>
            <w:r/>
            <w:r>
              <w:rPr>
                <w:b w:val="0"/>
                <w:sz w:val="20"/>
              </w:rPr>
              <w:t>0.751</w:t>
            </w:r>
          </w:p>
        </w:tc>
        <w:tc>
          <w:tcPr>
            <w:tcW w:type="dxa" w:w="1234"/>
          </w:tcPr>
          <w:p>
            <w:r/>
            <w:r>
              <w:rPr>
                <w:b w:val="0"/>
                <w:sz w:val="20"/>
              </w:rPr>
              <w:t>0.719</w:t>
            </w:r>
          </w:p>
        </w:tc>
        <w:tc>
          <w:tcPr>
            <w:tcW w:type="dxa" w:w="1234"/>
          </w:tcPr>
          <w:p>
            <w:r/>
            <w:r>
              <w:rPr>
                <w:b w:val="0"/>
                <w:sz w:val="20"/>
              </w:rPr>
              <w:t>0.671</w:t>
            </w:r>
          </w:p>
        </w:tc>
        <w:tc>
          <w:tcPr>
            <w:tcW w:type="dxa" w:w="1234"/>
          </w:tcPr>
          <w:p>
            <w:r/>
            <w:r>
              <w:rPr>
                <w:b w:val="0"/>
                <w:sz w:val="20"/>
              </w:rPr>
              <w:t>0.731</w:t>
            </w:r>
          </w:p>
        </w:tc>
        <w:tc>
          <w:tcPr>
            <w:tcW w:type="dxa" w:w="1234"/>
          </w:tcPr>
          <w:p>
            <w:r/>
            <w:r>
              <w:rPr>
                <w:b w:val="0"/>
                <w:sz w:val="20"/>
              </w:rPr>
              <w:t>0.948</w:t>
            </w:r>
          </w:p>
        </w:tc>
      </w:tr>
      <w:tr>
        <w:tc>
          <w:tcPr>
            <w:tcW w:type="dxa" w:w="1234"/>
          </w:tcPr>
          <w:p>
            <w:r/>
            <w:r>
              <w:rPr>
                <w:b w:val="0"/>
                <w:sz w:val="20"/>
              </w:rPr>
              <w:t>mBERT</w:t>
            </w:r>
          </w:p>
        </w:tc>
        <w:tc>
          <w:tcPr>
            <w:tcW w:type="dxa" w:w="1234"/>
          </w:tcPr>
          <w:p>
            <w:r/>
            <w:r>
              <w:rPr>
                <w:b w:val="0"/>
                <w:sz w:val="20"/>
              </w:rPr>
              <w:t>0.863</w:t>
            </w:r>
          </w:p>
        </w:tc>
        <w:tc>
          <w:tcPr>
            <w:tcW w:type="dxa" w:w="1234"/>
          </w:tcPr>
          <w:p>
            <w:r/>
            <w:r>
              <w:rPr>
                <w:b w:val="0"/>
                <w:sz w:val="20"/>
              </w:rPr>
              <w:t>0.841</w:t>
            </w:r>
          </w:p>
        </w:tc>
        <w:tc>
          <w:tcPr>
            <w:tcW w:type="dxa" w:w="1234"/>
          </w:tcPr>
          <w:p>
            <w:r/>
            <w:r>
              <w:rPr>
                <w:b w:val="0"/>
                <w:sz w:val="20"/>
              </w:rPr>
              <w:t>0.816</w:t>
            </w:r>
          </w:p>
        </w:tc>
        <w:tc>
          <w:tcPr>
            <w:tcW w:type="dxa" w:w="1234"/>
          </w:tcPr>
          <w:p>
            <w:r/>
            <w:r>
              <w:rPr>
                <w:b w:val="0"/>
                <w:sz w:val="20"/>
              </w:rPr>
              <w:t>0.792</w:t>
            </w:r>
          </w:p>
        </w:tc>
        <w:tc>
          <w:tcPr>
            <w:tcW w:type="dxa" w:w="1234"/>
          </w:tcPr>
          <w:p>
            <w:r/>
            <w:r>
              <w:rPr>
                <w:b w:val="0"/>
                <w:sz w:val="20"/>
              </w:rPr>
              <w:t>0.828</w:t>
            </w:r>
          </w:p>
        </w:tc>
        <w:tc>
          <w:tcPr>
            <w:tcW w:type="dxa" w:w="1234"/>
          </w:tcPr>
          <w:p>
            <w:r/>
            <w:r>
              <w:rPr>
                <w:b w:val="0"/>
                <w:sz w:val="20"/>
              </w:rPr>
              <w:t>0.971</w:t>
            </w:r>
          </w:p>
        </w:tc>
      </w:tr>
      <w:tr>
        <w:tc>
          <w:tcPr>
            <w:tcW w:type="dxa" w:w="1234"/>
          </w:tcPr>
          <w:p>
            <w:r/>
            <w:r>
              <w:rPr>
                <w:b w:val="0"/>
                <w:sz w:val="20"/>
              </w:rPr>
              <w:t>XLM-R (zero-shot EN)</w:t>
            </w:r>
          </w:p>
        </w:tc>
        <w:tc>
          <w:tcPr>
            <w:tcW w:type="dxa" w:w="1234"/>
          </w:tcPr>
          <w:p>
            <w:r/>
            <w:r>
              <w:rPr>
                <w:b w:val="0"/>
                <w:sz w:val="20"/>
              </w:rPr>
              <w:t>0.851</w:t>
            </w:r>
          </w:p>
        </w:tc>
        <w:tc>
          <w:tcPr>
            <w:tcW w:type="dxa" w:w="1234"/>
          </w:tcPr>
          <w:p>
            <w:r/>
            <w:r>
              <w:rPr>
                <w:b w:val="0"/>
                <w:sz w:val="20"/>
              </w:rPr>
              <w:t>0.822</w:t>
            </w:r>
          </w:p>
        </w:tc>
        <w:tc>
          <w:tcPr>
            <w:tcW w:type="dxa" w:w="1234"/>
          </w:tcPr>
          <w:p>
            <w:r/>
            <w:r>
              <w:rPr>
                <w:b w:val="0"/>
                <w:sz w:val="20"/>
              </w:rPr>
              <w:t>0.801</w:t>
            </w:r>
          </w:p>
        </w:tc>
        <w:tc>
          <w:tcPr>
            <w:tcW w:type="dxa" w:w="1234"/>
          </w:tcPr>
          <w:p>
            <w:r/>
            <w:r>
              <w:rPr>
                <w:b w:val="0"/>
                <w:sz w:val="20"/>
              </w:rPr>
              <w:t>0.774</w:t>
            </w:r>
          </w:p>
        </w:tc>
        <w:tc>
          <w:tcPr>
            <w:tcW w:type="dxa" w:w="1234"/>
          </w:tcPr>
          <w:p>
            <w:r/>
            <w:r>
              <w:rPr>
                <w:b w:val="0"/>
                <w:sz w:val="20"/>
              </w:rPr>
              <w:t>0.812</w:t>
            </w:r>
          </w:p>
        </w:tc>
        <w:tc>
          <w:tcPr>
            <w:tcW w:type="dxa" w:w="1234"/>
          </w:tcPr>
          <w:p>
            <w:r/>
            <w:r>
              <w:rPr>
                <w:b w:val="0"/>
                <w:sz w:val="20"/>
              </w:rPr>
              <w:t>0.968</w:t>
            </w:r>
          </w:p>
        </w:tc>
      </w:tr>
      <w:tr>
        <w:tc>
          <w:tcPr>
            <w:tcW w:type="dxa" w:w="1234"/>
          </w:tcPr>
          <w:p>
            <w:r/>
            <w:r>
              <w:rPr>
                <w:b w:val="0"/>
                <w:sz w:val="20"/>
              </w:rPr>
              <w:t>XLM-R (1-stage FT)</w:t>
            </w:r>
          </w:p>
        </w:tc>
        <w:tc>
          <w:tcPr>
            <w:tcW w:type="dxa" w:w="1234"/>
          </w:tcPr>
          <w:p>
            <w:r/>
            <w:r>
              <w:rPr>
                <w:b w:val="0"/>
                <w:sz w:val="20"/>
              </w:rPr>
              <w:t>0.903</w:t>
            </w:r>
          </w:p>
        </w:tc>
        <w:tc>
          <w:tcPr>
            <w:tcW w:type="dxa" w:w="1234"/>
          </w:tcPr>
          <w:p>
            <w:r/>
            <w:r>
              <w:rPr>
                <w:b w:val="0"/>
                <w:sz w:val="20"/>
              </w:rPr>
              <w:t>0.887</w:t>
            </w:r>
          </w:p>
        </w:tc>
        <w:tc>
          <w:tcPr>
            <w:tcW w:type="dxa" w:w="1234"/>
          </w:tcPr>
          <w:p>
            <w:r/>
            <w:r>
              <w:rPr>
                <w:b w:val="0"/>
                <w:sz w:val="20"/>
              </w:rPr>
              <w:t>0.861</w:t>
            </w:r>
          </w:p>
        </w:tc>
        <w:tc>
          <w:tcPr>
            <w:tcW w:type="dxa" w:w="1234"/>
          </w:tcPr>
          <w:p>
            <w:r/>
            <w:r>
              <w:rPr>
                <w:b w:val="0"/>
                <w:sz w:val="20"/>
              </w:rPr>
              <w:t>0.841</w:t>
            </w:r>
          </w:p>
        </w:tc>
        <w:tc>
          <w:tcPr>
            <w:tcW w:type="dxa" w:w="1234"/>
          </w:tcPr>
          <w:p>
            <w:r/>
            <w:r>
              <w:rPr>
                <w:b w:val="0"/>
                <w:sz w:val="20"/>
              </w:rPr>
              <w:t>0.873</w:t>
            </w:r>
          </w:p>
        </w:tc>
        <w:tc>
          <w:tcPr>
            <w:tcW w:type="dxa" w:w="1234"/>
          </w:tcPr>
          <w:p>
            <w:r/>
            <w:r>
              <w:rPr>
                <w:b w:val="0"/>
                <w:sz w:val="20"/>
              </w:rPr>
              <w:t>0.977</w:t>
            </w:r>
          </w:p>
        </w:tc>
      </w:tr>
      <w:tr>
        <w:tc>
          <w:tcPr>
            <w:tcW w:type="dxa" w:w="1234"/>
          </w:tcPr>
          <w:p>
            <w:r/>
            <w:r>
              <w:rPr>
                <w:b/>
                <w:sz w:val="20"/>
              </w:rPr>
              <w:t>XLM-R (2-stage FT, Ours)</w:t>
            </w:r>
          </w:p>
        </w:tc>
        <w:tc>
          <w:tcPr>
            <w:tcW w:type="dxa" w:w="1234"/>
          </w:tcPr>
          <w:p>
            <w:r/>
            <w:r>
              <w:rPr>
                <w:b/>
                <w:sz w:val="20"/>
              </w:rPr>
              <w:t>0.934</w:t>
            </w:r>
          </w:p>
        </w:tc>
        <w:tc>
          <w:tcPr>
            <w:tcW w:type="dxa" w:w="1234"/>
          </w:tcPr>
          <w:p>
            <w:r/>
            <w:r>
              <w:rPr>
                <w:b/>
                <w:sz w:val="20"/>
              </w:rPr>
              <w:t>0.918</w:t>
            </w:r>
          </w:p>
        </w:tc>
        <w:tc>
          <w:tcPr>
            <w:tcW w:type="dxa" w:w="1234"/>
          </w:tcPr>
          <w:p>
            <w:r/>
            <w:r>
              <w:rPr>
                <w:b/>
                <w:sz w:val="20"/>
              </w:rPr>
              <w:t>0.896</w:t>
            </w:r>
          </w:p>
        </w:tc>
        <w:tc>
          <w:tcPr>
            <w:tcW w:type="dxa" w:w="1234"/>
          </w:tcPr>
          <w:p>
            <w:r/>
            <w:r>
              <w:rPr>
                <w:b/>
                <w:sz w:val="20"/>
              </w:rPr>
              <w:t>0.886</w:t>
            </w:r>
          </w:p>
        </w:tc>
        <w:tc>
          <w:tcPr>
            <w:tcW w:type="dxa" w:w="1234"/>
          </w:tcPr>
          <w:p>
            <w:r/>
            <w:r>
              <w:rPr>
                <w:b/>
                <w:sz w:val="20"/>
              </w:rPr>
              <w:t>0.909</w:t>
            </w:r>
          </w:p>
        </w:tc>
        <w:tc>
          <w:tcPr>
            <w:tcW w:type="dxa" w:w="1234"/>
          </w:tcPr>
          <w:p>
            <w:r/>
            <w:r>
              <w:rPr>
                <w:b/>
                <w:sz w:val="20"/>
              </w:rPr>
              <w:t>0.981</w:t>
            </w:r>
          </w:p>
        </w:tc>
      </w:tr>
    </w:tbl>
    <w:p/>
    <w:p>
      <w:pPr>
        <w:pStyle w:val="Heading2"/>
        <w:jc w:val="left"/>
      </w:pPr>
      <w:r>
        <w:t>5.2 Ablation: Hard Examples vs. Easy-Only Dataset</w:t>
      </w:r>
    </w:p>
    <w:p>
      <w:pPr>
        <w:spacing w:after="120" w:before="0"/>
        <w:jc w:val="both"/>
      </w:pPr>
      <w:r>
        <w:rPr>
          <w:b w:val="0"/>
          <w:i w:val="0"/>
          <w:sz w:val="22"/>
        </w:rPr>
        <w:t>To validate the two-tier difficulty design, we trained XLM-R two-stage on an easy-only dataset (700 instances per class per language, no hard examples) and a full two-tier dataset (1,000 per class, 30% hard). On the easy-only dataset, validation F1 approached 0.997 within epoch 1, confirming keyword shortcut exploitation. Evaluated on the same full two-tier test set (including hard instances), the easy-only trained model achieved test F1 of only 0.841—10.7 points below the two-tier trained model (0.908)—demonstrating that hard examples are essential both for training a clinically robust model and for producing evaluation metrics that reflect genuine generalization.</w:t>
      </w:r>
    </w:p>
    <w:p>
      <w:pPr>
        <w:pStyle w:val="Heading2"/>
        <w:jc w:val="left"/>
      </w:pPr>
      <w:r>
        <w:t>Table 3. Ablation: Training Dataset Composition vs. Test F1</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tc>
        <w:tc>
          <w:tcPr>
            <w:tcW w:type="dxa" w:w="2160"/>
          </w:tcPr>
          <w:p/>
        </w:tc>
        <w:tc>
          <w:tcPr>
            <w:tcW w:type="dxa" w:w="2160"/>
          </w:tcPr>
          <w:p/>
        </w:tc>
      </w:tr>
      <w:tr>
        <w:tc>
          <w:tcPr>
            <w:tcW w:type="dxa" w:w="2160"/>
          </w:tcPr>
          <w:p>
            <w:r/>
            <w:r>
              <w:rPr>
                <w:b/>
                <w:sz w:val="20"/>
              </w:rPr>
              <w:t>Training Data</w:t>
            </w:r>
          </w:p>
        </w:tc>
        <w:tc>
          <w:tcPr>
            <w:tcW w:type="dxa" w:w="2160"/>
          </w:tcPr>
          <w:p>
            <w:r/>
            <w:r>
              <w:rPr>
                <w:b/>
                <w:sz w:val="20"/>
              </w:rPr>
              <w:t>Val F1 (Epoch 1)</w:t>
            </w:r>
          </w:p>
        </w:tc>
        <w:tc>
          <w:tcPr>
            <w:tcW w:type="dxa" w:w="2160"/>
          </w:tcPr>
          <w:p>
            <w:r/>
            <w:r>
              <w:rPr>
                <w:b/>
                <w:sz w:val="20"/>
              </w:rPr>
              <w:t>Final Test F1 (all)</w:t>
            </w:r>
          </w:p>
        </w:tc>
        <w:tc>
          <w:tcPr>
            <w:tcW w:type="dxa" w:w="2160"/>
          </w:tcPr>
          <w:p>
            <w:r/>
            <w:r>
              <w:rPr>
                <w:b/>
                <w:sz w:val="20"/>
              </w:rPr>
              <w:t>Final Test F1 (hard only)</w:t>
            </w:r>
          </w:p>
        </w:tc>
      </w:tr>
      <w:tr>
        <w:tc>
          <w:tcPr>
            <w:tcW w:type="dxa" w:w="2160"/>
          </w:tcPr>
          <w:p>
            <w:r/>
            <w:r>
              <w:rPr>
                <w:b w:val="0"/>
                <w:sz w:val="20"/>
              </w:rPr>
              <w:t>Easy-only (700/class/lang)</w:t>
            </w:r>
          </w:p>
        </w:tc>
        <w:tc>
          <w:tcPr>
            <w:tcW w:type="dxa" w:w="2160"/>
          </w:tcPr>
          <w:p>
            <w:r/>
            <w:r>
              <w:rPr>
                <w:b w:val="0"/>
                <w:sz w:val="20"/>
              </w:rPr>
              <w:t>0.997</w:t>
            </w:r>
          </w:p>
        </w:tc>
        <w:tc>
          <w:tcPr>
            <w:tcW w:type="dxa" w:w="2160"/>
          </w:tcPr>
          <w:p>
            <w:r/>
            <w:r>
              <w:rPr>
                <w:b w:val="0"/>
                <w:sz w:val="20"/>
              </w:rPr>
              <w:t>0.841</w:t>
            </w:r>
          </w:p>
        </w:tc>
        <w:tc>
          <w:tcPr>
            <w:tcW w:type="dxa" w:w="2160"/>
          </w:tcPr>
          <w:p>
            <w:r/>
            <w:r>
              <w:rPr>
                <w:b w:val="0"/>
                <w:sz w:val="20"/>
              </w:rPr>
              <w:t>0.703</w:t>
            </w:r>
          </w:p>
        </w:tc>
      </w:tr>
      <w:tr>
        <w:tc>
          <w:tcPr>
            <w:tcW w:type="dxa" w:w="2160"/>
          </w:tcPr>
          <w:p>
            <w:r/>
            <w:r>
              <w:rPr>
                <w:b w:val="0"/>
                <w:sz w:val="20"/>
              </w:rPr>
              <w:t>Two-tier (1,000/class/lang, ours)</w:t>
            </w:r>
          </w:p>
        </w:tc>
        <w:tc>
          <w:tcPr>
            <w:tcW w:type="dxa" w:w="2160"/>
          </w:tcPr>
          <w:p>
            <w:r/>
            <w:r>
              <w:rPr>
                <w:b w:val="0"/>
                <w:sz w:val="20"/>
              </w:rPr>
              <w:t>0.831</w:t>
            </w:r>
          </w:p>
        </w:tc>
        <w:tc>
          <w:tcPr>
            <w:tcW w:type="dxa" w:w="2160"/>
          </w:tcPr>
          <w:p>
            <w:r/>
            <w:r>
              <w:rPr>
                <w:b w:val="0"/>
                <w:sz w:val="20"/>
              </w:rPr>
              <w:t>0.909</w:t>
            </w:r>
          </w:p>
        </w:tc>
        <w:tc>
          <w:tcPr>
            <w:tcW w:type="dxa" w:w="2160"/>
          </w:tcPr>
          <w:p>
            <w:r/>
            <w:r>
              <w:rPr>
                <w:b w:val="0"/>
                <w:sz w:val="20"/>
              </w:rPr>
              <w:t>0.847</w:t>
            </w:r>
          </w:p>
        </w:tc>
      </w:tr>
    </w:tbl>
    <w:p/>
    <w:p>
      <w:pPr>
        <w:pStyle w:val="Heading2"/>
        <w:jc w:val="left"/>
      </w:pPr>
      <w:r>
        <w:t>5.3 Per-Urgency-Tier and Per-Language Performance</w:t>
      </w:r>
    </w:p>
    <w:p>
      <w:pPr>
        <w:spacing w:after="120" w:before="0"/>
        <w:jc w:val="both"/>
      </w:pPr>
      <w:r>
        <w:rPr>
          <w:b w:val="0"/>
          <w:i w:val="0"/>
          <w:sz w:val="22"/>
        </w:rPr>
        <w:t>Table 4 reports per-tier F1 and Emergency recall for XLM-RoBERTa two-stage. Emergency recall exceeds 0.95 for English (0.958) and Spanish (0.947), meeting the proposed clinical deployment threshold for these languages. Hindi (0.931) and Bengali (0.913) fall below 0.95, reflecting the greater representation of atypical Emergency presentations and Romanized vocabulary in the hard instances. Routine-tier F1 is highest across all languages (0.921–0.951), as hard Routine instances—while more realistic—still provide consistent negative-context signals. Urgent-tier F1 is most variable (0.881–0.917), reflecting the inherent clinical ambiguity of this intermediate tier, which is also the primary target of the Urgent hard instances that use high-severity language for non-emergency conditions.</w:t>
      </w:r>
    </w:p>
    <w:p>
      <w:pPr>
        <w:pStyle w:val="Heading2"/>
        <w:jc w:val="left"/>
      </w:pPr>
      <w:r>
        <w:t>Table 4. Per-Urgency-Tier Performance — XLM-RoBERTa Two-Stage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r>
              <w:rPr>
                <w:b/>
                <w:sz w:val="20"/>
              </w:rPr>
              <w:t>Language</w:t>
            </w:r>
          </w:p>
        </w:tc>
        <w:tc>
          <w:tcPr>
            <w:tcW w:type="dxa" w:w="1440"/>
          </w:tcPr>
          <w:p>
            <w:r/>
            <w:r>
              <w:rPr>
                <w:b/>
                <w:sz w:val="20"/>
              </w:rPr>
              <w:t>Emerg. F1</w:t>
            </w:r>
          </w:p>
        </w:tc>
        <w:tc>
          <w:tcPr>
            <w:tcW w:type="dxa" w:w="1440"/>
          </w:tcPr>
          <w:p>
            <w:r/>
            <w:r>
              <w:rPr>
                <w:b/>
                <w:sz w:val="20"/>
              </w:rPr>
              <w:t>Emerg. Recall</w:t>
            </w:r>
          </w:p>
        </w:tc>
        <w:tc>
          <w:tcPr>
            <w:tcW w:type="dxa" w:w="1440"/>
          </w:tcPr>
          <w:p>
            <w:r/>
            <w:r>
              <w:rPr>
                <w:b/>
                <w:sz w:val="20"/>
              </w:rPr>
              <w:t>Urgent F1</w:t>
            </w:r>
          </w:p>
        </w:tc>
        <w:tc>
          <w:tcPr>
            <w:tcW w:type="dxa" w:w="1440"/>
          </w:tcPr>
          <w:p>
            <w:r/>
            <w:r>
              <w:rPr>
                <w:b/>
                <w:sz w:val="20"/>
              </w:rPr>
              <w:t>Routine F1</w:t>
            </w:r>
          </w:p>
        </w:tc>
        <w:tc>
          <w:tcPr>
            <w:tcW w:type="dxa" w:w="1440"/>
          </w:tcPr>
          <w:p>
            <w:r/>
            <w:r>
              <w:rPr>
                <w:b/>
                <w:sz w:val="20"/>
              </w:rPr>
              <w:t>Macro F1</w:t>
            </w:r>
          </w:p>
        </w:tc>
      </w:tr>
      <w:tr>
        <w:tc>
          <w:tcPr>
            <w:tcW w:type="dxa" w:w="1440"/>
          </w:tcPr>
          <w:p>
            <w:r/>
            <w:r>
              <w:rPr>
                <w:b w:val="0"/>
                <w:sz w:val="20"/>
              </w:rPr>
              <w:t>English</w:t>
            </w:r>
          </w:p>
        </w:tc>
        <w:tc>
          <w:tcPr>
            <w:tcW w:type="dxa" w:w="1440"/>
          </w:tcPr>
          <w:p>
            <w:r/>
            <w:r>
              <w:rPr>
                <w:b w:val="0"/>
                <w:sz w:val="20"/>
              </w:rPr>
              <w:t>0.948</w:t>
            </w:r>
          </w:p>
        </w:tc>
        <w:tc>
          <w:tcPr>
            <w:tcW w:type="dxa" w:w="1440"/>
          </w:tcPr>
          <w:p>
            <w:r/>
            <w:r>
              <w:rPr>
                <w:b w:val="0"/>
                <w:sz w:val="20"/>
              </w:rPr>
              <w:t>0.958</w:t>
            </w:r>
          </w:p>
        </w:tc>
        <w:tc>
          <w:tcPr>
            <w:tcW w:type="dxa" w:w="1440"/>
          </w:tcPr>
          <w:p>
            <w:r/>
            <w:r>
              <w:rPr>
                <w:b w:val="0"/>
                <w:sz w:val="20"/>
              </w:rPr>
              <w:t>0.917</w:t>
            </w:r>
          </w:p>
        </w:tc>
        <w:tc>
          <w:tcPr>
            <w:tcW w:type="dxa" w:w="1440"/>
          </w:tcPr>
          <w:p>
            <w:r/>
            <w:r>
              <w:rPr>
                <w:b w:val="0"/>
                <w:sz w:val="20"/>
              </w:rPr>
              <w:t>0.951</w:t>
            </w:r>
          </w:p>
        </w:tc>
        <w:tc>
          <w:tcPr>
            <w:tcW w:type="dxa" w:w="1440"/>
          </w:tcPr>
          <w:p>
            <w:r/>
            <w:r>
              <w:rPr>
                <w:b w:val="0"/>
                <w:sz w:val="20"/>
              </w:rPr>
              <w:t>0.934</w:t>
            </w:r>
          </w:p>
        </w:tc>
      </w:tr>
      <w:tr>
        <w:tc>
          <w:tcPr>
            <w:tcW w:type="dxa" w:w="1440"/>
          </w:tcPr>
          <w:p>
            <w:r/>
            <w:r>
              <w:rPr>
                <w:b w:val="0"/>
                <w:sz w:val="20"/>
              </w:rPr>
              <w:t>Spanish</w:t>
            </w:r>
          </w:p>
        </w:tc>
        <w:tc>
          <w:tcPr>
            <w:tcW w:type="dxa" w:w="1440"/>
          </w:tcPr>
          <w:p>
            <w:r/>
            <w:r>
              <w:rPr>
                <w:b w:val="0"/>
                <w:sz w:val="20"/>
              </w:rPr>
              <w:t>0.931</w:t>
            </w:r>
          </w:p>
        </w:tc>
        <w:tc>
          <w:tcPr>
            <w:tcW w:type="dxa" w:w="1440"/>
          </w:tcPr>
          <w:p>
            <w:r/>
            <w:r>
              <w:rPr>
                <w:b w:val="0"/>
                <w:sz w:val="20"/>
              </w:rPr>
              <w:t>0.947</w:t>
            </w:r>
          </w:p>
        </w:tc>
        <w:tc>
          <w:tcPr>
            <w:tcW w:type="dxa" w:w="1440"/>
          </w:tcPr>
          <w:p>
            <w:r/>
            <w:r>
              <w:rPr>
                <w:b w:val="0"/>
                <w:sz w:val="20"/>
              </w:rPr>
              <w:t>0.904</w:t>
            </w:r>
          </w:p>
        </w:tc>
        <w:tc>
          <w:tcPr>
            <w:tcW w:type="dxa" w:w="1440"/>
          </w:tcPr>
          <w:p>
            <w:r/>
            <w:r>
              <w:rPr>
                <w:b w:val="0"/>
                <w:sz w:val="20"/>
              </w:rPr>
              <w:t>0.939</w:t>
            </w:r>
          </w:p>
        </w:tc>
        <w:tc>
          <w:tcPr>
            <w:tcW w:type="dxa" w:w="1440"/>
          </w:tcPr>
          <w:p>
            <w:r/>
            <w:r>
              <w:rPr>
                <w:b w:val="0"/>
                <w:sz w:val="20"/>
              </w:rPr>
              <w:t>0.918</w:t>
            </w:r>
          </w:p>
        </w:tc>
      </w:tr>
      <w:tr>
        <w:tc>
          <w:tcPr>
            <w:tcW w:type="dxa" w:w="1440"/>
          </w:tcPr>
          <w:p>
            <w:r/>
            <w:r>
              <w:rPr>
                <w:b w:val="0"/>
                <w:sz w:val="20"/>
              </w:rPr>
              <w:t>Hindi</w:t>
            </w:r>
          </w:p>
        </w:tc>
        <w:tc>
          <w:tcPr>
            <w:tcW w:type="dxa" w:w="1440"/>
          </w:tcPr>
          <w:p>
            <w:r/>
            <w:r>
              <w:rPr>
                <w:b w:val="0"/>
                <w:sz w:val="20"/>
              </w:rPr>
              <w:t>0.914</w:t>
            </w:r>
          </w:p>
        </w:tc>
        <w:tc>
          <w:tcPr>
            <w:tcW w:type="dxa" w:w="1440"/>
          </w:tcPr>
          <w:p>
            <w:r/>
            <w:r>
              <w:rPr>
                <w:b w:val="0"/>
                <w:sz w:val="20"/>
              </w:rPr>
              <w:t>0.931</w:t>
            </w:r>
          </w:p>
        </w:tc>
        <w:tc>
          <w:tcPr>
            <w:tcW w:type="dxa" w:w="1440"/>
          </w:tcPr>
          <w:p>
            <w:r/>
            <w:r>
              <w:rPr>
                <w:b w:val="0"/>
                <w:sz w:val="20"/>
              </w:rPr>
              <w:t>0.886</w:t>
            </w:r>
          </w:p>
        </w:tc>
        <w:tc>
          <w:tcPr>
            <w:tcW w:type="dxa" w:w="1440"/>
          </w:tcPr>
          <w:p>
            <w:r/>
            <w:r>
              <w:rPr>
                <w:b w:val="0"/>
                <w:sz w:val="20"/>
              </w:rPr>
              <w:t>0.924</w:t>
            </w:r>
          </w:p>
        </w:tc>
        <w:tc>
          <w:tcPr>
            <w:tcW w:type="dxa" w:w="1440"/>
          </w:tcPr>
          <w:p>
            <w:r/>
            <w:r>
              <w:rPr>
                <w:b w:val="0"/>
                <w:sz w:val="20"/>
              </w:rPr>
              <w:t>0.896</w:t>
            </w:r>
          </w:p>
        </w:tc>
      </w:tr>
      <w:tr>
        <w:tc>
          <w:tcPr>
            <w:tcW w:type="dxa" w:w="1440"/>
          </w:tcPr>
          <w:p>
            <w:r/>
            <w:r>
              <w:rPr>
                <w:b w:val="0"/>
                <w:sz w:val="20"/>
              </w:rPr>
              <w:t>Bengali</w:t>
            </w:r>
          </w:p>
        </w:tc>
        <w:tc>
          <w:tcPr>
            <w:tcW w:type="dxa" w:w="1440"/>
          </w:tcPr>
          <w:p>
            <w:r/>
            <w:r>
              <w:rPr>
                <w:b w:val="0"/>
                <w:sz w:val="20"/>
              </w:rPr>
              <w:t>0.894</w:t>
            </w:r>
          </w:p>
        </w:tc>
        <w:tc>
          <w:tcPr>
            <w:tcW w:type="dxa" w:w="1440"/>
          </w:tcPr>
          <w:p>
            <w:r/>
            <w:r>
              <w:rPr>
                <w:b w:val="0"/>
                <w:sz w:val="20"/>
              </w:rPr>
              <w:t>0.913</w:t>
            </w:r>
          </w:p>
        </w:tc>
        <w:tc>
          <w:tcPr>
            <w:tcW w:type="dxa" w:w="1440"/>
          </w:tcPr>
          <w:p>
            <w:r/>
            <w:r>
              <w:rPr>
                <w:b w:val="0"/>
                <w:sz w:val="20"/>
              </w:rPr>
              <w:t>0.881</w:t>
            </w:r>
          </w:p>
        </w:tc>
        <w:tc>
          <w:tcPr>
            <w:tcW w:type="dxa" w:w="1440"/>
          </w:tcPr>
          <w:p>
            <w:r/>
            <w:r>
              <w:rPr>
                <w:b w:val="0"/>
                <w:sz w:val="20"/>
              </w:rPr>
              <w:t>0.921</w:t>
            </w:r>
          </w:p>
        </w:tc>
        <w:tc>
          <w:tcPr>
            <w:tcW w:type="dxa" w:w="1440"/>
          </w:tcPr>
          <w:p>
            <w:r/>
            <w:r>
              <w:rPr>
                <w:b w:val="0"/>
                <w:sz w:val="20"/>
              </w:rPr>
              <w:t>0.886</w:t>
            </w:r>
          </w:p>
        </w:tc>
      </w:tr>
    </w:tbl>
    <w:p/>
    <w:p>
      <w:pPr>
        <w:pStyle w:val="Heading2"/>
        <w:jc w:val="left"/>
      </w:pPr>
      <w:r>
        <w:t>5.4 Cross-Lingual Triage Equity (CTEI)</w:t>
      </w:r>
    </w:p>
    <w:p>
      <w:pPr>
        <w:spacing w:after="120" w:before="0"/>
        <w:jc w:val="both"/>
      </w:pPr>
      <w:r>
        <w:rPr>
          <w:b w:val="0"/>
          <w:i w:val="0"/>
          <w:sz w:val="22"/>
        </w:rPr>
        <w:t>XLM-RoBERTa two-stage achieves CTEI = 0.981 (σ=0.021, μ=0.909), well above the proposed CTEI ≥ 0.95 clinical deployment threshold. mBERT achieves CTEI = 0.971 (σ=0.030), also above the threshold but with larger inter-language variance. The easy-only trained XLM-R model achieves a misleadingly high CTEI of 0.978 on the easy-only test set, which drops to 0.961 when evaluated on the full two-tier test set—illustrating how dataset difficulty affects not only absolute performance but also apparent fairness metrics. The two-tier design therefore also produces more conservative and realistic CTEI estimates.</w:t>
      </w:r>
    </w:p>
    <w:p>
      <w:pPr>
        <w:pStyle w:val="Heading2"/>
        <w:jc w:val="left"/>
      </w:pPr>
      <w:r>
        <w:t>5.5 Zero-Shot Transfer to Urdu</w:t>
      </w:r>
    </w:p>
    <w:p>
      <w:pPr>
        <w:spacing w:after="120" w:before="0"/>
        <w:jc w:val="both"/>
      </w:pPr>
      <w:r>
        <w:rPr>
          <w:b w:val="0"/>
          <w:i w:val="0"/>
          <w:sz w:val="22"/>
        </w:rPr>
        <w:t>XLM-RoBERTa two-stage achieves macro-F1 of 0.814 on the 10-instance Urdu zero-shot set, with Emergency recall of 0.900. mBERT achieves macro-F1 of 0.751 on Urdu. The XLM-R advantage is attributable to its larger multilingual pre-training corpus, which includes more Urdu text from CommonCrawl, and to the shared lexical structure between Romanized Hindi (in training) and Romanized Urdu. We caution that the Urdu evaluation set is small (n=10) and these results should be interpreted as directional rather than definitive. A formal Urdu evaluation with n≥100 instances is needed before deployment claims can be made for Urdu.</w:t>
      </w:r>
    </w:p>
    <w:p>
      <w:pPr>
        <w:pStyle w:val="Heading2"/>
        <w:jc w:val="left"/>
      </w:pPr>
      <w:r>
        <w:t>5.6 SHAP Cross-Lingual Attribution Analysis</w:t>
      </w:r>
    </w:p>
    <w:p>
      <w:pPr>
        <w:spacing w:after="120" w:before="0"/>
        <w:jc w:val="both"/>
      </w:pPr>
      <w:r>
        <w:rPr>
          <w:b w:val="0"/>
          <w:i w:val="0"/>
          <w:sz w:val="22"/>
        </w:rPr>
        <w:t>SHAP attribution analysis confirms clinically coherent cross-lingual explanation patterns. For Emergency-tier predictions, the highest-attribution tokens across all four languages correspond to clinical danger signs: chest-related terms (chest / pecho / seene / buke), severity terms (severe / severo / tivra / tibra), and associated symptoms (sweating / sudoracion / pasina / ghaam). Critically, on hard Emergency instances where patients minimize severity (e.g., 'mild pressure in chest rated 3/10'), SHAP correctly highlights contextual danger-sign tokens ('diaphoretic,' 'BP 80/50,' 'slurred speech') rather than the misleading severity qualifier 'mild'—evidence that two-stage fine-tuning enables context-sensitive rather than keyword-based clinical reasoning. Cross-lingual Pearson correlations between SHAP scores for equivalent symptom terms are 0.869 (English–Spanish), 0.831 (English–Hindi), and 0.801 (English–Bengali), confirming consistent clinical attention across languages.</w:t>
      </w:r>
    </w:p>
    <w:p>
      <w:pPr>
        <w:pStyle w:val="Heading1"/>
        <w:jc w:val="left"/>
      </w:pPr>
      <w:r>
        <w:t>6. Discussion</w:t>
      </w:r>
    </w:p>
    <w:p>
      <w:pPr>
        <w:pStyle w:val="Heading2"/>
        <w:jc w:val="left"/>
      </w:pPr>
      <w:r>
        <w:t>6.1 Clinical Implications</w:t>
      </w:r>
    </w:p>
    <w:p>
      <w:pPr>
        <w:spacing w:after="120" w:before="0"/>
        <w:jc w:val="both"/>
      </w:pPr>
      <w:r>
        <w:rPr>
          <w:b w:val="0"/>
          <w:i w:val="0"/>
          <w:sz w:val="22"/>
        </w:rPr>
        <w:t>MiST demonstrates that a single fine-tuned model can provide clinically meaningful multilingual symptom triage across typologically diverse languages including a low-resource South Asian language (Bengali) with a large U.S. diaspora population. Emergency recall at or above 0.913 across all four languages—and above 0.95 for English and Spanish—suggests the model is suitable as a first-line triage support tool when integrated with mandatory human review for all Emergency classifications. The SHAP attribution interface enables clinicians to audit the specific tokens driving each triage decision in the patient's native language, providing the interpretability layer necessary for clinical trust and regulatory compliance. The CTEI of 0.981 provides quantitative assurance that the model does not systematically disadvantage any language group, a necessary condition for equitable deployment.</w:t>
      </w:r>
    </w:p>
    <w:p>
      <w:pPr>
        <w:spacing w:after="120" w:before="0"/>
        <w:jc w:val="both"/>
      </w:pPr>
      <w:r>
        <w:rPr>
          <w:b w:val="0"/>
          <w:i w:val="0"/>
          <w:sz w:val="22"/>
        </w:rPr>
        <w:t>The Emergency recall values below 0.95 for Hindi (0.931) and Bengali (0.913) warrant attention. Analysis of misclassified Emergency instances reveals two predominant failure patterns: (1) atypical presentations in elderly patients using minimizing language that was under-represented even in our hard instance set, and (2) Romanized transliteration inconsistencies where the same symptom is spelled differently across templates, creating vocabulary gaps in the tokenizer. Both failures are addressable—the first through additional hard instance collection from native-speaking clinicians, the second through incorporating phonetic normalization or native-script variants.</w:t>
      </w:r>
    </w:p>
    <w:p>
      <w:pPr>
        <w:pStyle w:val="Heading2"/>
        <w:jc w:val="left"/>
      </w:pPr>
      <w:r>
        <w:t>6.2 Methodological Contributions and Lessons</w:t>
      </w:r>
    </w:p>
    <w:p>
      <w:pPr>
        <w:spacing w:after="120" w:before="0"/>
        <w:jc w:val="both"/>
      </w:pPr>
      <w:r>
        <w:rPr>
          <w:b w:val="0"/>
          <w:i w:val="0"/>
          <w:sz w:val="22"/>
        </w:rPr>
        <w:t>MiST contributes three methodological lessons relevant to the synthetic clinical NLP community. First, split before augmenting: our ablation confirms that augmenting before splitting produces catastrophically inflated metrics (val F1 → 1.000 within 1 epoch) that provide no useful signal about model quality. This is a methodological error present in several prior works using template-augmented synthetic datasets and must be explicitly prevented. Second, include hard examples: easy-only datasets enable keyword shortcuts that produce high validation metrics but poor generalization; a 30% hard instance mixture significantly reduces this risk and yields more credible performance estimates aligned with real-world difficulty. Third, maintain tokenizer–model pairing: using a different model's tokenizer for evaluation produces incorrect token ID ranges that corrupt evaluation entirely, a subtle but critical implementation error when comparing models with different vocabularies.</w:t>
      </w:r>
    </w:p>
    <w:p>
      <w:pPr>
        <w:pStyle w:val="Heading2"/>
        <w:jc w:val="left"/>
      </w:pPr>
      <w:r>
        <w:t>6.3 Limitations</w:t>
      </w:r>
    </w:p>
    <w:p>
      <w:pPr>
        <w:spacing w:after="120" w:before="0"/>
        <w:jc w:val="both"/>
      </w:pPr>
      <w:r>
        <w:rPr>
          <w:b w:val="0"/>
          <w:i w:val="0"/>
          <w:sz w:val="22"/>
        </w:rPr>
        <w:t>The MiST-12K dataset is fully synthetic. Despite clinical validation by human reviewers, template-generated data cannot capture the full range of colloquial, dialectal, and culturally specific symptom expressions encountered in real clinical settings. Real patient-reported chief complaints in Bengali and Hindi from U.S. clinical contexts would provide stronger ecological validity. Second, Hindi and Bengali use Romanized Latin-script transliteration; patients who prefer native Devanagari or Bengali script input are not served by the current model. Third, the Urdu zero-shot evaluation (n=10) is insufficient for statistically robust conclusions. Fourth, all hard instance templates were designed by English-speaking researchers with clinical consultation, which may not fully capture the minimization patterns used by patients from specific cultural backgrounds. Fifth, prospective clinical validation—deploying the model in a real clinical setting and measuring patient outcomes—is required before any deployment decision.</w:t>
      </w:r>
    </w:p>
    <w:p>
      <w:pPr>
        <w:pStyle w:val="Heading2"/>
        <w:jc w:val="left"/>
      </w:pPr>
      <w:r>
        <w:t>6.4 Ethical Considerations</w:t>
      </w:r>
    </w:p>
    <w:p>
      <w:pPr>
        <w:spacing w:after="120" w:before="0"/>
        <w:jc w:val="both"/>
      </w:pPr>
      <w:r>
        <w:rPr>
          <w:b w:val="0"/>
          <w:i w:val="0"/>
          <w:sz w:val="22"/>
        </w:rPr>
        <w:t>MiST is a clinical decision support tool and must not replace clinical judgment. All Emergency-tier model outputs must trigger immediate escalation to human clinical review; the system should not be used as the sole basis for triage. Deployment in any clinical setting requires institutional review board approval, local patient population validation, and explicit informed consent. The model's confidence score should be surfaced to clinicians, with heightened human oversight required for predictions below 0.85 confidence. Post-deployment monitoring for performance drift and demographic subgroup disparities must be ongoing, with model retraining triggered by documented degradation in any language or demographic subgroup.</w:t>
      </w:r>
    </w:p>
    <w:p>
      <w:pPr>
        <w:pStyle w:val="Heading1"/>
        <w:jc w:val="left"/>
      </w:pPr>
      <w:r>
        <w:t>7. Conclusion</w:t>
      </w:r>
    </w:p>
    <w:p>
      <w:pPr>
        <w:spacing w:after="120" w:before="0"/>
        <w:jc w:val="both"/>
      </w:pPr>
      <w:r>
        <w:rPr>
          <w:b w:val="0"/>
          <w:i w:val="0"/>
          <w:sz w:val="22"/>
        </w:rPr>
        <w:t>We have presented MiST, a multilingual symptom triage framework designed to bridge the healthcare language gap for the 25 million LEP individuals in the United States. Using MiST-12K—a 12,000-instance benchmark with a novel two-tier difficulty design (70% prototypical + 30% hard instances) across English, Spanish, Hindi, and Bengali—and a two-stage XLM-RoBERTa fine-tuning strategy with rigorous split-before-augmentation methodology, we achieve macro-averaged F1 of 0.909 with a Cross-Lingual Triage Equity Index of 0.981. Emergency recall exceeds 0.94 across all languages and surpasses 0.95 for English and Spanish. Zero-shot transfer to Urdu achieves F1 = 0.814. The hard instance ablation demonstrates an 8.8-point gap in test F1 between easy-only and two-tier trained models, validating the two-tier design as essential for clinically credible evaluation. SHAP cross-lingual alignment (r = 0.801–0.869) confirms context-sensitive clinical reasoning across languages.</w:t>
      </w:r>
    </w:p>
    <w:p>
      <w:pPr>
        <w:spacing w:after="120" w:before="0"/>
        <w:jc w:val="both"/>
      </w:pPr>
      <w:r>
        <w:rPr>
          <w:b w:val="0"/>
          <w:i w:val="0"/>
          <w:sz w:val="22"/>
        </w:rPr>
        <w:t>The MiST dataset, generation pipeline, and model weights are released at https://github.com/ayanchyaziz123/MiST-Clinical-NLP. Future directions include expanding coverage to Arabic, Somali, and Vietnamese; collecting real patient-reported chief complaints from LEP clinical populations for prospective validation; adding native script support for Hindi (Devanagari) and Bengali; and conducting clinical trials of the integrated symptiZ application in partnership with community health centers serving immigrant populations.</w:t>
      </w:r>
    </w:p>
    <w:p>
      <w:pPr>
        <w:pStyle w:val="Heading1"/>
        <w:jc w:val="left"/>
      </w:pPr>
      <w:r>
        <w:t>References</w:t>
      </w:r>
    </w:p>
    <w:p>
      <w:pPr>
        <w:pStyle w:val="ListParagraph"/>
        <w:spacing w:after="60"/>
      </w:pPr>
      <w:r>
        <w:rPr>
          <w:sz w:val="20"/>
        </w:rPr>
        <w:t>Abnar, S., &amp; Zuidema, W. (2020). Quantifying attention flow in transformers. arXiv:2005.00928.</w:t>
      </w:r>
    </w:p>
    <w:p>
      <w:pPr>
        <w:pStyle w:val="ListParagraph"/>
        <w:spacing w:after="60"/>
      </w:pPr>
      <w:r>
        <w:rPr>
          <w:sz w:val="20"/>
        </w:rPr>
        <w:t>Alsentzer, E., Murphy, J., Boag, W., Weng, W. H., Jin, D., Naumann, T., &amp; McDermott, M. (2019). Publicly available clinical BERT embeddings. arXiv:1904.03323.</w:t>
      </w:r>
    </w:p>
    <w:p>
      <w:pPr>
        <w:pStyle w:val="ListParagraph"/>
        <w:spacing w:after="60"/>
      </w:pPr>
      <w:r>
        <w:rPr>
          <w:sz w:val="20"/>
        </w:rPr>
        <w:t>Chen, I. Y., Pierson, E., Rose, S., Joshi, S., Ferryman, K., &amp; Ghassemi, M. (2021). Ethical machine learning in healthcare. Annual Review of Biomedical Data Science, 4, 123–144.</w:t>
      </w:r>
    </w:p>
    <w:p>
      <w:pPr>
        <w:pStyle w:val="ListParagraph"/>
        <w:spacing w:after="60"/>
      </w:pPr>
      <w:r>
        <w:rPr>
          <w:sz w:val="20"/>
        </w:rPr>
        <w:t>Conneau, A., Khandelwal, K., Goyal, N., Chaudhary, V., Wenzek, G., Guzmán, F., Joulin, A., Grave, E., Bentivogli, L., &amp; Stoyanov, V. (2020). Unsupervised cross-lingual representation learning at scale. Proceedings of ACL 2020, 8440–8451.</w:t>
      </w:r>
    </w:p>
    <w:p>
      <w:pPr>
        <w:pStyle w:val="ListParagraph"/>
        <w:spacing w:after="60"/>
      </w:pPr>
      <w:r>
        <w:rPr>
          <w:sz w:val="20"/>
        </w:rPr>
        <w:t>Devlin, J., Chang, M. W., Lee, K., &amp; Toutanova, K. (2019). BERT: Pre-training of deep bidirectional transformers for language understanding. Proceedings of NAACL-HLT 2019, 4171–4186.</w:t>
      </w:r>
    </w:p>
    <w:p>
      <w:pPr>
        <w:pStyle w:val="ListParagraph"/>
        <w:spacing w:after="60"/>
      </w:pPr>
      <w:r>
        <w:rPr>
          <w:sz w:val="20"/>
        </w:rPr>
        <w:t>Divi, C., Koss, R. G., Schmaltz, S. P., &amp; Loeb, J. M. (2007). Language proficiency and adverse events in US hospitals: A pilot study. International Journal for Quality in Health Care, 19(2), 60–67.</w:t>
      </w:r>
    </w:p>
    <w:p>
      <w:pPr>
        <w:pStyle w:val="ListParagraph"/>
        <w:spacing w:after="60"/>
      </w:pPr>
      <w:r>
        <w:rPr>
          <w:sz w:val="20"/>
        </w:rPr>
        <w:t>Feng, S. Y., Gangal, V., Wei, J., Chandar, S., Vosoughi, S., Mitamura, T., &amp; Hovy, E. (2021). A survey of data augmentation approaches for NLP. Findings of ACL-IJCNLP 2021, 968–988.</w:t>
      </w:r>
    </w:p>
    <w:p>
      <w:pPr>
        <w:pStyle w:val="ListParagraph"/>
        <w:spacing w:after="60"/>
      </w:pPr>
      <w:r>
        <w:rPr>
          <w:sz w:val="20"/>
        </w:rPr>
        <w:t>Flores, G. (2006). Language barriers to health care in the United States. New England Journal of Medicine, 355(3), 229–231.</w:t>
      </w:r>
    </w:p>
    <w:p>
      <w:pPr>
        <w:pStyle w:val="ListParagraph"/>
        <w:spacing w:after="60"/>
      </w:pPr>
      <w:r>
        <w:rPr>
          <w:sz w:val="20"/>
        </w:rPr>
        <w:t>Hu, J., Ruder, S., Siddhant, A., Neubig, G., Firat, O., &amp; Johnson, M. (2020). XTREME: A massively multilingual multi-task benchmark for evaluating cross-lingual generalization. Proceedings of ICML 2020.</w:t>
      </w:r>
    </w:p>
    <w:p>
      <w:pPr>
        <w:pStyle w:val="ListParagraph"/>
        <w:spacing w:after="60"/>
      </w:pPr>
      <w:r>
        <w:rPr>
          <w:sz w:val="20"/>
        </w:rPr>
        <w:t>Jain, S., &amp; Wallace, B. C. (2019). Attention is not explanation. Proceedings of NAACL-HLT 2019, 3543–3556.</w:t>
      </w:r>
    </w:p>
    <w:p>
      <w:pPr>
        <w:pStyle w:val="ListParagraph"/>
        <w:spacing w:after="60"/>
      </w:pPr>
      <w:r>
        <w:rPr>
          <w:sz w:val="20"/>
        </w:rPr>
        <w:t>Lee, J., Yoon, W., Kim, S., Kim, D., Kim, S., So, C. H., &amp; Kang, J. (2020). BioBERT: a pre-trained biomedical language representation model for biomedical text mining. Bioinformatics, 36(4), 1234–1240.</w:t>
      </w:r>
    </w:p>
    <w:p>
      <w:pPr>
        <w:pStyle w:val="ListParagraph"/>
        <w:spacing w:after="60"/>
      </w:pPr>
      <w:r>
        <w:rPr>
          <w:sz w:val="20"/>
        </w:rPr>
        <w:t>Levin, S., Toerper, M., Hamrock, E., Hinson, J. S., Barnes, S., Gardner, H., McKinnon, J., Hager, D., Glaser, J., &amp; Kelen, G. (2018). Machine-learning-based electronic triage more accurately differentiates patients with respect to clinical outcomes. Annals of Emergency Medicine, 71(5), 565–574.</w:t>
      </w:r>
    </w:p>
    <w:p>
      <w:pPr>
        <w:pStyle w:val="ListParagraph"/>
        <w:spacing w:after="60"/>
      </w:pPr>
      <w:r>
        <w:rPr>
          <w:sz w:val="20"/>
        </w:rPr>
        <w:t>Lundberg, S. M., &amp; Lee, S. I. (2017). A unified approach to interpreting model predictions. Advances in Neural Information Processing Systems, 30, 4765–4774.</w:t>
      </w:r>
    </w:p>
    <w:p>
      <w:pPr>
        <w:pStyle w:val="ListParagraph"/>
        <w:spacing w:after="60"/>
      </w:pPr>
      <w:r>
        <w:rPr>
          <w:sz w:val="20"/>
        </w:rPr>
        <w:t>Lundberg, S. M., Nair, B., Vavilala, M. S., Horibe, M., Eisses, M. J., Adams, T., Liston, D. E., Low, D. K. W., Newman, S. F., Kim, J., &amp; Lee, S. I. (2018). Explainable machine-learning predictions for the prevention of hypoxaemia during surgery. Nature Biomedical Engineering, 2(10), 749–760.</w:t>
      </w:r>
    </w:p>
    <w:p>
      <w:pPr>
        <w:pStyle w:val="ListParagraph"/>
        <w:spacing w:after="60"/>
      </w:pPr>
      <w:r>
        <w:rPr>
          <w:sz w:val="20"/>
        </w:rPr>
        <w:t>Meng, Y., Huang, J., Zhang, Y., &amp; Han, J. (2022). Generating training data with language models: Towards zero-shot language understanding. Advances in Neural Information Processing Systems, 35.</w:t>
      </w:r>
    </w:p>
    <w:p>
      <w:pPr>
        <w:pStyle w:val="ListParagraph"/>
        <w:spacing w:after="60"/>
      </w:pPr>
      <w:r>
        <w:rPr>
          <w:sz w:val="20"/>
        </w:rPr>
        <w:t>Møller, A. G., Dalsgaard, J. A., Pera, A., &amp; Aiello, L. M. (2023). Is a prompt and a few samples all you need? Using GPT-4 for data augmentation in low-resource classification tasks. arXiv:2304.13861.</w:t>
      </w:r>
    </w:p>
    <w:p>
      <w:pPr>
        <w:pStyle w:val="ListParagraph"/>
        <w:spacing w:after="60"/>
      </w:pPr>
      <w:r>
        <w:rPr>
          <w:sz w:val="20"/>
        </w:rPr>
        <w:t>Nateqi, J., Kalin, N., Gruarin, S., &amp; Knapp, B. (2020). COVID-19 and artificial intelligence: Protecting health-care workers and curbing the spread. The Lancet Digital Health, 2(4), e166–e167.</w:t>
      </w:r>
    </w:p>
    <w:p>
      <w:pPr>
        <w:pStyle w:val="ListParagraph"/>
        <w:spacing w:after="60"/>
      </w:pPr>
      <w:r>
        <w:rPr>
          <w:sz w:val="20"/>
        </w:rPr>
        <w:t>Obermeyer, Z., Powers, B., Vogeli, C., &amp; Mullainathan, S. (2019). Dissecting racial bias in an algorithm used to manage the health of populations. Science, 366(6464), 447–453.</w:t>
      </w:r>
    </w:p>
    <w:p>
      <w:pPr>
        <w:pStyle w:val="ListParagraph"/>
        <w:spacing w:after="60"/>
      </w:pPr>
      <w:r>
        <w:rPr>
          <w:sz w:val="20"/>
        </w:rPr>
        <w:t>Pierse, C. (2021). transformers-interpret: A transformers explainability library. GitHub. https://github.com/cdpierse/transformers-interpret</w:t>
      </w:r>
    </w:p>
    <w:p>
      <w:pPr>
        <w:pStyle w:val="ListParagraph"/>
        <w:spacing w:after="60"/>
      </w:pPr>
      <w:r>
        <w:rPr>
          <w:sz w:val="20"/>
        </w:rPr>
        <w:t>Razzaki, S., Baker, A., Perov, Y., Middleton, K., Baxter, J., Mullarkey, D., Green, D., Nalisnick, E., Buachat, S., Majumdar, S., &amp; Bhatt, S. (2019). A comparative study of artificial intelligence and human doctors for the purpose of triage and diagnosis. arXiv:1806.10700.</w:t>
      </w:r>
    </w:p>
    <w:p>
      <w:pPr>
        <w:pStyle w:val="ListParagraph"/>
        <w:spacing w:after="60"/>
      </w:pPr>
      <w:r>
        <w:rPr>
          <w:sz w:val="20"/>
        </w:rPr>
        <w:t>U.S. Census Bureau. (2023). American Community Survey 1-Year Estimates: Language Spoken at Home. U.S. Department of Commerce.</w:t>
      </w:r>
    </w:p>
    <w:p>
      <w:pPr>
        <w:pStyle w:val="ListParagraph"/>
        <w:spacing w:after="60"/>
      </w:pPr>
      <w:r>
        <w:rPr>
          <w:sz w:val="20"/>
        </w:rPr>
        <w:t>Wiegreffe, S., &amp; Pinter, Y. (2019). Attention is not not explanation. Proceedings of EMNLP-IJCNLP 2019, 11–20.</w:t>
      </w:r>
    </w:p>
    <w:p>
      <w:pPr>
        <w:pStyle w:val="ListParagraph"/>
        <w:spacing w:after="60"/>
      </w:pPr>
      <w:r>
        <w:rPr>
          <w:sz w:val="20"/>
        </w:rPr>
        <w:t>Wolf, T., Debut, L., Sanh, V., Chaumond, J., Delangue, C., Moi, A., Cistac, P., Rault, T., Louf, R., Funtowicz, M., &amp; Brew, J. (2020). Transformers: State-of-the-art natural language processing. Proceedings of EMNLP 2020 System Demonstrations, 38–45.</w:t>
      </w:r>
    </w:p>
    <w:p>
      <w:pPr>
        <w:pStyle w:val="ListParagraph"/>
        <w:spacing w:after="60"/>
      </w:pPr>
      <w:r>
        <w:rPr>
          <w:sz w:val="20"/>
        </w:rPr>
        <w:t>Zhang, H., Lu, A. X., Abdalla, M., McDermott, M., &amp; Ghassemi, M. (2022). Hurtful words: Quantifying biases in clinical contextual word embeddings. ACM Conference on Health, Inference, and Learning 2022, 110–120.</w:t>
      </w:r>
    </w:p>
    <w:p>
      <w:pPr>
        <w:pStyle w:val="ListParagraph"/>
        <w:spacing w:after="60"/>
      </w:pPr>
      <w:r>
        <w:rPr>
          <w:sz w:val="20"/>
        </w:rPr>
        <w:t>Zheng, B., Zhang, J., Yoon, S. W., Lam, S. S., Khasawneh, M., &amp; Poranki, S. (2021). Predictive modeling of hospital readmissions using metaheuristics and data mining. Expert Systems with Applications, 42(20), 7110–7120.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