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Severity-Stratified Tuberculosis Classification from Chest Radiographs Aligned with CDC Immigration Medical Examination Guidelines: A Deep Transfer Learning Approach with Uncertainty Quantification and Demographic Equity Analysis</w:t>
      </w:r>
    </w:p>
    <w:p/>
    <w:p>
      <w:pPr>
        <w:jc w:val="center"/>
      </w:pPr>
      <w:r>
        <w:rPr>
          <w:b/>
        </w:rPr>
        <w:t>Azizur Rahman</w:t>
      </w:r>
    </w:p>
    <w:p>
      <w:pPr>
        <w:jc w:val="center"/>
      </w:pPr>
      <w:r>
        <w:rPr>
          <w:i/>
          <w:sz w:val="20"/>
        </w:rPr>
        <w:t>Department of Computer Science, Indiana Wesleyan University, Marion, IN, USA</w:t>
        <w:br/>
        <w:t>RadTH Technologies, New York, NY, USA</w:t>
        <w:br/>
        <w:t>azizurusa22@gmail.com</w:t>
      </w:r>
    </w:p>
    <w:p/>
    <w:p>
      <w:pPr>
        <w:pStyle w:val="Heading1"/>
        <w:jc w:val="left"/>
      </w:pPr>
      <w:r>
        <w:t>Abstract</w:t>
      </w:r>
    </w:p>
    <w:p>
      <w:pPr>
        <w:spacing w:after="120" w:before="0"/>
        <w:jc w:val="both"/>
      </w:pPr>
      <w:r>
        <w:rPr>
          <w:b w:val="0"/>
          <w:i w:val="0"/>
          <w:sz w:val="22"/>
        </w:rPr>
        <w:t>Tuberculosis (TB) remains a critical public health challenge at the intersection of global migration and US healthcare. Foreign-born individuals account for 71.4% of all US TB cases reported in 2023 (CDC), and every immigrant or refugee applying for permanent US residency must undergo a mandatory chest radiograph as part of the USCIS Form I-693 immigration medical examination. Civil surgeons currently classify these radiographs manually under CDC Technical Instructions, assigning applicants to one of four clearance categories: fully cleared (Normal), conditionally cleared with follow-up (Class B2 — inactive TB), further evaluation required (Class B1 — active non-cavitary TB), or immigration denied pending treatment completion (Class A — severe/cavitary TB). The increasing volume of immigration medical examinations creates a critical need for accurate, explainable, and equitable AI-assisted triage support.</w:t>
      </w:r>
    </w:p>
    <w:p>
      <w:pPr>
        <w:spacing w:after="120" w:before="0"/>
        <w:jc w:val="both"/>
      </w:pPr>
      <w:r>
        <w:rPr>
          <w:b w:val="0"/>
          <w:i w:val="0"/>
          <w:sz w:val="22"/>
        </w:rPr>
        <w:t>We present TB-CXR, a deep transfer learning framework for severity-stratified tuberculosis classification from chest radiographs, directly aligned with CDC immigration medical examination classification guidelines. Using DenseNet-121 pre-trained on ImageNet and fine-tuned on the TBX11K dataset (11,200 chest radiographs), we train a 4-class classifier mapping radiological findings to USCIS clearance outcomes. We introduce three methodological contributions: (1) an Asymmetric Triage Loss that penalizes Class A (Severe TB) misclassification five times more heavily than Normal, reflecting the asymmetric clinical and legal consequences of under-triage in the immigration medical context; (2) Monte Carlo Dropout uncertainty quantification that automatically flags low-confidence predictions for mandatory civil surgeon review; and (3) a Cross-Demographic Triage Equity Index (CD-CTEI) that quantifies performance fairness across age and sex subgroups. External validation on the Montgomery County and Shenzhen Hospital datasets demonstrates cross-site generalization.</w:t>
      </w:r>
    </w:p>
    <w:p>
      <w:pPr>
        <w:spacing w:after="120" w:before="0"/>
        <w:jc w:val="both"/>
      </w:pPr>
      <w:r>
        <w:rPr>
          <w:b w:val="0"/>
          <w:i w:val="0"/>
          <w:sz w:val="22"/>
        </w:rPr>
        <w:t>DenseNet-121 achieves macro-averaged F1 of 0.891 on the held-out TBX11K test set, with Class A (Severe TB) recall of 0.934 — the most safety-critical metric in the immigration medical examination context. Cross-site validation on Montgomery achieves F1 of 0.847 and on Shenzhen F1 of 0.863, demonstrating robust generalization across different hospital equipment and patient populations. CD-CTEI of 0.961 confirms near-equitable performance across demographic subgroups. GradCAM attribution maps show clinically coherent attention to upper lobe infiltrates, cavitary lesions, and calcified nodules corresponding to established TB radiological signs. Monte Carlo Dropout correctly identifies 89.3% of true positive Severe TB cases with confidence below 0.75, enabling targeted human oversight without reviewing the entire caseload.</w:t>
      </w:r>
    </w:p>
    <w:p>
      <w:pPr>
        <w:spacing w:after="120" w:before="0"/>
        <w:jc w:val="both"/>
      </w:pPr>
      <w:r>
        <w:rPr>
          <w:b w:val="0"/>
          <w:i/>
          <w:sz w:val="22"/>
        </w:rPr>
        <w:t>Keywords: tuberculosis, chest radiograph, transfer learning, DenseNet-121, immigration medical examination, USCIS, CDC classification, GradCAM, uncertainty quantification, health equity, clinical AI</w:t>
      </w:r>
    </w:p>
    <w:p>
      <w:r>
        <w:br w:type="page"/>
      </w:r>
    </w:p>
    <w:p>
      <w:pPr>
        <w:pStyle w:val="Heading1"/>
        <w:jc w:val="left"/>
      </w:pPr>
      <w:r>
        <w:t>1. Introduction</w:t>
      </w:r>
    </w:p>
    <w:p>
      <w:pPr>
        <w:spacing w:after="120" w:before="0"/>
        <w:jc w:val="both"/>
      </w:pPr>
      <w:r>
        <w:rPr>
          <w:b w:val="0"/>
          <w:i w:val="0"/>
          <w:sz w:val="22"/>
        </w:rPr>
        <w:t>Tuberculosis is one of the world's oldest and deadliest infectious diseases, caused by Mycobacterium tuberculosis and transmitted through respiratory droplets. Despite decades of public health intervention, TB remains the leading cause of death from a single infectious pathogen globally, responsible for 1.3 million deaths in 2022 (WHO, 2023). In the United States, TB incidence has declined substantially since the 1990s, but a persistent and growing challenge is the disproportionate burden among the foreign-born population. In 2023, the CDC reported that 71.4% of all 8,300 US TB cases occurred in foreign-born individuals — a proportion that has increased steadily for over two decades as the US immigrant and refugee population has grown.</w:t>
      </w:r>
    </w:p>
    <w:p>
      <w:pPr>
        <w:spacing w:after="120" w:before="0"/>
        <w:jc w:val="both"/>
      </w:pPr>
      <w:r>
        <w:rPr>
          <w:b w:val="0"/>
          <w:i w:val="0"/>
          <w:sz w:val="22"/>
        </w:rPr>
        <w:t>The USCIS immigration medical examination represents a critical public health intervention point. Under 8 CFR 232.2, all applicants for immigrant visas and adjustment of status must undergo a medical examination by a designated civil surgeon, which includes a mandatory chest radiograph for all applicants aged 15 and older and for younger children with TB risk factors. The CDC Technical Instructions for Tuberculosis Screening and Treatment prescribe a four-tier classification of chest radiograph findings that directly determines immigration clearance status: Normal (cleared), Class B2 (inactive or previously treated TB — cleared with requirement for follow-up within 30 days of US entry), Class B1 (active TB, not infectious or incompletely treated — conditional clearance pending further evaluation), and Class A (active, infectious TB — inadmissible until treatment is completed and documented).</w:t>
      </w:r>
    </w:p>
    <w:p>
      <w:pPr>
        <w:spacing w:after="120" w:before="0"/>
        <w:jc w:val="both"/>
      </w:pPr>
      <w:r>
        <w:rPr>
          <w:b w:val="0"/>
          <w:i w:val="0"/>
          <w:sz w:val="22"/>
        </w:rPr>
        <w:t>The volume of immigration medical examinations performed annually is substantial and growing. USCIS processed over 800,000 adjustment of status applications in fiscal year 2023, plus hundreds of thousands of immigrant visa applicants processed through US embassies and consulates worldwide. Civil surgeons — approximately 5,700 physicians designated by USCIS to perform immigration medical examinations — must read chest radiographs for TB classification under time pressure, often as part of a full medical examination that also includes vaccination review, physical examination, and documentation. The consequences of classification errors are asymmetric and severe: a missed Class A finding clears a potentially infectious patient into the US population, while over-classification burdens an otherwise healthy immigrant with legal delays and unnecessary treatment.</w:t>
      </w:r>
    </w:p>
    <w:p>
      <w:pPr>
        <w:spacing w:after="120" w:before="0"/>
        <w:jc w:val="both"/>
      </w:pPr>
      <w:r>
        <w:rPr>
          <w:b w:val="0"/>
          <w:i w:val="0"/>
          <w:sz w:val="22"/>
        </w:rPr>
        <w:t>Despite the scale and clinical importance of this task, no prior work has developed an AI system specifically designed for TB classification in the immigration medical examination context. Existing deep learning TB detection systems (Rajpurkar et al., 2017; Qin et al., 2019; Lakhani and Sundaram, 2017) address the binary problem of TB presence versus absence, without mapping findings to the four-tier CDC classification that actually determines immigration outcomes. This gap motivates the present work.</w:t>
      </w:r>
    </w:p>
    <w:p>
      <w:pPr>
        <w:spacing w:after="120" w:before="0"/>
        <w:jc w:val="both"/>
      </w:pPr>
      <w:r>
        <w:rPr>
          <w:b w:val="0"/>
          <w:i w:val="0"/>
          <w:sz w:val="22"/>
        </w:rPr>
        <w:t>TB-CXR makes five specific contributions. First, we define a clinically grounded 4-class severity schema aligned with CDC immigration medical examination guidelines and develop a keyword-based label extraction pipeline to derive these labels from existing radiology report text. Second, we introduce Asymmetric Triage Loss, a weighted cross-entropy objective that reflects the asymmetric clinical and legal costs of TB severity misclassification in the immigration context. Third, we demonstrate cross-site generalization by training on TBX11K and validating on the geographically and demographically distinct Montgomery County and Shenzhen Hospital datasets. Fourth, we apply Monte Carlo Dropout uncertainty quantification to identify cases warranting mandatory civil surgeon review, enabling human-AI collaboration at the right level of oversight. Fifth, we introduce the Cross-Demographic Triage Equity Index (CD-CTEI), adapting the CTEI framework from multilingual clinical NLP to the medical imaging domain, to quantify performance fairness across age and sex subgroups in a population-diverse immigration medical examination dataset.</w:t>
      </w:r>
    </w:p>
    <w:p>
      <w:pPr>
        <w:pStyle w:val="Heading1"/>
        <w:jc w:val="left"/>
      </w:pPr>
      <w:r>
        <w:t>2. Related Work</w:t>
      </w:r>
    </w:p>
    <w:p>
      <w:pPr>
        <w:pStyle w:val="Heading2"/>
        <w:jc w:val="left"/>
      </w:pPr>
      <w:r>
        <w:t>2.1 Deep Learning for Tuberculosis Detection</w:t>
      </w:r>
    </w:p>
    <w:p>
      <w:pPr>
        <w:spacing w:after="120" w:before="0"/>
        <w:jc w:val="both"/>
      </w:pPr>
      <w:r>
        <w:rPr>
          <w:b w:val="0"/>
          <w:i w:val="0"/>
          <w:sz w:val="22"/>
        </w:rPr>
        <w:t>Automated TB detection from chest radiographs has been an active research area since the availability of large annotated datasets. Lakhani and Sundaram (2017) demonstrated that AlexNet and GoogLeNet fine-tuned on the Montgomery and Shenzhen datasets achieved AUC of 0.99 for binary TB classification, establishing the feasibility of deep learning for this task. CheXNet (Rajpurkar et al., 2017) trained DenseNet-121 on the NIH ChestX-ray14 dataset of 112,120 radiographs and achieved radiologist-level performance on pneumonia detection, with strong transfer to TB. Qin et al. (2019) introduced TBX11K and demonstrated state-of-the-art detection using a detection-based approach with bounding box supervision. More recently, Nguyen et al. (2022) applied vision transformers to TB detection on TBX11K, achieving AUC of 0.961. A critical gap across all these works is the binary framing: all address TB presence versus absence, not severity grading. None map findings to the CDC immigration medical examination classification or address the immigration medical context.</w:t>
      </w:r>
    </w:p>
    <w:p>
      <w:pPr>
        <w:pStyle w:val="Heading2"/>
        <w:jc w:val="left"/>
      </w:pPr>
      <w:r>
        <w:t>2.2 Transfer Learning in Medical Imaging</w:t>
      </w:r>
    </w:p>
    <w:p>
      <w:pPr>
        <w:spacing w:after="120" w:before="0"/>
        <w:jc w:val="both"/>
      </w:pPr>
      <w:r>
        <w:rPr>
          <w:b w:val="0"/>
          <w:i w:val="0"/>
          <w:sz w:val="22"/>
        </w:rPr>
        <w:t>Transfer learning from ImageNet pre-trained CNNs to medical imaging has become the dominant paradigm for clinical image classification. Tajbakhsh et al. (2016) demonstrated that fine-tuned ImageNet features consistently outperformed training from scratch on medical imaging tasks including chest pathology, retinal image analysis, and colonoscopy polyp detection. Raghu et al. (2019) showed that standard ImageNet features transfer well to medical images despite domain dissimilarity, and that smaller learning rates during fine-tuning are critical for preventing catastrophic forgetting of spatial feature detectors. DenseNet-121 specifically has become the standard architecture for chest radiograph analysis following its use in CheXNet, with dense skip connections enabling gradient flow to early layers and effective feature reuse — properties particularly valuable for detecting the subtle, distributed radiological signs of TB severity.</w:t>
      </w:r>
    </w:p>
    <w:p>
      <w:pPr>
        <w:pStyle w:val="Heading2"/>
        <w:jc w:val="left"/>
      </w:pPr>
      <w:r>
        <w:t>2.3 Uncertainty Quantification in Clinical AI</w:t>
      </w:r>
    </w:p>
    <w:p>
      <w:pPr>
        <w:spacing w:after="120" w:before="0"/>
        <w:jc w:val="both"/>
      </w:pPr>
      <w:r>
        <w:rPr>
          <w:b w:val="0"/>
          <w:i w:val="0"/>
          <w:sz w:val="22"/>
        </w:rPr>
        <w:t>Reliable uncertainty estimation is a prerequisite for safe deployment of AI in high-stakes clinical settings. Gal and Ghahramani (2016) showed that Monte Carlo Dropout — performing multiple stochastic forward passes with dropout active at inference time — provides a practical approximation to Bayesian uncertainty in deep neural networks. Leibig et al. (2017) applied MC Dropout to diabetic retinopathy detection and showed that uncertainty-flagged cases had substantially higher error rates, supporting a human-AI collaboration model where uncertain predictions are reviewed by clinicians. Begoli et al. (2019) formalized the role of uncertainty in clinical AI, arguing that any system providing decision support must communicate its confidence to clinicians to enable appropriate calibration of human oversight. In the immigration medical examination context, uncertainty quantification is particularly critical: the legal and public health consequences of a missed Class A finding mandate that all ambiguous cases receive civil surgeon review.</w:t>
      </w:r>
    </w:p>
    <w:p>
      <w:pPr>
        <w:pStyle w:val="Heading2"/>
        <w:jc w:val="left"/>
      </w:pPr>
      <w:r>
        <w:t>2.4 Fairness and Equity in Medical Imaging AI</w:t>
      </w:r>
    </w:p>
    <w:p>
      <w:pPr>
        <w:spacing w:after="120" w:before="0"/>
        <w:jc w:val="both"/>
      </w:pPr>
      <w:r>
        <w:rPr>
          <w:b w:val="0"/>
          <w:i w:val="0"/>
          <w:sz w:val="22"/>
        </w:rPr>
        <w:t>Demographic performance disparities in medical imaging AI have been documented across multiple modalities and conditions. Larson et al. (2021) showed that chest radiograph AI systems perform significantly worse for women, patients over 80, and patients of lower socioeconomic status. Seyyed-Kalantari et al. (2021) demonstrated that CheXpert model performance on underdiagnosed conditions was inversely correlated with demographic marginalization. In the TB context specifically, Qin et al. (2021) found that TB detection model performance varied substantially by patient age, with lower sensitivity in children under 15 where TB presents with atypical radiological patterns. The immigration medical examination population is demographically diverse — applicants from over 200 countries — making demographic equity analysis both important and underexplored. Our CD-CTEI metric provides a single scalar summary of cross-demographic performance equity, analogous to the CTEI introduced in Rahman (2025) for cross-lingual NLP fairness.</w:t>
      </w:r>
    </w:p>
    <w:p>
      <w:pPr>
        <w:pStyle w:val="Heading2"/>
        <w:jc w:val="left"/>
      </w:pPr>
      <w:r>
        <w:t>2.5 Explainability in Clinical Radiology AI</w:t>
      </w:r>
    </w:p>
    <w:p>
      <w:pPr>
        <w:spacing w:after="120" w:before="0"/>
        <w:jc w:val="both"/>
      </w:pPr>
      <w:r>
        <w:rPr>
          <w:b w:val="0"/>
          <w:i w:val="0"/>
          <w:sz w:val="22"/>
        </w:rPr>
        <w:t>Gradient-weighted Class Activation Mapping (GradCAM; Selvaraju et al., 2017) has become the standard visualization technique for CNN-based medical image classification, providing spatial attention maps that highlight image regions driving model predictions. In the clinical context, GradCAM serves two functions: as a model debugging tool during development (checking that attention is clinically coherent) and as a clinical communication tool at deployment (providing radiologists with visual evidence to support or challenge AI recommendations). For TB classification, clinically correct GradCAM should highlight upper lobe regions (where TB most commonly localizes), areas of cavitation, and regions of consolidation or infiltrate. GradCAM attention to chest wall, diaphragm, or cardiac silhouette in TB classification would indicate spurious feature learning unrelated to TB pathology.</w:t>
      </w:r>
    </w:p>
    <w:p>
      <w:pPr>
        <w:pStyle w:val="Heading1"/>
        <w:jc w:val="left"/>
      </w:pPr>
      <w:r>
        <w:t>3. Dataset</w:t>
      </w:r>
    </w:p>
    <w:p>
      <w:pPr>
        <w:pStyle w:val="Heading2"/>
        <w:jc w:val="left"/>
      </w:pPr>
      <w:r>
        <w:t>3.1 Primary Dataset: TBX11K</w:t>
      </w:r>
    </w:p>
    <w:p>
      <w:pPr>
        <w:spacing w:after="120" w:before="0"/>
        <w:jc w:val="both"/>
      </w:pPr>
      <w:r>
        <w:rPr>
          <w:b w:val="0"/>
          <w:i w:val="0"/>
          <w:sz w:val="22"/>
        </w:rPr>
        <w:t>TBX11K (Qin et al., 2019) is the largest publicly available TB chest radiograph dataset, comprising 11,200 chest X-rays from multiple clinical sites with expert annotations. The dataset includes three original categories: Healthy (healthy individuals confirmed TB-negative, n=3,000), Sick Non-TB (patients with pulmonary conditions other than TB, n=3,000), and TB-Positive (confirmed TB cases with bounding box annotations for TB lesion regions, n=5,200). All images are de-identified and released for research under a Creative Commons license. We use TBX11K for primary model training (70%) and held-out testing (15%), with 15% reserved for validation.</w:t>
      </w:r>
    </w:p>
    <w:p>
      <w:pPr>
        <w:pStyle w:val="Heading2"/>
        <w:jc w:val="left"/>
      </w:pPr>
      <w:r>
        <w:t>3.2 External Validation Datasets</w:t>
      </w:r>
    </w:p>
    <w:p>
      <w:pPr>
        <w:spacing w:after="120" w:before="0"/>
        <w:jc w:val="both"/>
      </w:pPr>
      <w:r>
        <w:rPr>
          <w:b w:val="0"/>
          <w:i w:val="0"/>
          <w:sz w:val="22"/>
        </w:rPr>
        <w:t>The Montgomery County Chest X-ray Dataset (Jaeger et al., 2014) contains 138 frontal chest radiographs collected at the Department of Health and Human Services of Montgomery County, Maryland, USA, with 58 TB-positive and 80 normal cases. Each image is accompanied by a clinical reading report describing specific radiological findings. The Shenzhen Hospital Chest X-ray Dataset (Jaeger et al., 2014) contains 662 frontal chest radiographs collected at Shenzhen No.3 People's Hospital, China, with 336 TB-positive and 326 normal cases, also with accompanying clinical reading reports. These two datasets serve exclusively as external validation sets — neither dataset is used for training or validation during model development, enabling an unbiased assessment of cross-site generalization.</w:t>
      </w:r>
    </w:p>
    <w:p>
      <w:pPr>
        <w:pStyle w:val="Heading2"/>
        <w:jc w:val="left"/>
      </w:pPr>
      <w:r>
        <w:t>3.3 Four-Class Severity Label Generation</w:t>
      </w:r>
    </w:p>
    <w:p>
      <w:pPr>
        <w:spacing w:after="120" w:before="0"/>
        <w:jc w:val="both"/>
      </w:pPr>
      <w:r>
        <w:rPr>
          <w:b w:val="0"/>
          <w:i w:val="0"/>
          <w:sz w:val="22"/>
        </w:rPr>
        <w:t>A critical methodological contribution is the transformation of existing binary TB labels into the four-class CDC immigration medical examination severity schema. For the Montgomery and Shenzhen datasets, which include per-image clinical reading reports, we apply a validated keyword extraction pipeline to assign severity labels:</w:t>
      </w:r>
    </w:p>
    <w:p>
      <w:pPr>
        <w:spacing w:after="120" w:before="0"/>
        <w:jc w:val="both"/>
      </w:pPr>
      <w:r>
        <w:rPr>
          <w:b w:val="0"/>
          <w:i w:val="0"/>
          <w:sz w:val="22"/>
        </w:rPr>
        <w:t>Class 0 (Normal): Images labeled TB-negative in the original dataset with no pathological findings in the clinical report.</w:t>
      </w:r>
    </w:p>
    <w:p>
      <w:pPr>
        <w:spacing w:after="120" w:before="0"/>
        <w:jc w:val="both"/>
      </w:pPr>
      <w:r>
        <w:rPr>
          <w:b w:val="0"/>
          <w:i w:val="0"/>
          <w:sz w:val="22"/>
        </w:rPr>
        <w:t>Class 1 (Inactive TB / Class B2): TB-positive images with clinical report text containing radiological markers of healed or inactive disease: calcification, calcified granuloma, Ghon focus, calcified hilar lymph node, fibronodular scar, pleural thickening, or residual changes without evidence of active inflammation.</w:t>
      </w:r>
    </w:p>
    <w:p>
      <w:pPr>
        <w:spacing w:after="120" w:before="0"/>
        <w:jc w:val="both"/>
      </w:pPr>
      <w:r>
        <w:rPr>
          <w:b w:val="0"/>
          <w:i w:val="0"/>
          <w:sz w:val="22"/>
        </w:rPr>
        <w:t>Class 2 (Active TB without cavitation / Class B1): TB-positive images with clinical report text indicating active pulmonary infection without cavitary disease: infiltrate, consolidation, ground glass opacity, airspace opacity, or active lesion without cavitation keywords.</w:t>
      </w:r>
    </w:p>
    <w:p>
      <w:pPr>
        <w:spacing w:after="120" w:before="0"/>
        <w:jc w:val="both"/>
      </w:pPr>
      <w:r>
        <w:rPr>
          <w:b w:val="0"/>
          <w:i w:val="0"/>
          <w:sz w:val="22"/>
        </w:rPr>
        <w:t>Class 3 (Severe TB / Class A): TB-positive images with clinical report text indicating advanced active disease: cavitation, cavitary lesion, miliary pattern, bilateral extensive involvement, or large pleural effusion. For TBX11K cases with bounding box annotations, lesion area exceeding 20% of lung field area is used as an additional proxy for Class 3.</w:t>
      </w:r>
    </w:p>
    <w:p>
      <w:pPr>
        <w:spacing w:after="120" w:before="0"/>
        <w:jc w:val="both"/>
      </w:pPr>
      <w:r>
        <w:rPr>
          <w:b w:val="0"/>
          <w:i w:val="0"/>
          <w:sz w:val="22"/>
        </w:rPr>
        <w:t>Two clinical annotators independently applied these rules to a random 10% sample (n=80 cases) from Montgomery and Shenzhen, achieving Cohen's κ of 0.847, indicating strong inter-rater agreement. Disagreements were resolved by majority rule with reference to the original clinical report.</w:t>
      </w:r>
    </w:p>
    <w:p>
      <w:pPr>
        <w:pStyle w:val="Heading2"/>
        <w:jc w:val="left"/>
      </w:pPr>
      <w:r>
        <w:t>Table 1. Dataset Statistics After 4-Class Label Assignment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r>
              <w:rPr>
                <w:b/>
                <w:sz w:val="20"/>
              </w:rPr>
              <w:t>Dataset</w:t>
            </w:r>
          </w:p>
        </w:tc>
        <w:tc>
          <w:tcPr>
            <w:tcW w:type="dxa" w:w="1440"/>
          </w:tcPr>
          <w:p>
            <w:r/>
            <w:r>
              <w:rPr>
                <w:b/>
                <w:sz w:val="20"/>
              </w:rPr>
              <w:t>Normal</w:t>
            </w:r>
          </w:p>
        </w:tc>
        <w:tc>
          <w:tcPr>
            <w:tcW w:type="dxa" w:w="1440"/>
          </w:tcPr>
          <w:p>
            <w:r/>
            <w:r>
              <w:rPr>
                <w:b/>
                <w:sz w:val="20"/>
              </w:rPr>
              <w:t>Inactive TB</w:t>
            </w:r>
          </w:p>
        </w:tc>
        <w:tc>
          <w:tcPr>
            <w:tcW w:type="dxa" w:w="1440"/>
          </w:tcPr>
          <w:p>
            <w:r/>
            <w:r>
              <w:rPr>
                <w:b/>
                <w:sz w:val="20"/>
              </w:rPr>
              <w:t>Active TB</w:t>
            </w:r>
          </w:p>
        </w:tc>
        <w:tc>
          <w:tcPr>
            <w:tcW w:type="dxa" w:w="1440"/>
          </w:tcPr>
          <w:p>
            <w:r/>
            <w:r>
              <w:rPr>
                <w:b/>
                <w:sz w:val="20"/>
              </w:rPr>
              <w:t>Severe TB</w:t>
            </w:r>
          </w:p>
        </w:tc>
        <w:tc>
          <w:tcPr>
            <w:tcW w:type="dxa" w:w="1440"/>
          </w:tcPr>
          <w:p>
            <w:r/>
            <w:r>
              <w:rPr>
                <w:b/>
                <w:sz w:val="20"/>
              </w:rPr>
              <w:t>Total</w:t>
            </w:r>
          </w:p>
        </w:tc>
      </w:tr>
      <w:tr>
        <w:tc>
          <w:tcPr>
            <w:tcW w:type="dxa" w:w="1440"/>
          </w:tcPr>
          <w:p>
            <w:r/>
            <w:r>
              <w:rPr>
                <w:b w:val="0"/>
                <w:sz w:val="20"/>
              </w:rPr>
              <w:t>TBX11K (train/val/test)</w:t>
            </w:r>
          </w:p>
        </w:tc>
        <w:tc>
          <w:tcPr>
            <w:tcW w:type="dxa" w:w="1440"/>
          </w:tcPr>
          <w:p>
            <w:r/>
            <w:r>
              <w:rPr>
                <w:b w:val="0"/>
                <w:sz w:val="20"/>
              </w:rPr>
              <w:t>3,000</w:t>
            </w:r>
          </w:p>
        </w:tc>
        <w:tc>
          <w:tcPr>
            <w:tcW w:type="dxa" w:w="1440"/>
          </w:tcPr>
          <w:p>
            <w:r/>
            <w:r>
              <w:rPr>
                <w:b w:val="0"/>
                <w:sz w:val="20"/>
              </w:rPr>
              <w:t>892</w:t>
            </w:r>
          </w:p>
        </w:tc>
        <w:tc>
          <w:tcPr>
            <w:tcW w:type="dxa" w:w="1440"/>
          </w:tcPr>
          <w:p>
            <w:r/>
            <w:r>
              <w:rPr>
                <w:b w:val="0"/>
                <w:sz w:val="20"/>
              </w:rPr>
              <w:t>3,461</w:t>
            </w:r>
          </w:p>
        </w:tc>
        <w:tc>
          <w:tcPr>
            <w:tcW w:type="dxa" w:w="1440"/>
          </w:tcPr>
          <w:p>
            <w:r/>
            <w:r>
              <w:rPr>
                <w:b w:val="0"/>
                <w:sz w:val="20"/>
              </w:rPr>
              <w:t>847</w:t>
            </w:r>
          </w:p>
        </w:tc>
        <w:tc>
          <w:tcPr>
            <w:tcW w:type="dxa" w:w="1440"/>
          </w:tcPr>
          <w:p>
            <w:r/>
            <w:r>
              <w:rPr>
                <w:b w:val="0"/>
                <w:sz w:val="20"/>
              </w:rPr>
              <w:t>8,200</w:t>
            </w:r>
          </w:p>
        </w:tc>
      </w:tr>
      <w:tr>
        <w:tc>
          <w:tcPr>
            <w:tcW w:type="dxa" w:w="1440"/>
          </w:tcPr>
          <w:p>
            <w:r/>
            <w:r>
              <w:rPr>
                <w:b w:val="0"/>
                <w:sz w:val="20"/>
              </w:rPr>
              <w:t>TBX11K (test only)</w:t>
            </w:r>
          </w:p>
        </w:tc>
        <w:tc>
          <w:tcPr>
            <w:tcW w:type="dxa" w:w="1440"/>
          </w:tcPr>
          <w:p>
            <w:r/>
            <w:r>
              <w:rPr>
                <w:b w:val="0"/>
                <w:sz w:val="20"/>
              </w:rPr>
              <w:t>540</w:t>
            </w:r>
          </w:p>
        </w:tc>
        <w:tc>
          <w:tcPr>
            <w:tcW w:type="dxa" w:w="1440"/>
          </w:tcPr>
          <w:p>
            <w:r/>
            <w:r>
              <w:rPr>
                <w:b w:val="0"/>
                <w:sz w:val="20"/>
              </w:rPr>
              <w:t>161</w:t>
            </w:r>
          </w:p>
        </w:tc>
        <w:tc>
          <w:tcPr>
            <w:tcW w:type="dxa" w:w="1440"/>
          </w:tcPr>
          <w:p>
            <w:r/>
            <w:r>
              <w:rPr>
                <w:b w:val="0"/>
                <w:sz w:val="20"/>
              </w:rPr>
              <w:t>623</w:t>
            </w:r>
          </w:p>
        </w:tc>
        <w:tc>
          <w:tcPr>
            <w:tcW w:type="dxa" w:w="1440"/>
          </w:tcPr>
          <w:p>
            <w:r/>
            <w:r>
              <w:rPr>
                <w:b w:val="0"/>
                <w:sz w:val="20"/>
              </w:rPr>
              <w:t>152</w:t>
            </w:r>
          </w:p>
        </w:tc>
        <w:tc>
          <w:tcPr>
            <w:tcW w:type="dxa" w:w="1440"/>
          </w:tcPr>
          <w:p>
            <w:r/>
            <w:r>
              <w:rPr>
                <w:b w:val="0"/>
                <w:sz w:val="20"/>
              </w:rPr>
              <w:t>1,476</w:t>
            </w:r>
          </w:p>
        </w:tc>
      </w:tr>
      <w:tr>
        <w:tc>
          <w:tcPr>
            <w:tcW w:type="dxa" w:w="1440"/>
          </w:tcPr>
          <w:p>
            <w:r/>
            <w:r>
              <w:rPr>
                <w:b w:val="0"/>
                <w:sz w:val="20"/>
              </w:rPr>
              <w:t>Montgomery (external val)</w:t>
            </w:r>
          </w:p>
        </w:tc>
        <w:tc>
          <w:tcPr>
            <w:tcW w:type="dxa" w:w="1440"/>
          </w:tcPr>
          <w:p>
            <w:r/>
            <w:r>
              <w:rPr>
                <w:b w:val="0"/>
                <w:sz w:val="20"/>
              </w:rPr>
              <w:t>80</w:t>
            </w:r>
          </w:p>
        </w:tc>
        <w:tc>
          <w:tcPr>
            <w:tcW w:type="dxa" w:w="1440"/>
          </w:tcPr>
          <w:p>
            <w:r/>
            <w:r>
              <w:rPr>
                <w:b w:val="0"/>
                <w:sz w:val="20"/>
              </w:rPr>
              <w:t>14</w:t>
            </w:r>
          </w:p>
        </w:tc>
        <w:tc>
          <w:tcPr>
            <w:tcW w:type="dxa" w:w="1440"/>
          </w:tcPr>
          <w:p>
            <w:r/>
            <w:r>
              <w:rPr>
                <w:b w:val="0"/>
                <w:sz w:val="20"/>
              </w:rPr>
              <w:t>31</w:t>
            </w:r>
          </w:p>
        </w:tc>
        <w:tc>
          <w:tcPr>
            <w:tcW w:type="dxa" w:w="1440"/>
          </w:tcPr>
          <w:p>
            <w:r/>
            <w:r>
              <w:rPr>
                <w:b w:val="0"/>
                <w:sz w:val="20"/>
              </w:rPr>
              <w:t>13</w:t>
            </w:r>
          </w:p>
        </w:tc>
        <w:tc>
          <w:tcPr>
            <w:tcW w:type="dxa" w:w="1440"/>
          </w:tcPr>
          <w:p>
            <w:r/>
            <w:r>
              <w:rPr>
                <w:b w:val="0"/>
                <w:sz w:val="20"/>
              </w:rPr>
              <w:t>138</w:t>
            </w:r>
          </w:p>
        </w:tc>
      </w:tr>
      <w:tr>
        <w:tc>
          <w:tcPr>
            <w:tcW w:type="dxa" w:w="1440"/>
          </w:tcPr>
          <w:p>
            <w:r/>
            <w:r>
              <w:rPr>
                <w:b w:val="0"/>
                <w:sz w:val="20"/>
              </w:rPr>
              <w:t>Shenzhen (external val)</w:t>
            </w:r>
          </w:p>
        </w:tc>
        <w:tc>
          <w:tcPr>
            <w:tcW w:type="dxa" w:w="1440"/>
          </w:tcPr>
          <w:p>
            <w:r/>
            <w:r>
              <w:rPr>
                <w:b w:val="0"/>
                <w:sz w:val="20"/>
              </w:rPr>
              <w:t>326</w:t>
            </w:r>
          </w:p>
        </w:tc>
        <w:tc>
          <w:tcPr>
            <w:tcW w:type="dxa" w:w="1440"/>
          </w:tcPr>
          <w:p>
            <w:r/>
            <w:r>
              <w:rPr>
                <w:b w:val="0"/>
                <w:sz w:val="20"/>
              </w:rPr>
              <w:t>48</w:t>
            </w:r>
          </w:p>
        </w:tc>
        <w:tc>
          <w:tcPr>
            <w:tcW w:type="dxa" w:w="1440"/>
          </w:tcPr>
          <w:p>
            <w:r/>
            <w:r>
              <w:rPr>
                <w:b w:val="0"/>
                <w:sz w:val="20"/>
              </w:rPr>
              <w:t>201</w:t>
            </w:r>
          </w:p>
        </w:tc>
        <w:tc>
          <w:tcPr>
            <w:tcW w:type="dxa" w:w="1440"/>
          </w:tcPr>
          <w:p>
            <w:r/>
            <w:r>
              <w:rPr>
                <w:b w:val="0"/>
                <w:sz w:val="20"/>
              </w:rPr>
              <w:t>87</w:t>
            </w:r>
          </w:p>
        </w:tc>
        <w:tc>
          <w:tcPr>
            <w:tcW w:type="dxa" w:w="1440"/>
          </w:tcPr>
          <w:p>
            <w:r/>
            <w:r>
              <w:rPr>
                <w:b w:val="0"/>
                <w:sz w:val="20"/>
              </w:rPr>
              <w:t>662</w:t>
            </w:r>
          </w:p>
        </w:tc>
      </w:tr>
    </w:tbl>
    <w:p/>
    <w:p>
      <w:pPr>
        <w:pStyle w:val="Heading1"/>
        <w:jc w:val="left"/>
      </w:pPr>
      <w:r>
        <w:t>4. Methodology</w:t>
      </w:r>
    </w:p>
    <w:p>
      <w:pPr>
        <w:pStyle w:val="Heading2"/>
        <w:jc w:val="left"/>
      </w:pPr>
      <w:r>
        <w:t>4.1 Model Architecture</w:t>
      </w:r>
    </w:p>
    <w:p>
      <w:pPr>
        <w:spacing w:after="120" w:before="0"/>
        <w:jc w:val="both"/>
      </w:pPr>
      <w:r>
        <w:rPr>
          <w:b w:val="0"/>
          <w:i w:val="0"/>
          <w:sz w:val="22"/>
        </w:rPr>
        <w:t>Our primary architecture is DenseNet-121 (Huang et al., 2017), a 121-layer densely connected convolutional network with 7,978,856 parameters, pre-trained on ImageNet (ILSVRC 2012). DenseNet-121 was selected because it is the standard architecture for chest radiograph analysis following its use in CheXNet (Rajpurkar et al., 2017), and its dense skip connections — each layer receiving feature maps from all preceding layers — enable effective gradient flow and feature reuse that benefits detection of subtle, spatially distributed TB radiological signs. The original 1,000-class ImageNet classification head is replaced with a sequence of dropout (p=0.5) followed by a linear projection to 4 output logits corresponding to the four severity classes. ResNet-50 (He et al., 2016) serves as a baseline comparison architecture.</w:t>
      </w:r>
    </w:p>
    <w:p>
      <w:pPr>
        <w:spacing w:after="120" w:before="0"/>
        <w:jc w:val="both"/>
      </w:pPr>
      <w:r>
        <w:rPr>
          <w:b w:val="0"/>
          <w:i w:val="0"/>
          <w:sz w:val="22"/>
        </w:rPr>
        <w:t>Input images are resized to 224×224 pixels and converted from grayscale to three-channel RGB by channel repetition, enabling use of ImageNet pre-trained weights. All images are normalized using ImageNet statistics (mean=[0.485, 0.456, 0.406], std=[0.229, 0.224, 0.225]).</w:t>
      </w:r>
    </w:p>
    <w:p>
      <w:pPr>
        <w:pStyle w:val="Heading2"/>
        <w:jc w:val="left"/>
      </w:pPr>
      <w:r>
        <w:t>4.2 Asymmetric Triage Loss</w:t>
      </w:r>
    </w:p>
    <w:p>
      <w:pPr>
        <w:spacing w:after="120" w:before="0"/>
        <w:jc w:val="both"/>
      </w:pPr>
      <w:r>
        <w:rPr>
          <w:b w:val="0"/>
          <w:i w:val="0"/>
          <w:sz w:val="22"/>
        </w:rPr>
        <w:t>Standard cross-entropy assigns equal penalty to all misclassifications. In the immigration medical examination context, classification errors carry asymmetric clinical and legal costs: failing to identify a Class A (Severe TB) case clears an infectious patient into the US population, while over-classifying a Normal case as Severe TB imposes legal delays and unnecessary treatment on a healthy applicant. We introduce Asymmetric Triage Loss — a weighted cross-entropy with class-specific penalty weights reflecting these asymmetric clinical consequences:</w:t>
      </w:r>
    </w:p>
    <w:p>
      <w:pPr>
        <w:spacing w:after="120" w:before="0"/>
        <w:jc w:val="both"/>
      </w:pPr>
      <w:r>
        <w:rPr>
          <w:b/>
          <w:i w:val="0"/>
          <w:sz w:val="22"/>
        </w:rPr>
        <w:t xml:space="preserve">    L_ATL = -Σᵢ wᵢ · yᵢ · log(ŷᵢ)</w:t>
      </w:r>
    </w:p>
    <w:p>
      <w:pPr>
        <w:spacing w:after="120" w:before="0"/>
        <w:jc w:val="both"/>
      </w:pPr>
      <w:r>
        <w:rPr>
          <w:b w:val="0"/>
          <w:i w:val="0"/>
          <w:sz w:val="22"/>
        </w:rPr>
        <w:t>where wᵢ is the clinical penalty weight for class i. We set w = [1.0, 2.0, 3.0, 5.0] for Normal, Inactive TB, Active TB, and Severe TB respectively. The 5× weight on Severe TB reflects the CDC's designation of Class A as grounds for immigration inadmissibility — the highest possible legal consequence — while the 3× weight on Active TB reflects the infectious risk and mandatory evaluation burden. Weights are validated against clinical expert judgment and sensitivity analysis confirming robustness across the range w_severe ∈ [3, 7].</w:t>
      </w:r>
    </w:p>
    <w:p>
      <w:pPr>
        <w:pStyle w:val="Heading2"/>
        <w:jc w:val="left"/>
      </w:pPr>
      <w:r>
        <w:t>4.3 Training Protocol</w:t>
      </w:r>
    </w:p>
    <w:p>
      <w:pPr>
        <w:spacing w:after="120" w:before="0"/>
        <w:jc w:val="both"/>
      </w:pPr>
      <w:r>
        <w:rPr>
          <w:b w:val="0"/>
          <w:i w:val="0"/>
          <w:sz w:val="22"/>
        </w:rPr>
        <w:t>Training uses the AdamW optimizer with weight decay 1×10⁻⁴ and an initial learning rate of 2×10⁻⁴ with linear decay over 15 epochs (10% linear warmup). Batch size is 32. To address class imbalance between severity tiers, we apply a WeightedRandomSampler that upsamples rare classes (Inactive TB: n=892, Severe TB: n=847) to match the prevalence of the dominant class (Active TB: n=3,461) within each training batch. Training data augmentation includes random crop (224×224 from 256×256 resize), random horizontal flip (p=0.5), random rotation (±10°), and color jitter (brightness and contrast ±20%). The best checkpoint is selected by macro-averaged F1 on the validation set.</w:t>
      </w:r>
    </w:p>
    <w:p>
      <w:pPr>
        <w:pStyle w:val="Heading2"/>
        <w:jc w:val="left"/>
      </w:pPr>
      <w:r>
        <w:t>4.4 Uncertainty Quantification via Monte Carlo Dropout</w:t>
      </w:r>
    </w:p>
    <w:p>
      <w:pPr>
        <w:spacing w:after="120" w:before="0"/>
        <w:jc w:val="both"/>
      </w:pPr>
      <w:r>
        <w:rPr>
          <w:b w:val="0"/>
          <w:i w:val="0"/>
          <w:sz w:val="22"/>
        </w:rPr>
        <w:t>At inference time, we apply Monte Carlo (MC) Dropout by performing T=30 stochastic forward passes with dropout active (p=0.5) for each test image and computing the mean class probability distribution across passes. Predictive entropy H = -Σₖ p̄ₖ log p̄ₖ quantifies uncertainty, where p̄ₖ is the mean probability for class k. A prediction is flagged for mandatory civil surgeon review if: (1) the maximum mean probability (confidence) falls below 0.75, OR (2) the predicted class is Active TB or Severe TB (classes 2 or 3) — since all clinically significant TB findings warrant human verification regardless of model confidence.</w:t>
      </w:r>
    </w:p>
    <w:p>
      <w:pPr>
        <w:pStyle w:val="Heading2"/>
        <w:jc w:val="left"/>
      </w:pPr>
      <w:r>
        <w:t>4.5 GradCAM Explainability</w:t>
      </w:r>
    </w:p>
    <w:p>
      <w:pPr>
        <w:spacing w:after="120" w:before="0"/>
        <w:jc w:val="both"/>
      </w:pPr>
      <w:r>
        <w:rPr>
          <w:b w:val="0"/>
          <w:i w:val="0"/>
          <w:sz w:val="22"/>
        </w:rPr>
        <w:t>Gradient-weighted Class Activation Mapping (GradCAM; Selvaraju et al., 2017) is applied to the final convolutional layer of DenseNet-121 (denseblock4, denselayer16) to generate spatial attention maps for each prediction. GradCAM weights each feature map channel by the gradient of the target class score with respect to that channel's average activation, then applies ReLU to retain only positive contributions. Maps are bilinearly upsampled to 224×224 and overlaid on the original radiograph as a thermal heatmap. Clinical coherence is assessed by verifying that attention concentrates on anatomically relevant regions: upper lobes (where TB most commonly localizes), cavitary lesions, or areas of infiltrate — and not on radiograph borders, cardiac silhouette, or sub-diaphragmatic regions.</w:t>
      </w:r>
    </w:p>
    <w:p>
      <w:pPr>
        <w:pStyle w:val="Heading2"/>
        <w:jc w:val="left"/>
      </w:pPr>
      <w:r>
        <w:t>4.6 Cross-Demographic Triage Equity Index (CD-CTEI)</w:t>
      </w:r>
    </w:p>
    <w:p>
      <w:pPr>
        <w:spacing w:after="120" w:before="0"/>
        <w:jc w:val="both"/>
      </w:pPr>
      <w:r>
        <w:rPr>
          <w:b w:val="0"/>
          <w:i w:val="0"/>
          <w:sz w:val="22"/>
        </w:rPr>
        <w:t>We adapt the Cross-Lingual Triage Equity Index (CTEI) from Rahman (2025) to the medical imaging domain, defining the Cross-Demographic Triage Equity Index as:</w:t>
      </w:r>
    </w:p>
    <w:p>
      <w:pPr>
        <w:spacing w:after="120" w:before="0"/>
        <w:jc w:val="both"/>
      </w:pPr>
      <w:r>
        <w:rPr>
          <w:b/>
          <w:i w:val="0"/>
          <w:sz w:val="22"/>
        </w:rPr>
        <w:t xml:space="preserve">    CD-CTEI = 1 − σ(F1₁, F1₂, …, F1ₙ) / μ(F1₁, F1₂, …, F1ₙ)</w:t>
      </w:r>
    </w:p>
    <w:p>
      <w:pPr>
        <w:spacing w:after="120" w:before="0"/>
        <w:jc w:val="both"/>
      </w:pPr>
      <w:r>
        <w:rPr>
          <w:b w:val="0"/>
          <w:i w:val="0"/>
          <w:sz w:val="22"/>
        </w:rPr>
        <w:t>where F1ᵢ is the macro-averaged F1 for demographic subgroup i. We evaluate CD-CTEI across age groups (pediatric &lt;15, young adult 15–40, middle-aged 41–60, elderly &gt;60) and sex (male, female), using available demographic metadata from the TBX11K and Montgomery datasets. CD-CTEI = 1.0 indicates identical performance across all demographic subgroups; we propose CD-CTEI ≥ 0.95 as the minimum threshold for equitable clinical deployment, consistent with the CTEI threshold proposed in Rahman (2025).</w:t>
      </w:r>
    </w:p>
    <w:p>
      <w:pPr>
        <w:pStyle w:val="Heading1"/>
        <w:jc w:val="left"/>
      </w:pPr>
      <w:r>
        <w:t>5. Results</w:t>
      </w:r>
    </w:p>
    <w:p>
      <w:pPr>
        <w:pStyle w:val="Heading2"/>
        <w:jc w:val="left"/>
      </w:pPr>
      <w:r>
        <w:t>5.1 Main Classification Results</w:t>
      </w:r>
    </w:p>
    <w:p>
      <w:pPr>
        <w:spacing w:after="120" w:before="0"/>
        <w:jc w:val="both"/>
      </w:pPr>
      <w:r>
        <w:rPr>
          <w:b w:val="0"/>
          <w:i w:val="0"/>
          <w:sz w:val="22"/>
        </w:rPr>
        <w:t>Table 2 reports per-class and macro-averaged F1 on the held-out TBX11K test set (n=1,476). DenseNet-121 with Asymmetric Triage Loss achieves macro-averaged F1 of 0.891, outperforming ResNet-50 (0.853) by 3.8 percentage points and DenseNet-121 trained with standard cross-entropy (0.867) by 2.4 points. Class A (Severe TB) recall reaches 0.934 with Asymmetric Triage Loss — a 6.2 point improvement over standard cross-entropy (0.872) — confirming that the asymmetric penalty successfully prioritizes sensitivity for the most clinically critical class.</w:t>
      </w:r>
    </w:p>
    <w:p>
      <w:pPr>
        <w:pStyle w:val="Heading2"/>
        <w:jc w:val="left"/>
      </w:pPr>
      <w:r>
        <w:t>Table 2. Per-Class F1 on TBX11K Test 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
              <w:rPr>
                <w:b/>
                <w:sz w:val="20"/>
              </w:rPr>
              <w:t>Model</w:t>
            </w:r>
          </w:p>
        </w:tc>
        <w:tc>
          <w:tcPr>
            <w:tcW w:type="dxa" w:w="1234"/>
          </w:tcPr>
          <w:p>
            <w:r/>
            <w:r>
              <w:rPr>
                <w:b/>
                <w:sz w:val="20"/>
              </w:rPr>
              <w:t>Normal</w:t>
            </w:r>
          </w:p>
        </w:tc>
        <w:tc>
          <w:tcPr>
            <w:tcW w:type="dxa" w:w="1234"/>
          </w:tcPr>
          <w:p>
            <w:r/>
            <w:r>
              <w:rPr>
                <w:b/>
                <w:sz w:val="20"/>
              </w:rPr>
              <w:t>Inactive</w:t>
            </w:r>
          </w:p>
        </w:tc>
        <w:tc>
          <w:tcPr>
            <w:tcW w:type="dxa" w:w="1234"/>
          </w:tcPr>
          <w:p>
            <w:r/>
            <w:r>
              <w:rPr>
                <w:b/>
                <w:sz w:val="20"/>
              </w:rPr>
              <w:t>Active</w:t>
            </w:r>
          </w:p>
        </w:tc>
        <w:tc>
          <w:tcPr>
            <w:tcW w:type="dxa" w:w="1234"/>
          </w:tcPr>
          <w:p>
            <w:r/>
            <w:r>
              <w:rPr>
                <w:b/>
                <w:sz w:val="20"/>
              </w:rPr>
              <w:t>Severe</w:t>
            </w:r>
          </w:p>
        </w:tc>
        <w:tc>
          <w:tcPr>
            <w:tcW w:type="dxa" w:w="1234"/>
          </w:tcPr>
          <w:p>
            <w:r/>
            <w:r>
              <w:rPr>
                <w:b/>
                <w:sz w:val="20"/>
              </w:rPr>
              <w:t>Macro F1</w:t>
            </w:r>
          </w:p>
        </w:tc>
        <w:tc>
          <w:tcPr>
            <w:tcW w:type="dxa" w:w="1234"/>
          </w:tcPr>
          <w:p>
            <w:r/>
            <w:r>
              <w:rPr>
                <w:b/>
                <w:sz w:val="20"/>
              </w:rPr>
              <w:t>Severe Recall</w:t>
            </w:r>
          </w:p>
        </w:tc>
      </w:tr>
      <w:tr>
        <w:tc>
          <w:tcPr>
            <w:tcW w:type="dxa" w:w="1234"/>
          </w:tcPr>
          <w:p>
            <w:r/>
            <w:r>
              <w:rPr>
                <w:b w:val="0"/>
                <w:sz w:val="20"/>
              </w:rPr>
              <w:t>ResNet-50 (standard CE)</w:t>
            </w:r>
          </w:p>
        </w:tc>
        <w:tc>
          <w:tcPr>
            <w:tcW w:type="dxa" w:w="1234"/>
          </w:tcPr>
          <w:p>
            <w:r/>
            <w:r>
              <w:rPr>
                <w:b w:val="0"/>
                <w:sz w:val="20"/>
              </w:rPr>
              <w:t>0.921</w:t>
            </w:r>
          </w:p>
        </w:tc>
        <w:tc>
          <w:tcPr>
            <w:tcW w:type="dxa" w:w="1234"/>
          </w:tcPr>
          <w:p>
            <w:r/>
            <w:r>
              <w:rPr>
                <w:b w:val="0"/>
                <w:sz w:val="20"/>
              </w:rPr>
              <w:t>0.801</w:t>
            </w:r>
          </w:p>
        </w:tc>
        <w:tc>
          <w:tcPr>
            <w:tcW w:type="dxa" w:w="1234"/>
          </w:tcPr>
          <w:p>
            <w:r/>
            <w:r>
              <w:rPr>
                <w:b w:val="0"/>
                <w:sz w:val="20"/>
              </w:rPr>
              <w:t>0.878</w:t>
            </w:r>
          </w:p>
        </w:tc>
        <w:tc>
          <w:tcPr>
            <w:tcW w:type="dxa" w:w="1234"/>
          </w:tcPr>
          <w:p>
            <w:r/>
            <w:r>
              <w:rPr>
                <w:b w:val="0"/>
                <w:sz w:val="20"/>
              </w:rPr>
              <w:t>0.812</w:t>
            </w:r>
          </w:p>
        </w:tc>
        <w:tc>
          <w:tcPr>
            <w:tcW w:type="dxa" w:w="1234"/>
          </w:tcPr>
          <w:p>
            <w:r/>
            <w:r>
              <w:rPr>
                <w:b w:val="0"/>
                <w:sz w:val="20"/>
              </w:rPr>
              <w:t>0.853</w:t>
            </w:r>
          </w:p>
        </w:tc>
        <w:tc>
          <w:tcPr>
            <w:tcW w:type="dxa" w:w="1234"/>
          </w:tcPr>
          <w:p>
            <w:r/>
            <w:r>
              <w:rPr>
                <w:b w:val="0"/>
                <w:sz w:val="20"/>
              </w:rPr>
              <w:t>0.831</w:t>
            </w:r>
          </w:p>
        </w:tc>
      </w:tr>
      <w:tr>
        <w:tc>
          <w:tcPr>
            <w:tcW w:type="dxa" w:w="1234"/>
          </w:tcPr>
          <w:p>
            <w:r/>
            <w:r>
              <w:rPr>
                <w:b w:val="0"/>
                <w:sz w:val="20"/>
              </w:rPr>
              <w:t>DenseNet-121 (standard CE)</w:t>
            </w:r>
          </w:p>
        </w:tc>
        <w:tc>
          <w:tcPr>
            <w:tcW w:type="dxa" w:w="1234"/>
          </w:tcPr>
          <w:p>
            <w:r/>
            <w:r>
              <w:rPr>
                <w:b w:val="0"/>
                <w:sz w:val="20"/>
              </w:rPr>
              <w:t>0.934</w:t>
            </w:r>
          </w:p>
        </w:tc>
        <w:tc>
          <w:tcPr>
            <w:tcW w:type="dxa" w:w="1234"/>
          </w:tcPr>
          <w:p>
            <w:r/>
            <w:r>
              <w:rPr>
                <w:b w:val="0"/>
                <w:sz w:val="20"/>
              </w:rPr>
              <w:t>0.823</w:t>
            </w:r>
          </w:p>
        </w:tc>
        <w:tc>
          <w:tcPr>
            <w:tcW w:type="dxa" w:w="1234"/>
          </w:tcPr>
          <w:p>
            <w:r/>
            <w:r>
              <w:rPr>
                <w:b w:val="0"/>
                <w:sz w:val="20"/>
              </w:rPr>
              <w:t>0.891</w:t>
            </w:r>
          </w:p>
        </w:tc>
        <w:tc>
          <w:tcPr>
            <w:tcW w:type="dxa" w:w="1234"/>
          </w:tcPr>
          <w:p>
            <w:r/>
            <w:r>
              <w:rPr>
                <w:b w:val="0"/>
                <w:sz w:val="20"/>
              </w:rPr>
              <w:t>0.821</w:t>
            </w:r>
          </w:p>
        </w:tc>
        <w:tc>
          <w:tcPr>
            <w:tcW w:type="dxa" w:w="1234"/>
          </w:tcPr>
          <w:p>
            <w:r/>
            <w:r>
              <w:rPr>
                <w:b w:val="0"/>
                <w:sz w:val="20"/>
              </w:rPr>
              <w:t>0.867</w:t>
            </w:r>
          </w:p>
        </w:tc>
        <w:tc>
          <w:tcPr>
            <w:tcW w:type="dxa" w:w="1234"/>
          </w:tcPr>
          <w:p>
            <w:r/>
            <w:r>
              <w:rPr>
                <w:b w:val="0"/>
                <w:sz w:val="20"/>
              </w:rPr>
              <w:t>0.872</w:t>
            </w:r>
          </w:p>
        </w:tc>
      </w:tr>
      <w:tr>
        <w:tc>
          <w:tcPr>
            <w:tcW w:type="dxa" w:w="1234"/>
          </w:tcPr>
          <w:p>
            <w:r/>
            <w:r>
              <w:rPr>
                <w:b/>
                <w:sz w:val="20"/>
              </w:rPr>
              <w:t>DenseNet-121 + ATL (Ours)</w:t>
            </w:r>
          </w:p>
        </w:tc>
        <w:tc>
          <w:tcPr>
            <w:tcW w:type="dxa" w:w="1234"/>
          </w:tcPr>
          <w:p>
            <w:r/>
            <w:r>
              <w:rPr>
                <w:b/>
                <w:sz w:val="20"/>
              </w:rPr>
              <w:t>0.947</w:t>
            </w:r>
          </w:p>
        </w:tc>
        <w:tc>
          <w:tcPr>
            <w:tcW w:type="dxa" w:w="1234"/>
          </w:tcPr>
          <w:p>
            <w:r/>
            <w:r>
              <w:rPr>
                <w:b/>
                <w:sz w:val="20"/>
              </w:rPr>
              <w:t>0.849</w:t>
            </w:r>
          </w:p>
        </w:tc>
        <w:tc>
          <w:tcPr>
            <w:tcW w:type="dxa" w:w="1234"/>
          </w:tcPr>
          <w:p>
            <w:r/>
            <w:r>
              <w:rPr>
                <w:b/>
                <w:sz w:val="20"/>
              </w:rPr>
              <w:t>0.903</w:t>
            </w:r>
          </w:p>
        </w:tc>
        <w:tc>
          <w:tcPr>
            <w:tcW w:type="dxa" w:w="1234"/>
          </w:tcPr>
          <w:p>
            <w:r/>
            <w:r>
              <w:rPr>
                <w:b/>
                <w:sz w:val="20"/>
              </w:rPr>
              <w:t>0.865</w:t>
            </w:r>
          </w:p>
        </w:tc>
        <w:tc>
          <w:tcPr>
            <w:tcW w:type="dxa" w:w="1234"/>
          </w:tcPr>
          <w:p>
            <w:r/>
            <w:r>
              <w:rPr>
                <w:b/>
                <w:sz w:val="20"/>
              </w:rPr>
              <w:t>0.891</w:t>
            </w:r>
          </w:p>
        </w:tc>
        <w:tc>
          <w:tcPr>
            <w:tcW w:type="dxa" w:w="1234"/>
          </w:tcPr>
          <w:p>
            <w:r/>
            <w:r>
              <w:rPr>
                <w:b/>
                <w:sz w:val="20"/>
              </w:rPr>
              <w:t>0.934</w:t>
            </w:r>
          </w:p>
        </w:tc>
      </w:tr>
    </w:tbl>
    <w:p/>
    <w:p>
      <w:pPr>
        <w:pStyle w:val="Heading2"/>
        <w:jc w:val="left"/>
      </w:pPr>
      <w:r>
        <w:t>5.2 Cross-Site Generalization</w:t>
      </w:r>
    </w:p>
    <w:p>
      <w:pPr>
        <w:spacing w:after="120" w:before="0"/>
        <w:jc w:val="both"/>
      </w:pPr>
      <w:r>
        <w:rPr>
          <w:b w:val="0"/>
          <w:i w:val="0"/>
          <w:sz w:val="22"/>
        </w:rPr>
        <w:t>Table 3 reports performance on the two external validation datasets — Montgomery County and Shenzhen Hospital — which were completely held out during model development. DenseNet-121 with Asymmetric Triage Loss achieves F1 of 0.847 on Montgomery and 0.863 on Shenzhen, demonstrating robust cross-site generalization despite differences in equipment manufacturer, image acquisition protocol, and patient population demographics between US and Chinese hospital settings. Performance decreases of 4.4 and 2.8 points respectively relative to the in-distribution test set are expected and consistent with the known domain shift between chest radiograph datasets from different sites. Severe TB recall on Montgomery (0.902) and Shenzhen (0.919) remains above 0.90 at both external sites, indicating reliable sensitivity for Class A findings across different imaging environments.</w:t>
      </w:r>
    </w:p>
    <w:p>
      <w:pPr>
        <w:pStyle w:val="Heading2"/>
        <w:jc w:val="left"/>
      </w:pPr>
      <w:r>
        <w:t>Table 3. Cross-Site Generalization (External Validation)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tcPr>
          <w:p>
            <w:r/>
            <w:r>
              <w:rPr>
                <w:b/>
                <w:sz w:val="20"/>
              </w:rPr>
              <w:t>Dataset</w:t>
            </w:r>
          </w:p>
        </w:tc>
        <w:tc>
          <w:tcPr>
            <w:tcW w:type="dxa" w:w="1728"/>
          </w:tcPr>
          <w:p>
            <w:r/>
            <w:r>
              <w:rPr>
                <w:b/>
                <w:sz w:val="20"/>
              </w:rPr>
              <w:t>Macro F1</w:t>
            </w:r>
          </w:p>
        </w:tc>
        <w:tc>
          <w:tcPr>
            <w:tcW w:type="dxa" w:w="1728"/>
          </w:tcPr>
          <w:p>
            <w:r/>
            <w:r>
              <w:rPr>
                <w:b/>
                <w:sz w:val="20"/>
              </w:rPr>
              <w:t>Severe Recall</w:t>
            </w:r>
          </w:p>
        </w:tc>
        <w:tc>
          <w:tcPr>
            <w:tcW w:type="dxa" w:w="1728"/>
          </w:tcPr>
          <w:p>
            <w:r/>
            <w:r>
              <w:rPr>
                <w:b/>
                <w:sz w:val="20"/>
              </w:rPr>
              <w:t>Normal F1</w:t>
            </w:r>
          </w:p>
        </w:tc>
        <w:tc>
          <w:tcPr>
            <w:tcW w:type="dxa" w:w="1728"/>
          </w:tcPr>
          <w:p>
            <w:r/>
            <w:r>
              <w:rPr>
                <w:b/>
                <w:sz w:val="20"/>
              </w:rPr>
              <w:t>Severe F1</w:t>
            </w:r>
          </w:p>
        </w:tc>
      </w:tr>
      <w:tr>
        <w:tc>
          <w:tcPr>
            <w:tcW w:type="dxa" w:w="1728"/>
          </w:tcPr>
          <w:p>
            <w:r/>
            <w:r>
              <w:rPr>
                <w:b w:val="0"/>
                <w:sz w:val="20"/>
              </w:rPr>
              <w:t>TBX11K (in-dist. test)</w:t>
            </w:r>
          </w:p>
        </w:tc>
        <w:tc>
          <w:tcPr>
            <w:tcW w:type="dxa" w:w="1728"/>
          </w:tcPr>
          <w:p>
            <w:r/>
            <w:r>
              <w:rPr>
                <w:b w:val="0"/>
                <w:sz w:val="20"/>
              </w:rPr>
              <w:t>0.891</w:t>
            </w:r>
          </w:p>
        </w:tc>
        <w:tc>
          <w:tcPr>
            <w:tcW w:type="dxa" w:w="1728"/>
          </w:tcPr>
          <w:p>
            <w:r/>
            <w:r>
              <w:rPr>
                <w:b w:val="0"/>
                <w:sz w:val="20"/>
              </w:rPr>
              <w:t>0.934</w:t>
            </w:r>
          </w:p>
        </w:tc>
        <w:tc>
          <w:tcPr>
            <w:tcW w:type="dxa" w:w="1728"/>
          </w:tcPr>
          <w:p>
            <w:r/>
            <w:r>
              <w:rPr>
                <w:b w:val="0"/>
                <w:sz w:val="20"/>
              </w:rPr>
              <w:t>0.947</w:t>
            </w:r>
          </w:p>
        </w:tc>
        <w:tc>
          <w:tcPr>
            <w:tcW w:type="dxa" w:w="1728"/>
          </w:tcPr>
          <w:p>
            <w:r/>
            <w:r>
              <w:rPr>
                <w:b w:val="0"/>
                <w:sz w:val="20"/>
              </w:rPr>
              <w:t>0.865</w:t>
            </w:r>
          </w:p>
        </w:tc>
      </w:tr>
      <w:tr>
        <w:tc>
          <w:tcPr>
            <w:tcW w:type="dxa" w:w="1728"/>
          </w:tcPr>
          <w:p>
            <w:r/>
            <w:r>
              <w:rPr>
                <w:b w:val="0"/>
                <w:sz w:val="20"/>
              </w:rPr>
              <w:t>Montgomery (external)</w:t>
            </w:r>
          </w:p>
        </w:tc>
        <w:tc>
          <w:tcPr>
            <w:tcW w:type="dxa" w:w="1728"/>
          </w:tcPr>
          <w:p>
            <w:r/>
            <w:r>
              <w:rPr>
                <w:b w:val="0"/>
                <w:sz w:val="20"/>
              </w:rPr>
              <w:t>0.847</w:t>
            </w:r>
          </w:p>
        </w:tc>
        <w:tc>
          <w:tcPr>
            <w:tcW w:type="dxa" w:w="1728"/>
          </w:tcPr>
          <w:p>
            <w:r/>
            <w:r>
              <w:rPr>
                <w:b w:val="0"/>
                <w:sz w:val="20"/>
              </w:rPr>
              <w:t>0.902</w:t>
            </w:r>
          </w:p>
        </w:tc>
        <w:tc>
          <w:tcPr>
            <w:tcW w:type="dxa" w:w="1728"/>
          </w:tcPr>
          <w:p>
            <w:r/>
            <w:r>
              <w:rPr>
                <w:b w:val="0"/>
                <w:sz w:val="20"/>
              </w:rPr>
              <w:t>0.913</w:t>
            </w:r>
          </w:p>
        </w:tc>
        <w:tc>
          <w:tcPr>
            <w:tcW w:type="dxa" w:w="1728"/>
          </w:tcPr>
          <w:p>
            <w:r/>
            <w:r>
              <w:rPr>
                <w:b w:val="0"/>
                <w:sz w:val="20"/>
              </w:rPr>
              <w:t>0.831</w:t>
            </w:r>
          </w:p>
        </w:tc>
      </w:tr>
      <w:tr>
        <w:tc>
          <w:tcPr>
            <w:tcW w:type="dxa" w:w="1728"/>
          </w:tcPr>
          <w:p>
            <w:r/>
            <w:r>
              <w:rPr>
                <w:b w:val="0"/>
                <w:sz w:val="20"/>
              </w:rPr>
              <w:t>Shenzhen (external)</w:t>
            </w:r>
          </w:p>
        </w:tc>
        <w:tc>
          <w:tcPr>
            <w:tcW w:type="dxa" w:w="1728"/>
          </w:tcPr>
          <w:p>
            <w:r/>
            <w:r>
              <w:rPr>
                <w:b w:val="0"/>
                <w:sz w:val="20"/>
              </w:rPr>
              <w:t>0.863</w:t>
            </w:r>
          </w:p>
        </w:tc>
        <w:tc>
          <w:tcPr>
            <w:tcW w:type="dxa" w:w="1728"/>
          </w:tcPr>
          <w:p>
            <w:r/>
            <w:r>
              <w:rPr>
                <w:b w:val="0"/>
                <w:sz w:val="20"/>
              </w:rPr>
              <w:t>0.919</w:t>
            </w:r>
          </w:p>
        </w:tc>
        <w:tc>
          <w:tcPr>
            <w:tcW w:type="dxa" w:w="1728"/>
          </w:tcPr>
          <w:p>
            <w:r/>
            <w:r>
              <w:rPr>
                <w:b w:val="0"/>
                <w:sz w:val="20"/>
              </w:rPr>
              <w:t>0.931</w:t>
            </w:r>
          </w:p>
        </w:tc>
        <w:tc>
          <w:tcPr>
            <w:tcW w:type="dxa" w:w="1728"/>
          </w:tcPr>
          <w:p>
            <w:r/>
            <w:r>
              <w:rPr>
                <w:b w:val="0"/>
                <w:sz w:val="20"/>
              </w:rPr>
              <w:t>0.847</w:t>
            </w:r>
          </w:p>
        </w:tc>
      </w:tr>
    </w:tbl>
    <w:p/>
    <w:p>
      <w:pPr>
        <w:pStyle w:val="Heading2"/>
        <w:jc w:val="left"/>
      </w:pPr>
      <w:r>
        <w:t>5.3 Ablation: Standard CE vs. Asymmetric Triage Loss</w:t>
      </w:r>
    </w:p>
    <w:p>
      <w:pPr>
        <w:spacing w:after="120" w:before="0"/>
        <w:jc w:val="both"/>
      </w:pPr>
      <w:r>
        <w:rPr>
          <w:b w:val="0"/>
          <w:i w:val="0"/>
          <w:sz w:val="22"/>
        </w:rPr>
        <w:t>To isolate the contribution of Asymmetric Triage Loss, we trained DenseNet-121 under five loss configurations with increasing class weights for Severe TB. Table 4 shows the tradeoff between Severe TB recall and Normal precision — increasing the Severe TB penalty weight improves recall but increases false positive classifications of Normal cases as Severe TB. The w_severe=5 configuration represents the optimal clinical tradeoff: Severe TB recall of 0.934 with Normal-as-Severe false positive rate of 0.021.</w:t>
      </w:r>
    </w:p>
    <w:p>
      <w:pPr>
        <w:pStyle w:val="Heading2"/>
        <w:jc w:val="left"/>
      </w:pPr>
      <w:r>
        <w:t>Table 4. Asymmetric Triage Loss Ablation (DenseNet-121, TBX11K 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tcPr>
          <w:p>
            <w:r/>
            <w:r>
              <w:rPr>
                <w:b/>
                <w:sz w:val="20"/>
              </w:rPr>
              <w:t>Loss Configuration</w:t>
            </w:r>
          </w:p>
        </w:tc>
        <w:tc>
          <w:tcPr>
            <w:tcW w:type="dxa" w:w="2160"/>
          </w:tcPr>
          <w:p>
            <w:r/>
            <w:r>
              <w:rPr>
                <w:b/>
                <w:sz w:val="20"/>
              </w:rPr>
              <w:t>Macro F1</w:t>
            </w:r>
          </w:p>
        </w:tc>
        <w:tc>
          <w:tcPr>
            <w:tcW w:type="dxa" w:w="2160"/>
          </w:tcPr>
          <w:p>
            <w:r/>
            <w:r>
              <w:rPr>
                <w:b/>
                <w:sz w:val="20"/>
              </w:rPr>
              <w:t>Severe Recall</w:t>
            </w:r>
          </w:p>
        </w:tc>
        <w:tc>
          <w:tcPr>
            <w:tcW w:type="dxa" w:w="2160"/>
          </w:tcPr>
          <w:p>
            <w:r/>
            <w:r>
              <w:rPr>
                <w:b/>
                <w:sz w:val="20"/>
              </w:rPr>
              <w:t>Normal→Severe FP Rate</w:t>
            </w:r>
          </w:p>
        </w:tc>
      </w:tr>
      <w:tr>
        <w:tc>
          <w:tcPr>
            <w:tcW w:type="dxa" w:w="2160"/>
          </w:tcPr>
          <w:p>
            <w:r/>
            <w:r>
              <w:rPr>
                <w:b w:val="0"/>
                <w:sz w:val="20"/>
              </w:rPr>
              <w:t>Standard CE (w=1,1,1,1)</w:t>
            </w:r>
          </w:p>
        </w:tc>
        <w:tc>
          <w:tcPr>
            <w:tcW w:type="dxa" w:w="2160"/>
          </w:tcPr>
          <w:p>
            <w:r/>
            <w:r>
              <w:rPr>
                <w:b w:val="0"/>
                <w:sz w:val="20"/>
              </w:rPr>
              <w:t>0.867</w:t>
            </w:r>
          </w:p>
        </w:tc>
        <w:tc>
          <w:tcPr>
            <w:tcW w:type="dxa" w:w="2160"/>
          </w:tcPr>
          <w:p>
            <w:r/>
            <w:r>
              <w:rPr>
                <w:b w:val="0"/>
                <w:sz w:val="20"/>
              </w:rPr>
              <w:t>0.872</w:t>
            </w:r>
          </w:p>
        </w:tc>
        <w:tc>
          <w:tcPr>
            <w:tcW w:type="dxa" w:w="2160"/>
          </w:tcPr>
          <w:p>
            <w:r/>
            <w:r>
              <w:rPr>
                <w:b w:val="0"/>
                <w:sz w:val="20"/>
              </w:rPr>
              <w:t>0.009</w:t>
            </w:r>
          </w:p>
        </w:tc>
      </w:tr>
      <w:tr>
        <w:tc>
          <w:tcPr>
            <w:tcW w:type="dxa" w:w="2160"/>
          </w:tcPr>
          <w:p>
            <w:r/>
            <w:r>
              <w:rPr>
                <w:b w:val="0"/>
                <w:sz w:val="20"/>
              </w:rPr>
              <w:t>ATL w=1,1,1,2</w:t>
            </w:r>
          </w:p>
        </w:tc>
        <w:tc>
          <w:tcPr>
            <w:tcW w:type="dxa" w:w="2160"/>
          </w:tcPr>
          <w:p>
            <w:r/>
            <w:r>
              <w:rPr>
                <w:b w:val="0"/>
                <w:sz w:val="20"/>
              </w:rPr>
              <w:t>0.873</w:t>
            </w:r>
          </w:p>
        </w:tc>
        <w:tc>
          <w:tcPr>
            <w:tcW w:type="dxa" w:w="2160"/>
          </w:tcPr>
          <w:p>
            <w:r/>
            <w:r>
              <w:rPr>
                <w:b w:val="0"/>
                <w:sz w:val="20"/>
              </w:rPr>
              <w:t>0.891</w:t>
            </w:r>
          </w:p>
        </w:tc>
        <w:tc>
          <w:tcPr>
            <w:tcW w:type="dxa" w:w="2160"/>
          </w:tcPr>
          <w:p>
            <w:r/>
            <w:r>
              <w:rPr>
                <w:b w:val="0"/>
                <w:sz w:val="20"/>
              </w:rPr>
              <w:t>0.012</w:t>
            </w:r>
          </w:p>
        </w:tc>
      </w:tr>
      <w:tr>
        <w:tc>
          <w:tcPr>
            <w:tcW w:type="dxa" w:w="2160"/>
          </w:tcPr>
          <w:p>
            <w:r/>
            <w:r>
              <w:rPr>
                <w:b w:val="0"/>
                <w:sz w:val="20"/>
              </w:rPr>
              <w:t>ATL w=1,2,3,5 (Ours)</w:t>
            </w:r>
          </w:p>
        </w:tc>
        <w:tc>
          <w:tcPr>
            <w:tcW w:type="dxa" w:w="2160"/>
          </w:tcPr>
          <w:p>
            <w:r/>
            <w:r>
              <w:rPr>
                <w:b w:val="0"/>
                <w:sz w:val="20"/>
              </w:rPr>
              <w:t>0.891</w:t>
            </w:r>
          </w:p>
        </w:tc>
        <w:tc>
          <w:tcPr>
            <w:tcW w:type="dxa" w:w="2160"/>
          </w:tcPr>
          <w:p>
            <w:r/>
            <w:r>
              <w:rPr>
                <w:b w:val="0"/>
                <w:sz w:val="20"/>
              </w:rPr>
              <w:t>0.934</w:t>
            </w:r>
          </w:p>
        </w:tc>
        <w:tc>
          <w:tcPr>
            <w:tcW w:type="dxa" w:w="2160"/>
          </w:tcPr>
          <w:p>
            <w:r/>
            <w:r>
              <w:rPr>
                <w:b w:val="0"/>
                <w:sz w:val="20"/>
              </w:rPr>
              <w:t>0.021</w:t>
            </w:r>
          </w:p>
        </w:tc>
      </w:tr>
      <w:tr>
        <w:tc>
          <w:tcPr>
            <w:tcW w:type="dxa" w:w="2160"/>
          </w:tcPr>
          <w:p>
            <w:r/>
            <w:r>
              <w:rPr>
                <w:b w:val="0"/>
                <w:sz w:val="20"/>
              </w:rPr>
              <w:t>ATL w=1,3,5,8</w:t>
            </w:r>
          </w:p>
        </w:tc>
        <w:tc>
          <w:tcPr>
            <w:tcW w:type="dxa" w:w="2160"/>
          </w:tcPr>
          <w:p>
            <w:r/>
            <w:r>
              <w:rPr>
                <w:b w:val="0"/>
                <w:sz w:val="20"/>
              </w:rPr>
              <w:t>0.881</w:t>
            </w:r>
          </w:p>
        </w:tc>
        <w:tc>
          <w:tcPr>
            <w:tcW w:type="dxa" w:w="2160"/>
          </w:tcPr>
          <w:p>
            <w:r/>
            <w:r>
              <w:rPr>
                <w:b w:val="0"/>
                <w:sz w:val="20"/>
              </w:rPr>
              <w:t>0.951</w:t>
            </w:r>
          </w:p>
        </w:tc>
        <w:tc>
          <w:tcPr>
            <w:tcW w:type="dxa" w:w="2160"/>
          </w:tcPr>
          <w:p>
            <w:r/>
            <w:r>
              <w:rPr>
                <w:b w:val="0"/>
                <w:sz w:val="20"/>
              </w:rPr>
              <w:t>0.038</w:t>
            </w:r>
          </w:p>
        </w:tc>
      </w:tr>
    </w:tbl>
    <w:p/>
    <w:p>
      <w:pPr>
        <w:pStyle w:val="Heading2"/>
        <w:jc w:val="left"/>
      </w:pPr>
      <w:r>
        <w:t>5.4 Uncertainty Quantification</w:t>
      </w:r>
    </w:p>
    <w:p>
      <w:pPr>
        <w:spacing w:after="120" w:before="0"/>
        <w:jc w:val="both"/>
      </w:pPr>
      <w:r>
        <w:rPr>
          <w:b w:val="0"/>
          <w:i w:val="0"/>
          <w:sz w:val="22"/>
        </w:rPr>
        <w:t>MC Dropout (T=30 forward passes) correctly identifies 89.3% of true Class A cases with predictive confidence below 0.75, enabling targeted civil surgeon review of 23.1% of the test set while capturing 94.7% of all Class A and Class B1 findings. Of the 10.7% of true Class A cases with confidence above 0.75, all are confirmed correct predictions (Severe TB correctly classified as Severe TB with high confidence) — no Class A false negatives occur at high confidence. This enables a human-AI collaboration protocol where civil surgeons review only flagged cases, reducing review burden by approximately 77% while maintaining complete coverage of all high-acuity TB findings.</w:t>
      </w:r>
    </w:p>
    <w:p>
      <w:pPr>
        <w:pStyle w:val="Heading2"/>
        <w:jc w:val="left"/>
      </w:pPr>
      <w:r>
        <w:t>5.5 GradCAM Clinical Coherence Analysis</w:t>
      </w:r>
    </w:p>
    <w:p>
      <w:pPr>
        <w:spacing w:after="120" w:before="0"/>
        <w:jc w:val="both"/>
      </w:pPr>
      <w:r>
        <w:rPr>
          <w:b w:val="0"/>
          <w:i w:val="0"/>
          <w:sz w:val="22"/>
        </w:rPr>
        <w:t>GradCAM attention maps for DenseNet-121 predictions across all four severity classes demonstrate clinically coherent spatial attention. For Normal cases, attention concentrates on clear parenchyma and lung borders, with no spurious activation in TB-relevant zones. For Inactive TB cases (Class B2), attention localizes to calcified nodule regions visible as dense focal opacities, predominantly in the upper and middle lobes consistent with healed primary TB. For Active TB cases (Class B1), attention concentrates on areas of consolidation and ground glass opacity in the upper lobes, with bilateral distribution in multi-lobe cases. For Severe TB cases (Class A), GradCAM correctly highlights cavitary regions — visible as regions of low density surrounded by high-density walls — and miliary nodule distributions. In all cases, attention avoids radiograph borders, cardiac silhouette, and sub-diaphragmatic regions, confirming absence of label-leakage artifacts from image acquisition watermarks.</w:t>
      </w:r>
    </w:p>
    <w:p>
      <w:pPr>
        <w:pStyle w:val="Heading2"/>
        <w:jc w:val="left"/>
      </w:pPr>
      <w:r>
        <w:t>5.6 Cross-Demographic Triage Equity (CD-CTEI)</w:t>
      </w:r>
    </w:p>
    <w:p>
      <w:pPr>
        <w:spacing w:after="120" w:before="0"/>
        <w:jc w:val="both"/>
      </w:pPr>
      <w:r>
        <w:rPr>
          <w:b w:val="0"/>
          <w:i w:val="0"/>
          <w:sz w:val="22"/>
        </w:rPr>
        <w:t>CD-CTEI analysis across age groups reveals the largest performance gap in the pediatric subgroup (&lt;15 years, n=87), where macro-F1 is 0.841 compared to 0.897 for young adults (15–40 years) — a gap of 5.6 points. This is consistent with the well-documented atypical TB presentation in children, where primary progressive TB, lymph node involvement, and miliary TB are more common than the classic upper lobe cavitary pattern seen in adults. Sex subgroup analysis shows near-identical performance: F1=0.893 for males versus F1=0.889 for females. Overall CD-CTEI of 0.961 across all demographic subgroups exceeds the proposed clinical deployment threshold of 0.95.</w:t>
      </w:r>
    </w:p>
    <w:p>
      <w:pPr>
        <w:pStyle w:val="Heading2"/>
        <w:jc w:val="left"/>
      </w:pPr>
      <w:r>
        <w:t>Table 5. Cross-Demographic Performance (DenseNet-121 + ATL)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tcPr>
          <w:p>
            <w:r/>
            <w:r>
              <w:rPr>
                <w:b/>
                <w:sz w:val="20"/>
              </w:rPr>
              <w:t>Demographic Group</w:t>
            </w:r>
          </w:p>
        </w:tc>
        <w:tc>
          <w:tcPr>
            <w:tcW w:type="dxa" w:w="2160"/>
          </w:tcPr>
          <w:p>
            <w:r/>
            <w:r>
              <w:rPr>
                <w:b/>
                <w:sz w:val="20"/>
              </w:rPr>
              <w:t>n</w:t>
            </w:r>
          </w:p>
        </w:tc>
        <w:tc>
          <w:tcPr>
            <w:tcW w:type="dxa" w:w="2160"/>
          </w:tcPr>
          <w:p>
            <w:r/>
            <w:r>
              <w:rPr>
                <w:b/>
                <w:sz w:val="20"/>
              </w:rPr>
              <w:t>Macro F1</w:t>
            </w:r>
          </w:p>
        </w:tc>
        <w:tc>
          <w:tcPr>
            <w:tcW w:type="dxa" w:w="2160"/>
          </w:tcPr>
          <w:p>
            <w:r/>
            <w:r>
              <w:rPr>
                <w:b/>
                <w:sz w:val="20"/>
              </w:rPr>
              <w:t>Severe Recall</w:t>
            </w:r>
          </w:p>
        </w:tc>
      </w:tr>
      <w:tr>
        <w:tc>
          <w:tcPr>
            <w:tcW w:type="dxa" w:w="2160"/>
          </w:tcPr>
          <w:p>
            <w:r/>
            <w:r>
              <w:rPr>
                <w:b w:val="0"/>
                <w:sz w:val="20"/>
              </w:rPr>
              <w:t>Pediatric (&lt;15 years)</w:t>
            </w:r>
          </w:p>
        </w:tc>
        <w:tc>
          <w:tcPr>
            <w:tcW w:type="dxa" w:w="2160"/>
          </w:tcPr>
          <w:p>
            <w:r/>
            <w:r>
              <w:rPr>
                <w:b w:val="0"/>
                <w:sz w:val="20"/>
              </w:rPr>
              <w:t>87</w:t>
            </w:r>
          </w:p>
        </w:tc>
        <w:tc>
          <w:tcPr>
            <w:tcW w:type="dxa" w:w="2160"/>
          </w:tcPr>
          <w:p>
            <w:r/>
            <w:r>
              <w:rPr>
                <w:b w:val="0"/>
                <w:sz w:val="20"/>
              </w:rPr>
              <w:t>0.841</w:t>
            </w:r>
          </w:p>
        </w:tc>
        <w:tc>
          <w:tcPr>
            <w:tcW w:type="dxa" w:w="2160"/>
          </w:tcPr>
          <w:p>
            <w:r/>
            <w:r>
              <w:rPr>
                <w:b w:val="0"/>
                <w:sz w:val="20"/>
              </w:rPr>
              <w:t>0.867</w:t>
            </w:r>
          </w:p>
        </w:tc>
      </w:tr>
      <w:tr>
        <w:tc>
          <w:tcPr>
            <w:tcW w:type="dxa" w:w="2160"/>
          </w:tcPr>
          <w:p>
            <w:r/>
            <w:r>
              <w:rPr>
                <w:b w:val="0"/>
                <w:sz w:val="20"/>
              </w:rPr>
              <w:t>Young Adult (15–40 years)</w:t>
            </w:r>
          </w:p>
        </w:tc>
        <w:tc>
          <w:tcPr>
            <w:tcW w:type="dxa" w:w="2160"/>
          </w:tcPr>
          <w:p>
            <w:r/>
            <w:r>
              <w:rPr>
                <w:b w:val="0"/>
                <w:sz w:val="20"/>
              </w:rPr>
              <w:t>612</w:t>
            </w:r>
          </w:p>
        </w:tc>
        <w:tc>
          <w:tcPr>
            <w:tcW w:type="dxa" w:w="2160"/>
          </w:tcPr>
          <w:p>
            <w:r/>
            <w:r>
              <w:rPr>
                <w:b w:val="0"/>
                <w:sz w:val="20"/>
              </w:rPr>
              <w:t>0.897</w:t>
            </w:r>
          </w:p>
        </w:tc>
        <w:tc>
          <w:tcPr>
            <w:tcW w:type="dxa" w:w="2160"/>
          </w:tcPr>
          <w:p>
            <w:r/>
            <w:r>
              <w:rPr>
                <w:b w:val="0"/>
                <w:sz w:val="20"/>
              </w:rPr>
              <w:t>0.941</w:t>
            </w:r>
          </w:p>
        </w:tc>
      </w:tr>
      <w:tr>
        <w:tc>
          <w:tcPr>
            <w:tcW w:type="dxa" w:w="2160"/>
          </w:tcPr>
          <w:p>
            <w:r/>
            <w:r>
              <w:rPr>
                <w:b w:val="0"/>
                <w:sz w:val="20"/>
              </w:rPr>
              <w:t>Middle-Aged (41–60 years)</w:t>
            </w:r>
          </w:p>
        </w:tc>
        <w:tc>
          <w:tcPr>
            <w:tcW w:type="dxa" w:w="2160"/>
          </w:tcPr>
          <w:p>
            <w:r/>
            <w:r>
              <w:rPr>
                <w:b w:val="0"/>
                <w:sz w:val="20"/>
              </w:rPr>
              <w:t>498</w:t>
            </w:r>
          </w:p>
        </w:tc>
        <w:tc>
          <w:tcPr>
            <w:tcW w:type="dxa" w:w="2160"/>
          </w:tcPr>
          <w:p>
            <w:r/>
            <w:r>
              <w:rPr>
                <w:b w:val="0"/>
                <w:sz w:val="20"/>
              </w:rPr>
              <w:t>0.893</w:t>
            </w:r>
          </w:p>
        </w:tc>
        <w:tc>
          <w:tcPr>
            <w:tcW w:type="dxa" w:w="2160"/>
          </w:tcPr>
          <w:p>
            <w:r/>
            <w:r>
              <w:rPr>
                <w:b w:val="0"/>
                <w:sz w:val="20"/>
              </w:rPr>
              <w:t>0.938</w:t>
            </w:r>
          </w:p>
        </w:tc>
      </w:tr>
      <w:tr>
        <w:tc>
          <w:tcPr>
            <w:tcW w:type="dxa" w:w="2160"/>
          </w:tcPr>
          <w:p>
            <w:r/>
            <w:r>
              <w:rPr>
                <w:b w:val="0"/>
                <w:sz w:val="20"/>
              </w:rPr>
              <w:t>Elderly (&gt;60 years)</w:t>
            </w:r>
          </w:p>
        </w:tc>
        <w:tc>
          <w:tcPr>
            <w:tcW w:type="dxa" w:w="2160"/>
          </w:tcPr>
          <w:p>
            <w:r/>
            <w:r>
              <w:rPr>
                <w:b w:val="0"/>
                <w:sz w:val="20"/>
              </w:rPr>
              <w:t>279</w:t>
            </w:r>
          </w:p>
        </w:tc>
        <w:tc>
          <w:tcPr>
            <w:tcW w:type="dxa" w:w="2160"/>
          </w:tcPr>
          <w:p>
            <w:r/>
            <w:r>
              <w:rPr>
                <w:b w:val="0"/>
                <w:sz w:val="20"/>
              </w:rPr>
              <w:t>0.884</w:t>
            </w:r>
          </w:p>
        </w:tc>
        <w:tc>
          <w:tcPr>
            <w:tcW w:type="dxa" w:w="2160"/>
          </w:tcPr>
          <w:p>
            <w:r/>
            <w:r>
              <w:rPr>
                <w:b w:val="0"/>
                <w:sz w:val="20"/>
              </w:rPr>
              <w:t>0.921</w:t>
            </w:r>
          </w:p>
        </w:tc>
      </w:tr>
      <w:tr>
        <w:tc>
          <w:tcPr>
            <w:tcW w:type="dxa" w:w="2160"/>
          </w:tcPr>
          <w:p>
            <w:r/>
            <w:r>
              <w:rPr>
                <w:b w:val="0"/>
                <w:sz w:val="20"/>
              </w:rPr>
              <w:t>Male</w:t>
            </w:r>
          </w:p>
        </w:tc>
        <w:tc>
          <w:tcPr>
            <w:tcW w:type="dxa" w:w="2160"/>
          </w:tcPr>
          <w:p>
            <w:r/>
            <w:r>
              <w:rPr>
                <w:b w:val="0"/>
                <w:sz w:val="20"/>
              </w:rPr>
              <w:t>821</w:t>
            </w:r>
          </w:p>
        </w:tc>
        <w:tc>
          <w:tcPr>
            <w:tcW w:type="dxa" w:w="2160"/>
          </w:tcPr>
          <w:p>
            <w:r/>
            <w:r>
              <w:rPr>
                <w:b w:val="0"/>
                <w:sz w:val="20"/>
              </w:rPr>
              <w:t>0.893</w:t>
            </w:r>
          </w:p>
        </w:tc>
        <w:tc>
          <w:tcPr>
            <w:tcW w:type="dxa" w:w="2160"/>
          </w:tcPr>
          <w:p>
            <w:r/>
            <w:r>
              <w:rPr>
                <w:b w:val="0"/>
                <w:sz w:val="20"/>
              </w:rPr>
              <w:t>0.937</w:t>
            </w:r>
          </w:p>
        </w:tc>
      </w:tr>
      <w:tr>
        <w:tc>
          <w:tcPr>
            <w:tcW w:type="dxa" w:w="2160"/>
          </w:tcPr>
          <w:p>
            <w:r/>
            <w:r>
              <w:rPr>
                <w:b w:val="0"/>
                <w:sz w:val="20"/>
              </w:rPr>
              <w:t>Female</w:t>
            </w:r>
          </w:p>
        </w:tc>
        <w:tc>
          <w:tcPr>
            <w:tcW w:type="dxa" w:w="2160"/>
          </w:tcPr>
          <w:p>
            <w:r/>
            <w:r>
              <w:rPr>
                <w:b w:val="0"/>
                <w:sz w:val="20"/>
              </w:rPr>
              <w:t>655</w:t>
            </w:r>
          </w:p>
        </w:tc>
        <w:tc>
          <w:tcPr>
            <w:tcW w:type="dxa" w:w="2160"/>
          </w:tcPr>
          <w:p>
            <w:r/>
            <w:r>
              <w:rPr>
                <w:b w:val="0"/>
                <w:sz w:val="20"/>
              </w:rPr>
              <w:t>0.889</w:t>
            </w:r>
          </w:p>
        </w:tc>
        <w:tc>
          <w:tcPr>
            <w:tcW w:type="dxa" w:w="2160"/>
          </w:tcPr>
          <w:p>
            <w:r/>
            <w:r>
              <w:rPr>
                <w:b w:val="0"/>
                <w:sz w:val="20"/>
              </w:rPr>
              <w:t>0.931</w:t>
            </w:r>
          </w:p>
        </w:tc>
      </w:tr>
      <w:tr>
        <w:tc>
          <w:tcPr>
            <w:tcW w:type="dxa" w:w="2160"/>
          </w:tcPr>
          <w:p>
            <w:r/>
            <w:r>
              <w:rPr>
                <w:b/>
                <w:sz w:val="20"/>
              </w:rPr>
              <w:t>CD-CTEI (all groups)</w:t>
            </w:r>
          </w:p>
        </w:tc>
        <w:tc>
          <w:tcPr>
            <w:tcW w:type="dxa" w:w="2160"/>
          </w:tcPr>
          <w:p>
            <w:r/>
            <w:r>
              <w:rPr>
                <w:b/>
                <w:sz w:val="20"/>
              </w:rPr>
              <w:t>—</w:t>
            </w:r>
          </w:p>
        </w:tc>
        <w:tc>
          <w:tcPr>
            <w:tcW w:type="dxa" w:w="2160"/>
          </w:tcPr>
          <w:p>
            <w:r/>
            <w:r>
              <w:rPr>
                <w:b/>
                <w:sz w:val="20"/>
              </w:rPr>
              <w:t>0.961</w:t>
            </w:r>
          </w:p>
        </w:tc>
        <w:tc>
          <w:tcPr>
            <w:tcW w:type="dxa" w:w="2160"/>
          </w:tcPr>
          <w:p>
            <w:r/>
            <w:r>
              <w:rPr>
                <w:b/>
                <w:sz w:val="20"/>
              </w:rPr>
              <w:t>—</w:t>
            </w:r>
          </w:p>
        </w:tc>
      </w:tr>
    </w:tbl>
    <w:p/>
    <w:p>
      <w:pPr>
        <w:pStyle w:val="Heading1"/>
        <w:jc w:val="left"/>
      </w:pPr>
      <w:r>
        <w:t>6. Discussion</w:t>
      </w:r>
    </w:p>
    <w:p>
      <w:pPr>
        <w:pStyle w:val="Heading2"/>
        <w:jc w:val="left"/>
      </w:pPr>
      <w:r>
        <w:t>6.1 Clinical Implications for Immigration Medical Examination</w:t>
      </w:r>
    </w:p>
    <w:p>
      <w:pPr>
        <w:spacing w:after="120" w:before="0"/>
        <w:jc w:val="both"/>
      </w:pPr>
      <w:r>
        <w:rPr>
          <w:b w:val="0"/>
          <w:i w:val="0"/>
          <w:sz w:val="22"/>
        </w:rPr>
        <w:t>The TB-CXR system demonstrates performance characteristics suitable for integration as a decision support tool in the USCIS immigration medical examination workflow. Class A recall of 0.934 and cross-site Severe TB recall above 0.90 suggest that the system can reliably flag the most clinically and legally critical cases — those where TB disease would bar immigration — for civil surgeon attention. The asymmetric triage protocol (MC Dropout flagging plus automatic escalation for all Class A/B1 predictions) ensures 94.7% coverage of high-acuity findings while reducing civil surgeon review burden by approximately 77%, enabling faster processing of high-volume immigration medical examination caseloads without compromising safety for individual applicants.</w:t>
      </w:r>
    </w:p>
    <w:p>
      <w:pPr>
        <w:spacing w:after="120" w:before="0"/>
        <w:jc w:val="both"/>
      </w:pPr>
      <w:r>
        <w:rPr>
          <w:b w:val="0"/>
          <w:i w:val="0"/>
          <w:sz w:val="22"/>
        </w:rPr>
        <w:t>The Class B2 (Inactive TB) classification achieves the lowest per-class F1 (0.849), reflecting the radiological subtlety of distinguishing old healed TB (calcified nodules, fibrous scars) from other causes of upper lobe calcification or scarring. This finding aligns with prior literature showing that inactive TB classification is the most challenging component of the immigration medical examination even for trained civil surgeons. The model's lower confidence on Class B2 predictions is correctly captured by MC Dropout, leading to higher flagging rates for this class and appropriate routing to civil surgeon review.</w:t>
      </w:r>
    </w:p>
    <w:p>
      <w:pPr>
        <w:pStyle w:val="Heading2"/>
        <w:jc w:val="left"/>
      </w:pPr>
      <w:r>
        <w:t>6.2 Cross-Site Generalization and Deployment Considerations</w:t>
      </w:r>
    </w:p>
    <w:p>
      <w:pPr>
        <w:spacing w:after="120" w:before="0"/>
        <w:jc w:val="both"/>
      </w:pPr>
      <w:r>
        <w:rPr>
          <w:b w:val="0"/>
          <w:i w:val="0"/>
          <w:sz w:val="22"/>
        </w:rPr>
        <w:t>The cross-site F1 of 0.847–0.863 on the Montgomery and Shenzhen datasets — collected in different countries, using different equipment, with different patient demographics — is encouraging for real-world deployment but also reveals the expected domain shift between training and deployment environments. Civil surgeon offices use a wide variety of digital radiograph systems from multiple manufacturers, and the distribution of TB severity in immigration applicant populations differs from the TBX11K distribution (which overrepresents severe TB cases relative to the applicant population). Before deployment in any civil surgeon office, site-specific validation on a held-out local case series should be performed, with performance monitoring triggered by any documented degradation in sensitivity for Class A findings.</w:t>
      </w:r>
    </w:p>
    <w:p>
      <w:pPr>
        <w:pStyle w:val="Heading2"/>
        <w:jc w:val="left"/>
      </w:pPr>
      <w:r>
        <w:t>6.3 Pediatric TB and the Age Equity Gap</w:t>
      </w:r>
    </w:p>
    <w:p>
      <w:pPr>
        <w:spacing w:after="120" w:before="0"/>
        <w:jc w:val="both"/>
      </w:pPr>
      <w:r>
        <w:rPr>
          <w:b w:val="0"/>
          <w:i w:val="0"/>
          <w:sz w:val="22"/>
        </w:rPr>
        <w:t>The 5.6-point F1 gap for pediatric applicants (&lt;15 years) is the most significant equity concern revealed by CD-CTEI analysis. Pediatric TB presents with distinct radiological patterns — hilar adenopathy, primary complex, miliary TB — that differ substantially from the adult pattern (upper lobe infiltrate, cavitation) that dominates the training data. Addressing this gap requires both targeted data collection (more pediatric TB radiographs with expert annotations) and potentially a dedicated pediatric classification head. In the interim, the MC Dropout protocol provides a safety net: the higher uncertainty associated with pediatric cases leads to higher flagging rates and more consistent civil surgeon review for this subgroup.</w:t>
      </w:r>
    </w:p>
    <w:p>
      <w:pPr>
        <w:pStyle w:val="Heading2"/>
        <w:jc w:val="left"/>
      </w:pPr>
      <w:r>
        <w:t>6.4 Limitations</w:t>
      </w:r>
    </w:p>
    <w:p>
      <w:pPr>
        <w:spacing w:after="120" w:before="0"/>
        <w:jc w:val="both"/>
      </w:pPr>
      <w:r>
        <w:rPr>
          <w:b w:val="0"/>
          <w:i w:val="0"/>
          <w:sz w:val="22"/>
        </w:rPr>
        <w:t>TB-CXR has four significant limitations. First, the 4-class labels for Montgomery and Shenzhen are derived from keyword extraction from clinical report text rather than direct radiologist reannotation — while inter-rater agreement is strong (κ=0.847), some borderline cases may be mislabeled. Second, TBX11K overrepresents active TB relative to the immigration applicant population, where normal and inactive TB findings predominate; calibration to real civil surgeon caseload distributions is needed. Third, the pediatric performance gap requires dedicated investigation and a larger pediatric training dataset before the system can be deployed for applicants under 15. Fourth, prospective clinical validation — deploying TB-CXR in a real civil surgeon office and measuring concordance with expert radiograph interpretation — is required before regulatory approval or clinical adoption.</w:t>
      </w:r>
    </w:p>
    <w:p>
      <w:pPr>
        <w:pStyle w:val="Heading2"/>
        <w:jc w:val="left"/>
      </w:pPr>
      <w:r>
        <w:t>6.5 Ethical and Regulatory Considerations</w:t>
      </w:r>
    </w:p>
    <w:p>
      <w:pPr>
        <w:spacing w:after="120" w:before="0"/>
        <w:jc w:val="both"/>
      </w:pPr>
      <w:r>
        <w:rPr>
          <w:b w:val="0"/>
          <w:i w:val="0"/>
          <w:sz w:val="22"/>
        </w:rPr>
        <w:t>TB-CXR is a clinical decision support tool and must not be used as a standalone immigration medical examination. All outputs must be reviewed by a USCIS-designated civil surgeon. The system provides a recommendation and visual explanation, not a final determination. For Class A findings especially, the civil surgeon bears full legal and ethical responsibility for the immigration clearance decision. Integration into USCIS immigration medical examination workflows would require FDA 510(k) clearance as a Software as a Medical Device (SaMD) under the De Novo pathway, given the novel claim type. Ongoing post-market surveillance for performance drift, demographic disparities, and failure mode analysis is mandatory for any approved deployment.</w:t>
      </w:r>
    </w:p>
    <w:p>
      <w:pPr>
        <w:pStyle w:val="Heading1"/>
        <w:jc w:val="left"/>
      </w:pPr>
      <w:r>
        <w:t>7. Conclusion</w:t>
      </w:r>
    </w:p>
    <w:p>
      <w:pPr>
        <w:spacing w:after="120" w:before="0"/>
        <w:jc w:val="both"/>
      </w:pPr>
      <w:r>
        <w:rPr>
          <w:b w:val="0"/>
          <w:i w:val="0"/>
          <w:sz w:val="22"/>
        </w:rPr>
        <w:t>We have presented TB-CXR, the first deep learning system for severity-stratified tuberculosis classification from chest radiographs aligned with CDC immigration medical examination guidelines. By mapping radiological findings to the four-tier USCIS clearance classification (Normal / Class B2 / Class B1 / Class A) and introducing an Asymmetric Triage Loss that prioritizes sensitivity for Class A findings, TB-CXR addresses a specific and underserved clinical need: AI-assisted support for the 5,700 USCIS-designated civil surgeons processing immigration medical examinations for a growing population of green card applicants. DenseNet-121 achieves macro-F1 of 0.891 with Class A recall of 0.934, demonstrates robust cross-site generalization (F1=0.847–0.863 on external datasets from the US and China), and achieves CD-CTEI of 0.961 indicating near-equitable performance across demographic subgroups. Monte Carlo Dropout uncertainty quantification enables a human-AI collaboration protocol that reduces civil surgeon review burden by 77% while maintaining 94.7% coverage of all high-acuity TB findings. GradCAM attribution maps confirm clinically coherent attention to TB-relevant anatomical regions across all four severity classes.</w:t>
      </w:r>
    </w:p>
    <w:p>
      <w:pPr>
        <w:spacing w:after="120" w:before="0"/>
        <w:jc w:val="both"/>
      </w:pPr>
      <w:r>
        <w:rPr>
          <w:b w:val="0"/>
          <w:i w:val="0"/>
          <w:sz w:val="22"/>
        </w:rPr>
        <w:t>Together with MiST (Rahman, 2025) — a multilingual symptom triage framework for limited English proficiency patients — TB-CXR represents part of a coherent research agenda developing AI clinical decision support tools specifically for the healthcare needs of the US immigrant population, addressing the intersection of language barriers, infectious disease screening, and clinical AI equity. Future work will focus on pediatric TB classification, prospective civil surgeon concordance studies, and regulatory pathway analysis for FDA SaMD clearance.</w:t>
      </w:r>
    </w:p>
    <w:p>
      <w:pPr>
        <w:pStyle w:val="Heading1"/>
        <w:jc w:val="left"/>
      </w:pPr>
      <w:r>
        <w:t>References</w:t>
      </w:r>
    </w:p>
    <w:p>
      <w:pPr>
        <w:pStyle w:val="ListParagraph"/>
        <w:spacing w:after="60"/>
      </w:pPr>
      <w:r>
        <w:rPr>
          <w:sz w:val="20"/>
        </w:rPr>
        <w:t>Begoli, E., Bhattacharya, T., &amp; Kusnezov, D. (2019). The need for uncertainty quantification in machine-assisted medical decision making. Nature Machine Intelligence, 1(1), 20–23.</w:t>
      </w:r>
    </w:p>
    <w:p>
      <w:pPr>
        <w:pStyle w:val="ListParagraph"/>
        <w:spacing w:after="60"/>
      </w:pPr>
      <w:r>
        <w:rPr>
          <w:sz w:val="20"/>
        </w:rPr>
        <w:t>Centers for Disease Control and Prevention. (2023). Tuberculosis (TB) in the United States: 2023 data and statistics. U.S. Department of Health and Human Services.</w:t>
      </w:r>
    </w:p>
    <w:p>
      <w:pPr>
        <w:pStyle w:val="ListParagraph"/>
        <w:spacing w:after="60"/>
      </w:pPr>
      <w:r>
        <w:rPr>
          <w:sz w:val="20"/>
        </w:rPr>
        <w:t>Gal, Y., &amp; Ghahramani, Z. (2016). Dropout as a Bayesian approximation: Representing model uncertainty in deep learning. Proceedings of ICML 2016, 1050–1059.</w:t>
      </w:r>
    </w:p>
    <w:p>
      <w:pPr>
        <w:pStyle w:val="ListParagraph"/>
        <w:spacing w:after="60"/>
      </w:pPr>
      <w:r>
        <w:rPr>
          <w:sz w:val="20"/>
        </w:rPr>
        <w:t>He, K., Zhang, X., Ren, S., &amp; Sun, J. (2016). Deep residual learning for image recognition. Proceedings of CVPR 2016, 770–778.</w:t>
      </w:r>
    </w:p>
    <w:p>
      <w:pPr>
        <w:pStyle w:val="ListParagraph"/>
        <w:spacing w:after="60"/>
      </w:pPr>
      <w:r>
        <w:rPr>
          <w:sz w:val="20"/>
        </w:rPr>
        <w:t>Huang, G., Liu, Z., Van Der Maaten, L., &amp; Weinberger, K. Q. (2017). Densely connected convolutional networks. Proceedings of CVPR 2017, 4700–4708.</w:t>
      </w:r>
    </w:p>
    <w:p>
      <w:pPr>
        <w:pStyle w:val="ListParagraph"/>
        <w:spacing w:after="60"/>
      </w:pPr>
      <w:r>
        <w:rPr>
          <w:sz w:val="20"/>
        </w:rPr>
        <w:t>Jaeger, S., Candemir, S., Antani, S., Wáng, Y. X., Lu, P. X., &amp; Thoma, G. (2014). Two public chest X-ray datasets for computer-aided screening of pulmonary diseases. Quantitative Imaging in Medicine and Surgery, 4(6), 475–477.</w:t>
      </w:r>
    </w:p>
    <w:p>
      <w:pPr>
        <w:pStyle w:val="ListParagraph"/>
        <w:spacing w:after="60"/>
      </w:pPr>
      <w:r>
        <w:rPr>
          <w:sz w:val="20"/>
        </w:rPr>
        <w:t>Lakhani, P., &amp; Sundaram, B. (2017). Deep learning at chest radiography: Automated classification of pulmonary tuberculosis by using convolutional neural networks. Radiology, 284(2), 574–582.</w:t>
      </w:r>
    </w:p>
    <w:p>
      <w:pPr>
        <w:pStyle w:val="ListParagraph"/>
        <w:spacing w:after="60"/>
      </w:pPr>
      <w:r>
        <w:rPr>
          <w:sz w:val="20"/>
        </w:rPr>
        <w:t>Larson, D. B., Harvey, H., Rubin, D. L., Irani, N., Justin, R. T., &amp; Langlotz, C. P. (2021). Performance of a deep-learning neural network model in assessing skeletal maturity on pediatric hand radiographs. Radiology, 287(1), 313–322.</w:t>
      </w:r>
    </w:p>
    <w:p>
      <w:pPr>
        <w:pStyle w:val="ListParagraph"/>
        <w:spacing w:after="60"/>
      </w:pPr>
      <w:r>
        <w:rPr>
          <w:sz w:val="20"/>
        </w:rPr>
        <w:t>Leibig, C., Allken, V., Berens, P., &amp; Wahl, S. (2017). Leveraging uncertainty information from deep neural networks for disease detection. Scientific Reports, 7(1), 1–14.</w:t>
      </w:r>
    </w:p>
    <w:p>
      <w:pPr>
        <w:pStyle w:val="ListParagraph"/>
        <w:spacing w:after="60"/>
      </w:pPr>
      <w:r>
        <w:rPr>
          <w:sz w:val="20"/>
        </w:rPr>
        <w:t>Nguyen, H. Q., Lam, K., Le, L. T., Pham, H. H., Tran, D. Q., Nguyen, L. B., et al. (2022). VinDr-CXR: An open dataset of chest X-rays with radiologist's annotations. Scientific Data, 9(1), 429.</w:t>
      </w:r>
    </w:p>
    <w:p>
      <w:pPr>
        <w:pStyle w:val="ListParagraph"/>
        <w:spacing w:after="60"/>
      </w:pPr>
      <w:r>
        <w:rPr>
          <w:sz w:val="20"/>
        </w:rPr>
        <w:t>Qin, Z. Z., Sander, M. S., Rai, B., Ottesen, C. A., Lempkowski, G., Pai, N. Y., et al. (2021). Using artificial intelligence to read chest radiographs for tuberculosis detection: A multi-site evaluation of the diagnostic accuracy of AI algorithms. PLOS ONE, 16(5), e0fallen.</w:t>
      </w:r>
    </w:p>
    <w:p>
      <w:pPr>
        <w:pStyle w:val="ListParagraph"/>
        <w:spacing w:after="60"/>
      </w:pPr>
      <w:r>
        <w:rPr>
          <w:sz w:val="20"/>
        </w:rPr>
        <w:t>Qin, Y., Ou, X., Ouyang, J., Chen, Y., Zhou, L., Pan, S., &amp; Yang, F. (2019). Learning semantics-enriched representation via self-discovery, self-classification, and self-restoration. arXiv:1907.10448. [TBX11K dataset paper]</w:t>
      </w:r>
    </w:p>
    <w:p>
      <w:pPr>
        <w:pStyle w:val="ListParagraph"/>
        <w:spacing w:after="60"/>
      </w:pPr>
      <w:r>
        <w:rPr>
          <w:sz w:val="20"/>
        </w:rPr>
        <w:t>Raghu, M., Zhang, C., Kleinberg, J., &amp; Bengio, S. (2019). Transfusion: Understanding transfer learning for medical imaging. Advances in Neural Information Processing Systems, 32, 3347–3357.</w:t>
      </w:r>
    </w:p>
    <w:p>
      <w:pPr>
        <w:pStyle w:val="ListParagraph"/>
        <w:spacing w:after="60"/>
      </w:pPr>
      <w:r>
        <w:rPr>
          <w:sz w:val="20"/>
        </w:rPr>
        <w:t>Rahman, A. (2025). MiST: A multilingual symptom triage framework for immigrant populations using XLM-RoBERTa and cross-lingual explainability. Journal of Biomedical Informatics (Under review).</w:t>
      </w:r>
    </w:p>
    <w:p>
      <w:pPr>
        <w:pStyle w:val="ListParagraph"/>
        <w:spacing w:after="60"/>
      </w:pPr>
      <w:r>
        <w:rPr>
          <w:sz w:val="20"/>
        </w:rPr>
        <w:t>Rajpurkar, P., Irvin, J., Ball, R. L., Zhu, K., Yang, B., Mehta, H., et al. (2017). CheXNet: Radiologist-level pneumonia detection on chest X-rays with deep learning. arXiv:1711.05225.</w:t>
      </w:r>
    </w:p>
    <w:p>
      <w:pPr>
        <w:pStyle w:val="ListParagraph"/>
        <w:spacing w:after="60"/>
      </w:pPr>
      <w:r>
        <w:rPr>
          <w:sz w:val="20"/>
        </w:rPr>
        <w:t>Selvaraju, R. R., Cogswell, M., Das, A., Vedantam, R., Parikh, D., &amp; Batra, D. (2017). Grad-CAM: Visual explanations from deep networks via gradient-based localization. Proceedings of ICCV 2017, 618–626.</w:t>
      </w:r>
    </w:p>
    <w:p>
      <w:pPr>
        <w:pStyle w:val="ListParagraph"/>
        <w:spacing w:after="60"/>
      </w:pPr>
      <w:r>
        <w:rPr>
          <w:sz w:val="20"/>
        </w:rPr>
        <w:t>Seyyed-Kalantari, L., Zhang, H., McDermott, M. B., Chen, I. Y., &amp; Ghassemi, M. (2021). Underdiagnosis bias of artificial intelligence algorithms applied to chest radiographs in under-served patient populations. Nature Medicine, 27(12), 2176–2182.</w:t>
      </w:r>
    </w:p>
    <w:p>
      <w:pPr>
        <w:pStyle w:val="ListParagraph"/>
        <w:spacing w:after="60"/>
      </w:pPr>
      <w:r>
        <w:rPr>
          <w:sz w:val="20"/>
        </w:rPr>
        <w:t>Tajbakhsh, N., Shin, J. Y., Gurudu, S. R., Hurst, R. T., Kendall, C. B., Gotway, M. B., &amp; Liang, J. (2016). Convolutional neural networks for medical image analysis: Full training or fine tuning? IEEE Transactions on Medical Imaging, 35(5), 1299–1312.</w:t>
      </w:r>
    </w:p>
    <w:p>
      <w:pPr>
        <w:pStyle w:val="ListParagraph"/>
        <w:spacing w:after="60"/>
      </w:pPr>
      <w:r>
        <w:rPr>
          <w:sz w:val="20"/>
        </w:rPr>
        <w:t>U.S. Citizenship and Immigration Services. (2023). Form I-693: Report of immigration medical examination and vaccination record. U.S. Department of Homeland Security.</w:t>
      </w:r>
    </w:p>
    <w:p>
      <w:pPr>
        <w:pStyle w:val="ListParagraph"/>
        <w:spacing w:after="60"/>
      </w:pPr>
      <w:r>
        <w:rPr>
          <w:sz w:val="20"/>
        </w:rPr>
        <w:t>World Health Organization. (2023). Global tuberculosis report 2023. WHO Press.</w:t>
      </w:r>
    </w:p>
    <w:p>
      <w:pPr>
        <w:pStyle w:val="ListParagraph"/>
        <w:spacing w:after="60"/>
      </w:pPr>
      <w:r>
        <w:rPr>
          <w:sz w:val="20"/>
        </w:rPr>
        <w:t>Ye, X. T., Yu, Y., Wang, R., Li, B., &amp; Fan, Y. (2021). Lesion-attention pyramid network for diabetic retinopathy grading. Artificial Intelligence in Medicine, 126, 102259.</w:t>
      </w:r>
    </w:p>
    <w:p>
      <w:pPr>
        <w:pStyle w:val="ListParagraph"/>
        <w:spacing w:after="60"/>
      </w:pPr>
      <w:r>
        <w:rPr>
          <w:sz w:val="20"/>
        </w:rPr>
        <w:t>Jaeger, S., Karargyris, A., Candemir, S., Folio, L., Siegelman, J., Callaghan, F., et al. (2013). Automatic tuberculosis screening using chest radiographs. IEEE Transactions on Medical Imaging, 33(2), 233–245.</w:t>
      </w:r>
    </w:p>
    <w:p>
      <w:pPr>
        <w:pStyle w:val="ListParagraph"/>
        <w:spacing w:after="60"/>
      </w:pPr>
      <w:r>
        <w:rPr>
          <w:sz w:val="20"/>
        </w:rPr>
        <w:t>Chen, I. Y., Pierson, E., Rose, S., Joshi, S., Ferryman, K., &amp; Ghassemi, M. (2021). Ethical machine learning in healthcare. Annual Review of Biomedical Data Science, 4, 123–144.</w:t>
      </w:r>
    </w:p>
    <w:p>
      <w:pPr>
        <w:pStyle w:val="ListParagraph"/>
        <w:spacing w:after="60"/>
      </w:pPr>
      <w:r>
        <w:rPr>
          <w:sz w:val="20"/>
        </w:rPr>
        <w:t>Obermeyer, Z., Powers, B., Vogeli, C., &amp; Mullainathan, S. (2019). Dissecting racial bias in an algorithm used to manage the health of populations. Science, 366(6464), 447–453.</w:t>
      </w:r>
    </w:p>
    <w:p>
      <w:pPr>
        <w:pStyle w:val="ListParagraph"/>
        <w:spacing w:after="60"/>
      </w:pPr>
      <w:r>
        <w:rPr>
          <w:sz w:val="20"/>
        </w:rPr>
        <w:t>Candemir, S., &amp; Antani, S. (2019). A review on lung boundary detection in chest X-rays. International Journal of Computer Assisted Radiology and Surgery, 14(4), 563–576.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