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Severity-Stratified Tuberculosis Classification from Chest Radiographs Aligned with CDC/USCIS Immigration Medical Examination Guidelines: A Deep Transfer Learning Approach with Asymmetric Triage Loss and Uncertainty Quantification</w:t>
      </w:r>
    </w:p>
    <w:p/>
    <w:p>
      <w:pPr>
        <w:jc w:val="center"/>
      </w:pPr>
      <w:r>
        <w:rPr>
          <w:b/>
          <w:sz w:val="24"/>
        </w:rPr>
        <w:t>Azizur Rahman</w:t>
      </w:r>
    </w:p>
    <w:p>
      <w:pPr>
        <w:jc w:val="center"/>
      </w:pPr>
      <w:r>
        <w:rPr>
          <w:b w:val="0"/>
          <w:sz w:val="20"/>
        </w:rPr>
        <w:t>Indiana Wesleyan University | RadTH Technologies</w:t>
      </w:r>
    </w:p>
    <w:p>
      <w:pPr>
        <w:jc w:val="center"/>
      </w:pPr>
      <w:r>
        <w:rPr>
          <w:b w:val="0"/>
          <w:sz w:val="20"/>
        </w:rPr>
        <w:t>azizurusa22@gmail.com</w:t>
      </w:r>
    </w:p>
    <w:p/>
    <w:p>
      <w:pPr>
        <w:spacing w:before="280" w:after="80"/>
      </w:pPr>
      <w:r>
        <w:rPr>
          <w:b/>
          <w:sz w:val="26"/>
        </w:rPr>
        <w:t>Abstract</w:t>
      </w:r>
    </w:p>
    <w:p>
      <w:pPr>
        <w:spacing w:after="120"/>
        <w:jc w:val="both"/>
      </w:pPr>
      <w:r>
        <w:t>Tuberculosis (TB) remains the leading infectious disease cause of death worldwide, and foreign-born individuals account for 71.4% of all US tuberculosis cases (CDC, 2023). Every applicant for a US green card or immigrant visa must undergo a mandatory chest radiograph as part of the USCIS Form I-693 immigration medical examination, administered by CDC-designated civil surgeons. Civil surgeons classify findings according to four CDC categories: Normal (cleared), Class B2 (inactive TB, cleared with follow-up), Class B1 (active TB, further evaluation required), and Class A (active or severe TB, applicant not cleared until treated). This classification directly determines US entry eligibility for millions of applicants annually. We present TB-CXR, the first deep learning framework explicitly aligned with these four CDC/USCIS immigration medical examination categories. Three ImageNet-pretrained architectures (DenseNet-121, ResNet-50, EfficientNet-B4) are fine-tuned on TBX11K (11,200 chest X-rays) with an Asymmetric Triage Loss that penalizes missed Severe TB (Class A) cases 5x more than missed Normal cases. External validation on Montgomery (138 images) and Shenzhen (662 images) hospital datasets demonstrates cross-site generalizability. DenseNet-121 achieves macro F1=0.913, Severe TB recall=0.944, and macro AUC=0.971. Monte Carlo Dropout uncertainty flags all Active/Severe TB predictions for mandatory civil surgeon review. Screening workflow simulation demonstrates 71.3% civil surgeon workload reduction with zero missed Class A cases. Cross-Demographic CD-CTEI=0.961 confirms equitable performance across age and sex subgroups.</w:t>
      </w:r>
    </w:p>
    <w:p>
      <w:r>
        <w:rPr>
          <w:b/>
        </w:rPr>
        <w:t xml:space="preserve">Keywords: </w:t>
      </w:r>
      <w:r>
        <w:t>tuberculosis, chest X-ray, immigration medical examination, USCIS, CDC, deep learning, DenseNet-121, EfficientNet-B4, transfer learning, GradCAM, Monte Carlo Dropout, CD-CTEI</w:t>
      </w:r>
    </w:p>
    <w:p/>
    <w:p>
      <w:pPr>
        <w:spacing w:before="280" w:after="80"/>
      </w:pPr>
      <w:r>
        <w:rPr>
          <w:b/>
          <w:sz w:val="26"/>
        </w:rPr>
        <w:t>1. Introduction</w:t>
      </w:r>
    </w:p>
    <w:p>
      <w:pPr>
        <w:spacing w:after="120"/>
        <w:jc w:val="both"/>
      </w:pPr>
      <w:r>
        <w:t>Tuberculosis is the world's leading infectious disease killer, causing an estimated 1.6 million deaths globally in 2022 [1]. In the United States, 8,331 TB cases were reported in 2023, with foreign-born individuals accounting for 71.4% of all cases -- a proportion that has remained stable for over a decade [2]. The epidemiological link between immigration and TB transmission has made tuberculosis screening a cornerstone of US immigration policy since the Immigration Act of 1990.</w:t>
      </w:r>
    </w:p>
    <w:p>
      <w:pPr>
        <w:spacing w:after="120"/>
        <w:jc w:val="both"/>
      </w:pPr>
      <w:r>
        <w:t>Every applicant for a US green card (Form I-485), immigrant visa, or certain non-immigrant categories must undergo a mandatory medical examination administered by a USCIS-designated civil surgeon under Form I-693. The chest radiograph component of this examination requires classification according to four CDC categories: Normal (cleared for processing), Class B2 (inactive or healed TB, cleared with mandatory 30-day domestic follow-up), Class B1 (active TB without cavitation, sputum evaluation required before clearance), and Class A (active or severe TB with cavitation or miliary pattern, immigration processing denied until treatment is complete) [3]. In 2023, approximately 1.1 million people received green cards in the United States, each requiring this examination [4]. The volume of immigration medical examinations has increased substantially with post-pandemic immigration processing resumption, placing strain on the network of approximately 5,400 designated civil surgeons nationwide [5].</w:t>
      </w:r>
    </w:p>
    <w:p>
      <w:pPr>
        <w:spacing w:after="120"/>
        <w:jc w:val="both"/>
      </w:pPr>
      <w:r>
        <w:t>Despite the clinical and administrative importance of this classification, no published AI system has been designed to output CDC/USCIS immigration medical examination categories directly. Existing chest X-ray AI systems classify findings as "TB" vs "Normal" or output a continuous TB probability score -- neither of which maps to the actionable four-class schema that civil surgeons must use. A radiologist or civil surgeon must translate AI output into CDC categories manually, introducing an additional decision step and potential for inconsistency across examiners.</w:t>
      </w:r>
    </w:p>
    <w:p>
      <w:pPr>
        <w:spacing w:after="120"/>
        <w:jc w:val="both"/>
      </w:pPr>
      <w:r>
        <w:t>We address this gap with TB-CXR, a deep transfer learning framework that outputs the four CDC/USCIS immigration medical examination severity classes directly. Our contributions are: (1) a keyword-based severity grading pipeline converting radiology report text to four-class CDC labels; (2) Asymmetric Triage Loss ensuring Class A cases receive maximum detection priority; (3) three-architecture comparison (DenseNet-121, ResNet-50, EfficientNet-B4); (4) per-class ROC-AUC analysis; (5) GradCAM explainability for civil surgeon documentation; (6) Monte Carlo Dropout uncertainty quantification; (7) civil surgeon workload simulation; (8) Cross-Demographic CD-CTEI fairness evaluation.</w:t>
      </w:r>
    </w:p>
    <w:p>
      <w:pPr>
        <w:spacing w:before="280" w:after="80"/>
      </w:pPr>
      <w:r>
        <w:rPr>
          <w:b/>
          <w:sz w:val="26"/>
        </w:rPr>
        <w:t>2. Background and Related Work</w:t>
      </w:r>
    </w:p>
    <w:p>
      <w:pPr>
        <w:spacing w:before="160" w:after="40"/>
      </w:pPr>
      <w:r>
        <w:rPr>
          <w:b/>
          <w:sz w:val="22"/>
        </w:rPr>
        <w:t>2.1 Tuberculosis and US Immigration Policy</w:t>
      </w:r>
    </w:p>
    <w:p>
      <w:pPr>
        <w:spacing w:after="120"/>
        <w:jc w:val="both"/>
      </w:pPr>
      <w:r>
        <w:t>The CDC TB classification system for immigration medical examinations has been in place since 1991, with major updates in 2007 and 2012. The current Class A/B1/B2/Normal schema reflects decades of epidemiological evidence linking specific radiographic findings (cavitation, miliary pattern, consolidation) to infectious risk and treatment urgency [6]. Civil surgeons are required to complete CDC Form DS-3025 for each applicant, documenting the specific class and required follow-up. Approximately 95% of green card applicants pass the examination without a TB-related hold; of the remaining 5%, Class B2 is the most common finding (~3.5%), with Class A representing fewer than 0.2% of applicants [7].</w:t>
      </w:r>
    </w:p>
    <w:p>
      <w:pPr>
        <w:spacing w:before="160" w:after="40"/>
      </w:pPr>
      <w:r>
        <w:rPr>
          <w:b/>
          <w:sz w:val="22"/>
        </w:rPr>
        <w:t>2.2 Chest X-Ray AI for TB Detection</w:t>
      </w:r>
    </w:p>
    <w:p>
      <w:pPr>
        <w:spacing w:after="120"/>
        <w:jc w:val="both"/>
      </w:pPr>
      <w:r>
        <w:t>CNN-based approaches for TB detection achieved radiologist-level accuracy in binary normal/TB classification. Rajpurkar et al. (2017) demonstrated CheXNet exceeding radiologist performance on pneumonia detection [8]. Lakhani and Sundaram (2017) achieved 96% AUC for TB detection on Montgomery and Shenzhen datasets [9]. Hwang et al. (2019) deployed a deep learning system for TB screening in South Korea achieving 94% sensitivity [10]. None of these systems produce CDC immigration classification categories.</w:t>
      </w:r>
    </w:p>
    <w:p>
      <w:pPr>
        <w:spacing w:before="160" w:after="40"/>
      </w:pPr>
      <w:r>
        <w:rPr>
          <w:b/>
          <w:sz w:val="22"/>
        </w:rPr>
        <w:t>2.3 Transfer Learning for Medical Imaging</w:t>
      </w:r>
    </w:p>
    <w:p>
      <w:pPr>
        <w:spacing w:after="120"/>
        <w:jc w:val="both"/>
      </w:pPr>
      <w:r>
        <w:t>ImageNet-pretrained CNNs consistently outperform randomly initialized models on medical imaging classification [11]. DenseNet-121 is well-validated on chest X-ray tasks through CheXNet [8]. EfficientNet-B4 achieves superior accuracy with 60% fewer parameters than comparable ResNet architectures [12]. We evaluate all three to provide a comprehensive comparison for the clinical deployment context.</w:t>
      </w:r>
    </w:p>
    <w:p>
      <w:pPr>
        <w:spacing w:before="160" w:after="40"/>
      </w:pPr>
      <w:r>
        <w:rPr>
          <w:b/>
          <w:sz w:val="22"/>
        </w:rPr>
        <w:t>2.4 Uncertainty and Explainability in Medical AI</w:t>
      </w:r>
    </w:p>
    <w:p>
      <w:pPr>
        <w:spacing w:after="120"/>
        <w:jc w:val="both"/>
      </w:pPr>
      <w:r>
        <w:t>Gal and Ghahramani (2016) established MC Dropout as a practical Bayesian uncertainty approximation [13]. Selvaraju et al. (2017) introduced GradCAM for CNN spatial explainability [14]. For immigration medical examination support, explainability is particularly important: civil surgeons are legally responsible for their Form I-693 classification and need to verify AI-identified findings in specific lung regions.</w:t>
      </w:r>
    </w:p>
    <w:p>
      <w:pPr>
        <w:spacing w:before="280" w:after="80"/>
      </w:pPr>
      <w:r>
        <w:rPr>
          <w:b/>
          <w:sz w:val="26"/>
        </w:rPr>
        <w:t>3. Methods</w:t>
      </w:r>
    </w:p>
    <w:p>
      <w:pPr>
        <w:spacing w:before="160" w:after="40"/>
      </w:pPr>
      <w:r>
        <w:rPr>
          <w:b/>
          <w:sz w:val="22"/>
        </w:rPr>
        <w:t>3.1 Datasets</w:t>
      </w:r>
    </w:p>
    <w:p>
      <w:pPr>
        <w:spacing w:after="120"/>
        <w:jc w:val="both"/>
      </w:pPr>
      <w:r>
        <w:t>TBX11K [15]: 11,200 chest X-ray images from three categories (healthy, sick non-TB, TB-positive) with bounding box annotations for TB findings. Used as primary training set. Montgomery County [16]: 138 chest X-rays from the Montgomery County TB Control Program (USA), 80 normal and 58 active TB with clinical reading text files. Used as external validation. Shenzhen Hospital [17]: 662 chest X-rays from Shenzhen No.3 Hospital (China), 336 normal and 326 TB-positive with clinical reading text files. Used as external validation. All datasets are publicly available and de-identified. No IRB approval was required.</w:t>
      </w:r>
    </w:p>
    <w:p>
      <w:pPr>
        <w:spacing w:before="160" w:after="40"/>
      </w:pPr>
      <w:r>
        <w:rPr>
          <w:b/>
          <w:sz w:val="22"/>
        </w:rPr>
        <w:t>3.2 Four-Class CDC Label Derivation</w:t>
      </w:r>
    </w:p>
    <w:p>
      <w:pPr>
        <w:spacing w:after="120"/>
        <w:jc w:val="both"/>
      </w:pPr>
      <w:r>
        <w:t>We derive four-class labels from available metadata using a keyword-based rule system applied to radiology report text. Severe TB (Class 3): presence of "cavit*", "miliary", "bilateral extensive", or "disseminated". Active TB (Class 2): presence of "infiltrat*", "consolidat*", "ground glass", "opacity", or "airspace". Inactive TB (Class 1): presence of "calcif*", "fibro*", "scar", "healed", "old", or "granuloma". Normal (Class 0): TB-negative label from dataset metadata. When no report text is available for TB-positive images, Active TB (Class 2) is assigned as the conservative default.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Class</w:t>
            </w:r>
          </w:p>
        </w:tc>
        <w:tc>
          <w:tcPr>
            <w:tcW w:type="dxa" w:w="1728"/>
          </w:tcPr>
          <w:p>
            <w:r>
              <w:rPr>
                <w:b/>
              </w:rPr>
              <w:t>CDC Label</w:t>
            </w:r>
          </w:p>
        </w:tc>
        <w:tc>
          <w:tcPr>
            <w:tcW w:type="dxa" w:w="1728"/>
          </w:tcPr>
          <w:p>
            <w:r>
              <w:rPr>
                <w:b/>
              </w:rPr>
              <w:t>Radiographic Finding</w:t>
            </w:r>
          </w:p>
        </w:tc>
        <w:tc>
          <w:tcPr>
            <w:tcW w:type="dxa" w:w="1728"/>
          </w:tcPr>
          <w:p>
            <w:r>
              <w:rPr>
                <w:b/>
              </w:rPr>
              <w:t>USCIS Outcome</w:t>
            </w:r>
          </w:p>
        </w:tc>
        <w:tc>
          <w:tcPr>
            <w:tcW w:type="dxa" w:w="1728"/>
          </w:tcPr>
          <w:p>
            <w:r>
              <w:rPr>
                <w:b/>
              </w:rPr>
              <w:t>Required Action</w:t>
            </w:r>
          </w:p>
        </w:tc>
      </w:tr>
      <w:tr>
        <w:tc>
          <w:tcPr>
            <w:tcW w:type="dxa" w:w="1728"/>
          </w:tcPr>
          <w:p>
            <w:r>
              <w:t>0</w:t>
            </w:r>
          </w:p>
        </w:tc>
        <w:tc>
          <w:tcPr>
            <w:tcW w:type="dxa" w:w="1728"/>
          </w:tcPr>
          <w:p>
            <w:r>
              <w:t>Normal</w:t>
            </w:r>
          </w:p>
        </w:tc>
        <w:tc>
          <w:tcPr>
            <w:tcW w:type="dxa" w:w="1728"/>
          </w:tcPr>
          <w:p>
            <w:r>
              <w:t>Clear lung fields</w:t>
            </w:r>
          </w:p>
        </w:tc>
        <w:tc>
          <w:tcPr>
            <w:tcW w:type="dxa" w:w="1728"/>
          </w:tcPr>
          <w:p>
            <w:r>
              <w:t>Cleared</w:t>
            </w:r>
          </w:p>
        </w:tc>
        <w:tc>
          <w:tcPr>
            <w:tcW w:type="dxa" w:w="1728"/>
          </w:tcPr>
          <w:p>
            <w:r>
              <w:t>Routine processing</w:t>
            </w:r>
          </w:p>
        </w:tc>
      </w:tr>
      <w:tr>
        <w:tc>
          <w:tcPr>
            <w:tcW w:type="dxa" w:w="1728"/>
          </w:tcPr>
          <w:p>
            <w:r>
              <w:t>1</w:t>
            </w:r>
          </w:p>
        </w:tc>
        <w:tc>
          <w:tcPr>
            <w:tcW w:type="dxa" w:w="1728"/>
          </w:tcPr>
          <w:p>
            <w:r>
              <w:t>Inactive TB</w:t>
            </w:r>
          </w:p>
        </w:tc>
        <w:tc>
          <w:tcPr>
            <w:tcW w:type="dxa" w:w="1728"/>
          </w:tcPr>
          <w:p>
            <w:r>
              <w:t>Calcified nodules, fibrotic scars</w:t>
            </w:r>
          </w:p>
        </w:tc>
        <w:tc>
          <w:tcPr>
            <w:tcW w:type="dxa" w:w="1728"/>
          </w:tcPr>
          <w:p>
            <w:r>
              <w:t>Class B2</w:t>
            </w:r>
          </w:p>
        </w:tc>
        <w:tc>
          <w:tcPr>
            <w:tcW w:type="dxa" w:w="1728"/>
          </w:tcPr>
          <w:p>
            <w:r>
              <w:t>Cleared + 30-day follow-up</w:t>
            </w:r>
          </w:p>
        </w:tc>
      </w:tr>
      <w:tr>
        <w:tc>
          <w:tcPr>
            <w:tcW w:type="dxa" w:w="1728"/>
          </w:tcPr>
          <w:p>
            <w:r>
              <w:t>2</w:t>
            </w:r>
          </w:p>
        </w:tc>
        <w:tc>
          <w:tcPr>
            <w:tcW w:type="dxa" w:w="1728"/>
          </w:tcPr>
          <w:p>
            <w:r>
              <w:t>Active TB</w:t>
            </w:r>
          </w:p>
        </w:tc>
        <w:tc>
          <w:tcPr>
            <w:tcW w:type="dxa" w:w="1728"/>
          </w:tcPr>
          <w:p>
            <w:r>
              <w:t>Infiltrates, consolidation</w:t>
            </w:r>
          </w:p>
        </w:tc>
        <w:tc>
          <w:tcPr>
            <w:tcW w:type="dxa" w:w="1728"/>
          </w:tcPr>
          <w:p>
            <w:r>
              <w:t>Class B1</w:t>
            </w:r>
          </w:p>
        </w:tc>
        <w:tc>
          <w:tcPr>
            <w:tcW w:type="dxa" w:w="1728"/>
          </w:tcPr>
          <w:p>
            <w:r>
              <w:t>Sputum smear + evaluation</w:t>
            </w:r>
          </w:p>
        </w:tc>
      </w:tr>
      <w:tr>
        <w:tc>
          <w:tcPr>
            <w:tcW w:type="dxa" w:w="1728"/>
          </w:tcPr>
          <w:p>
            <w:r>
              <w:t>3</w:t>
            </w:r>
          </w:p>
        </w:tc>
        <w:tc>
          <w:tcPr>
            <w:tcW w:type="dxa" w:w="1728"/>
          </w:tcPr>
          <w:p>
            <w:r>
              <w:t>Severe TB</w:t>
            </w:r>
          </w:p>
        </w:tc>
        <w:tc>
          <w:tcPr>
            <w:tcW w:type="dxa" w:w="1728"/>
          </w:tcPr>
          <w:p>
            <w:r>
              <w:t>Cavitation, miliary pattern</w:t>
            </w:r>
          </w:p>
        </w:tc>
        <w:tc>
          <w:tcPr>
            <w:tcW w:type="dxa" w:w="1728"/>
          </w:tcPr>
          <w:p>
            <w:r>
              <w:t>Class A</w:t>
            </w:r>
          </w:p>
        </w:tc>
        <w:tc>
          <w:tcPr>
            <w:tcW w:type="dxa" w:w="1728"/>
          </w:tcPr>
          <w:p>
            <w:r>
              <w:t>NOT cleared -- treatment required</w:t>
            </w:r>
          </w:p>
        </w:tc>
      </w:tr>
    </w:tbl>
    <w:p>
      <w:pPr>
        <w:spacing w:after="120"/>
        <w:jc w:val="both"/>
      </w:pPr>
      <w:r>
        <w:br/>
        <w:t>Table 1. Four-class CDC/USCIS immigration medical examination severity schema.</w:t>
      </w:r>
    </w:p>
    <w:p>
      <w:pPr>
        <w:spacing w:before="160" w:after="40"/>
      </w:pPr>
      <w:r>
        <w:rPr>
          <w:b/>
          <w:sz w:val="22"/>
        </w:rPr>
        <w:t>3.3 Data Augmentation and Class Balancing</w:t>
      </w:r>
    </w:p>
    <w:p>
      <w:pPr>
        <w:spacing w:after="120"/>
        <w:jc w:val="both"/>
      </w:pPr>
      <w:r>
        <w:t>Training augmentation: random crop (224x224 from 256x256), horizontal flip (p=0.5), rotation (+/-10 degrees), color jitter (brightness/contrast +/-0.2). Class imbalance is addressed with WeightedRandomSampler using inverse class frequency weights, ensuring equal representation of all four severity classes per batch.</w:t>
      </w:r>
    </w:p>
    <w:p>
      <w:pPr>
        <w:spacing w:before="160" w:after="40"/>
      </w:pPr>
      <w:r>
        <w:rPr>
          <w:b/>
          <w:sz w:val="22"/>
        </w:rPr>
        <w:t>3.4 Model Architectures</w:t>
      </w:r>
    </w:p>
    <w:p>
      <w:pPr>
        <w:spacing w:after="120"/>
        <w:jc w:val="both"/>
      </w:pPr>
      <w:r>
        <w:t>DenseNet-121 (primary): ImageNet pretrained, 8M parameters. Classifier replaced with Dropout(0.5) + Linear(1024, 4). DenseNet architecture is well-validated on chest imaging tasks (CheXNet baseline). ResNet-50 (comparison): ImageNet pretrained, 25M parameters. FC layer replaced with Dropout(0.5) + Linear(2048, 4). EfficientNet-B4 (modern baseline): ImageNet pretrained, 19M parameters. Classifier replaced with Dropout(0.4) + Linear(1792, 256) + ReLU + Dropout(0.2) + Linear(256, 4).</w:t>
      </w:r>
    </w:p>
    <w:p>
      <w:pPr>
        <w:spacing w:before="160" w:after="40"/>
      </w:pPr>
      <w:r>
        <w:rPr>
          <w:b/>
          <w:sz w:val="22"/>
        </w:rPr>
        <w:t>3.5 Asymmetric Triage Loss</w:t>
      </w:r>
    </w:p>
    <w:p>
      <w:pPr>
        <w:spacing w:after="120"/>
        <w:jc w:val="both"/>
      </w:pPr>
      <w:r>
        <w:t>Standard cross-entropy applies equal penalty to all misclassifications. For the USCIS immigration context, missing a Class A applicant (Severe TB, immigration not cleared) has catastrophic consequences: the applicant enters the US population with untreated active TB, creating a public health risk and regulatory violation. We define Asymmetric Triage Loss with class weights: Normal=1.0, Inactive TB=2.0, Active TB=3.0, Severe TB=5.0. These weights reflect the escalating clinical and regulatory cost of under-triage at each severity level.</w:t>
      </w:r>
    </w:p>
    <w:p>
      <w:pPr>
        <w:spacing w:before="160" w:after="40"/>
      </w:pPr>
      <w:r>
        <w:rPr>
          <w:b/>
          <w:sz w:val="22"/>
        </w:rPr>
        <w:t>3.6 Training Protocol</w:t>
      </w:r>
    </w:p>
    <w:p>
      <w:pPr>
        <w:spacing w:after="120"/>
        <w:jc w:val="both"/>
      </w:pPr>
      <w:r>
        <w:t>AdamW optimizer (lr=2e-4, weight_decay=1e-4), CosineAnnealingLR (T_max=20 epochs, eta_min=1e-6), gradient clipping at 1.0, 20 epochs. Best checkpoint selected by validation macro F1. Ablation comparison: ATL vs standard cross-entropy vs Focal Loss (gamma=2).</w:t>
      </w:r>
    </w:p>
    <w:p>
      <w:pPr>
        <w:spacing w:before="160" w:after="40"/>
      </w:pPr>
      <w:r>
        <w:rPr>
          <w:b/>
          <w:sz w:val="22"/>
        </w:rPr>
        <w:t>3.7 Explainability and Uncertainty</w:t>
      </w:r>
    </w:p>
    <w:p>
      <w:pPr>
        <w:spacing w:after="120"/>
        <w:jc w:val="both"/>
      </w:pPr>
      <w:r>
        <w:t>GradCAM targets DenseNet-121 denseblock4.denselayer16.conv2, generating spatial heatmaps highlighting lung regions driving each severity classification. Civil surgeons can use these visualizations to verify AI-identified findings and document them on Form I-693. Monte Carlo Dropout (T=30 passes): predictions are flagged for mandatory civil surgeon review if (1) confidence &lt; 0.75 or (2) predicted class &gt;= Active TB, regardless of confidence.</w:t>
      </w:r>
    </w:p>
    <w:p>
      <w:pPr>
        <w:spacing w:before="160" w:after="40"/>
      </w:pPr>
      <w:r>
        <w:rPr>
          <w:b/>
          <w:sz w:val="22"/>
        </w:rPr>
        <w:t>3.8 Civil Surgeon Screening Simulation</w:t>
      </w:r>
    </w:p>
    <w:p>
      <w:pPr>
        <w:spacing w:after="120"/>
        <w:jc w:val="both"/>
      </w:pPr>
      <w:r>
        <w:t>We simulate an AI-assisted Form I-693 workflow: AI handles clear Normal/Inactive TB cases autonomously; Active TB, Severe TB, and low-confidence predictions are routed to the civil surgeon queue. Primary metrics: workload reduction percentage and missed Class A rate (target: zero).</w:t>
      </w:r>
    </w:p>
    <w:p>
      <w:pPr>
        <w:spacing w:before="280" w:after="80"/>
      </w:pPr>
      <w:r>
        <w:rPr>
          <w:b/>
          <w:sz w:val="26"/>
        </w:rPr>
        <w:t>4. Results</w:t>
      </w:r>
    </w:p>
    <w:p>
      <w:pPr>
        <w:spacing w:before="160" w:after="40"/>
      </w:pPr>
      <w:r>
        <w:rPr>
          <w:b/>
          <w:sz w:val="22"/>
        </w:rPr>
        <w:t>4.1 Per-Class Performance</w:t>
      </w:r>
    </w:p>
    <w:p>
      <w:pPr>
        <w:spacing w:after="120"/>
        <w:jc w:val="both"/>
      </w:pPr>
      <w:r>
        <w:t>Table 2 reports per-class F1 and Severe TB recall on the held-out TBX11K test 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Label</w:t>
            </w:r>
          </w:p>
        </w:tc>
        <w:tc>
          <w:tcPr>
            <w:tcW w:type="dxa" w:w="1440"/>
          </w:tcPr>
          <w:p>
            <w:r>
              <w:rPr>
                <w:b/>
              </w:rPr>
              <w:t>DenseNet-121 F1</w:t>
            </w:r>
          </w:p>
        </w:tc>
        <w:tc>
          <w:tcPr>
            <w:tcW w:type="dxa" w:w="1440"/>
          </w:tcPr>
          <w:p>
            <w:r>
              <w:rPr>
                <w:b/>
              </w:rPr>
              <w:t>ResNet-50 F1</w:t>
            </w:r>
          </w:p>
        </w:tc>
        <w:tc>
          <w:tcPr>
            <w:tcW w:type="dxa" w:w="1440"/>
          </w:tcPr>
          <w:p>
            <w:r>
              <w:rPr>
                <w:b/>
              </w:rPr>
              <w:t>EfficientNet-B4 F1</w:t>
            </w:r>
          </w:p>
        </w:tc>
        <w:tc>
          <w:tcPr>
            <w:tcW w:type="dxa" w:w="1440"/>
          </w:tcPr>
          <w:p>
            <w:r>
              <w:rPr>
                <w:b/>
              </w:rPr>
              <w:t>USCIS Outcome</w:t>
            </w:r>
          </w:p>
        </w:tc>
      </w:tr>
      <w:tr>
        <w:tc>
          <w:tcPr>
            <w:tcW w:type="dxa" w:w="1440"/>
          </w:tcPr>
          <w:p>
            <w:r>
              <w:t>0</w:t>
            </w:r>
          </w:p>
        </w:tc>
        <w:tc>
          <w:tcPr>
            <w:tcW w:type="dxa" w:w="1440"/>
          </w:tcPr>
          <w:p>
            <w:r>
              <w:t>Normal</w:t>
            </w:r>
          </w:p>
        </w:tc>
        <w:tc>
          <w:tcPr>
            <w:tcW w:type="dxa" w:w="1440"/>
          </w:tcPr>
          <w:p>
            <w:r>
              <w:t>0.941</w:t>
            </w:r>
          </w:p>
        </w:tc>
        <w:tc>
          <w:tcPr>
            <w:tcW w:type="dxa" w:w="1440"/>
          </w:tcPr>
          <w:p>
            <w:r>
              <w:t>0.927</w:t>
            </w:r>
          </w:p>
        </w:tc>
        <w:tc>
          <w:tcPr>
            <w:tcW w:type="dxa" w:w="1440"/>
          </w:tcPr>
          <w:p>
            <w:r>
              <w:t>0.935</w:t>
            </w:r>
          </w:p>
        </w:tc>
        <w:tc>
          <w:tcPr>
            <w:tcW w:type="dxa" w:w="1440"/>
          </w:tcPr>
          <w:p>
            <w:r>
              <w:t>Cleared</w:t>
            </w:r>
          </w:p>
        </w:tc>
      </w:tr>
      <w:tr>
        <w:tc>
          <w:tcPr>
            <w:tcW w:type="dxa" w:w="1440"/>
          </w:tcPr>
          <w:p>
            <w:r>
              <w:t>1</w:t>
            </w:r>
          </w:p>
        </w:tc>
        <w:tc>
          <w:tcPr>
            <w:tcW w:type="dxa" w:w="1440"/>
          </w:tcPr>
          <w:p>
            <w:r>
              <w:t>Inactive TB</w:t>
            </w:r>
          </w:p>
        </w:tc>
        <w:tc>
          <w:tcPr>
            <w:tcW w:type="dxa" w:w="1440"/>
          </w:tcPr>
          <w:p>
            <w:r>
              <w:t>0.881</w:t>
            </w:r>
          </w:p>
        </w:tc>
        <w:tc>
          <w:tcPr>
            <w:tcW w:type="dxa" w:w="1440"/>
          </w:tcPr>
          <w:p>
            <w:r>
              <w:t>0.862</w:t>
            </w:r>
          </w:p>
        </w:tc>
        <w:tc>
          <w:tcPr>
            <w:tcW w:type="dxa" w:w="1440"/>
          </w:tcPr>
          <w:p>
            <w:r>
              <w:t>0.874</w:t>
            </w:r>
          </w:p>
        </w:tc>
        <w:tc>
          <w:tcPr>
            <w:tcW w:type="dxa" w:w="1440"/>
          </w:tcPr>
          <w:p>
            <w:r>
              <w:t>Class B2</w:t>
            </w:r>
          </w:p>
        </w:tc>
      </w:tr>
      <w:tr>
        <w:tc>
          <w:tcPr>
            <w:tcW w:type="dxa" w:w="1440"/>
          </w:tcPr>
          <w:p>
            <w:r>
              <w:t>2</w:t>
            </w:r>
          </w:p>
        </w:tc>
        <w:tc>
          <w:tcPr>
            <w:tcW w:type="dxa" w:w="1440"/>
          </w:tcPr>
          <w:p>
            <w:r>
              <w:t>Active TB</w:t>
            </w:r>
          </w:p>
        </w:tc>
        <w:tc>
          <w:tcPr>
            <w:tcW w:type="dxa" w:w="1440"/>
          </w:tcPr>
          <w:p>
            <w:r>
              <w:t>0.907</w:t>
            </w:r>
          </w:p>
        </w:tc>
        <w:tc>
          <w:tcPr>
            <w:tcW w:type="dxa" w:w="1440"/>
          </w:tcPr>
          <w:p>
            <w:r>
              <w:t>0.889</w:t>
            </w:r>
          </w:p>
        </w:tc>
        <w:tc>
          <w:tcPr>
            <w:tcW w:type="dxa" w:w="1440"/>
          </w:tcPr>
          <w:p>
            <w:r>
              <w:t>0.901</w:t>
            </w:r>
          </w:p>
        </w:tc>
        <w:tc>
          <w:tcPr>
            <w:tcW w:type="dxa" w:w="1440"/>
          </w:tcPr>
          <w:p>
            <w:r>
              <w:t>Class B1</w:t>
            </w:r>
          </w:p>
        </w:tc>
      </w:tr>
      <w:tr>
        <w:tc>
          <w:tcPr>
            <w:tcW w:type="dxa" w:w="1440"/>
          </w:tcPr>
          <w:p>
            <w:r>
              <w:t>3</w:t>
            </w:r>
          </w:p>
        </w:tc>
        <w:tc>
          <w:tcPr>
            <w:tcW w:type="dxa" w:w="1440"/>
          </w:tcPr>
          <w:p>
            <w:r>
              <w:t>Severe TB</w:t>
            </w:r>
          </w:p>
        </w:tc>
        <w:tc>
          <w:tcPr>
            <w:tcW w:type="dxa" w:w="1440"/>
          </w:tcPr>
          <w:p>
            <w:r>
              <w:t>0.923</w:t>
            </w:r>
          </w:p>
        </w:tc>
        <w:tc>
          <w:tcPr>
            <w:tcW w:type="dxa" w:w="1440"/>
          </w:tcPr>
          <w:p>
            <w:r>
              <w:t>0.901</w:t>
            </w:r>
          </w:p>
        </w:tc>
        <w:tc>
          <w:tcPr>
            <w:tcW w:type="dxa" w:w="1440"/>
          </w:tcPr>
          <w:p>
            <w:r>
              <w:t>0.917</w:t>
            </w:r>
          </w:p>
        </w:tc>
        <w:tc>
          <w:tcPr>
            <w:tcW w:type="dxa" w:w="1440"/>
          </w:tcPr>
          <w:p>
            <w:r>
              <w:t>Class A</w:t>
            </w:r>
          </w:p>
        </w:tc>
      </w:tr>
      <w:tr>
        <w:tc>
          <w:tcPr>
            <w:tcW w:type="dxa" w:w="1440"/>
          </w:tcPr>
          <w:p>
            <w:r>
              <w:t>--</w:t>
            </w:r>
          </w:p>
        </w:tc>
        <w:tc>
          <w:tcPr>
            <w:tcW w:type="dxa" w:w="1440"/>
          </w:tcPr>
          <w:p>
            <w:r>
              <w:t>Macro F1</w:t>
            </w:r>
          </w:p>
        </w:tc>
        <w:tc>
          <w:tcPr>
            <w:tcW w:type="dxa" w:w="1440"/>
          </w:tcPr>
          <w:p>
            <w:r>
              <w:t>0.913</w:t>
            </w:r>
          </w:p>
        </w:tc>
        <w:tc>
          <w:tcPr>
            <w:tcW w:type="dxa" w:w="1440"/>
          </w:tcPr>
          <w:p>
            <w:r>
              <w:t>0.895</w:t>
            </w:r>
          </w:p>
        </w:tc>
        <w:tc>
          <w:tcPr>
            <w:tcW w:type="dxa" w:w="1440"/>
          </w:tcPr>
          <w:p>
            <w:r>
              <w:t>0.907</w:t>
            </w:r>
          </w:p>
        </w:tc>
        <w:tc>
          <w:tcPr>
            <w:tcW w:type="dxa" w:w="1440"/>
          </w:tcPr>
          <w:p>
            <w:r>
              <w:t>--</w:t>
            </w:r>
          </w:p>
        </w:tc>
      </w:tr>
      <w:tr>
        <w:tc>
          <w:tcPr>
            <w:tcW w:type="dxa" w:w="1440"/>
          </w:tcPr>
          <w:p>
            <w:r>
              <w:t>--</w:t>
            </w:r>
          </w:p>
        </w:tc>
        <w:tc>
          <w:tcPr>
            <w:tcW w:type="dxa" w:w="1440"/>
          </w:tcPr>
          <w:p>
            <w:r>
              <w:t>Severe Recall</w:t>
            </w:r>
          </w:p>
        </w:tc>
        <w:tc>
          <w:tcPr>
            <w:tcW w:type="dxa" w:w="1440"/>
          </w:tcPr>
          <w:p>
            <w:r>
              <w:t>0.944</w:t>
            </w:r>
          </w:p>
        </w:tc>
        <w:tc>
          <w:tcPr>
            <w:tcW w:type="dxa" w:w="1440"/>
          </w:tcPr>
          <w:p>
            <w:r>
              <w:t>0.921</w:t>
            </w:r>
          </w:p>
        </w:tc>
        <w:tc>
          <w:tcPr>
            <w:tcW w:type="dxa" w:w="1440"/>
          </w:tcPr>
          <w:p>
            <w:r>
              <w:t>0.938</w:t>
            </w:r>
          </w:p>
        </w:tc>
        <w:tc>
          <w:tcPr>
            <w:tcW w:type="dxa" w:w="1440"/>
          </w:tcPr>
          <w:p>
            <w:r>
              <w:t>--</w:t>
            </w:r>
          </w:p>
        </w:tc>
      </w:tr>
      <w:tr>
        <w:tc>
          <w:tcPr>
            <w:tcW w:type="dxa" w:w="1440"/>
          </w:tcPr>
          <w:p>
            <w:r>
              <w:t>--</w:t>
            </w:r>
          </w:p>
        </w:tc>
        <w:tc>
          <w:tcPr>
            <w:tcW w:type="dxa" w:w="1440"/>
          </w:tcPr>
          <w:p>
            <w:r>
              <w:t>Macro AUC</w:t>
            </w:r>
          </w:p>
        </w:tc>
        <w:tc>
          <w:tcPr>
            <w:tcW w:type="dxa" w:w="1440"/>
          </w:tcPr>
          <w:p>
            <w:r>
              <w:t>0.971</w:t>
            </w:r>
          </w:p>
        </w:tc>
        <w:tc>
          <w:tcPr>
            <w:tcW w:type="dxa" w:w="1440"/>
          </w:tcPr>
          <w:p>
            <w:r>
              <w:t>0.958</w:t>
            </w:r>
          </w:p>
        </w:tc>
        <w:tc>
          <w:tcPr>
            <w:tcW w:type="dxa" w:w="1440"/>
          </w:tcPr>
          <w:p>
            <w:r>
              <w:t>0.967</w:t>
            </w:r>
          </w:p>
        </w:tc>
        <w:tc>
          <w:tcPr>
            <w:tcW w:type="dxa" w:w="1440"/>
          </w:tcPr>
          <w:p>
            <w:r>
              <w:t>--</w:t>
            </w:r>
          </w:p>
        </w:tc>
      </w:tr>
    </w:tbl>
    <w:p>
      <w:pPr>
        <w:spacing w:after="120"/>
        <w:jc w:val="both"/>
      </w:pPr>
      <w:r>
        <w:br/>
        <w:t>Table 2. Per-class performance on held-out test set. Severe TB Recall is the critical safety metric.</w:t>
      </w:r>
    </w:p>
    <w:p>
      <w:pPr>
        <w:spacing w:before="160" w:after="40"/>
      </w:pPr>
      <w:r>
        <w:rPr>
          <w:b/>
          <w:sz w:val="22"/>
        </w:rPr>
        <w:t>4.2 ATL Ablation Study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Loss Function</w:t>
            </w:r>
          </w:p>
        </w:tc>
        <w:tc>
          <w:tcPr>
            <w:tcW w:type="dxa" w:w="1728"/>
          </w:tcPr>
          <w:p>
            <w:r>
              <w:rPr>
                <w:b/>
              </w:rPr>
              <w:t>Macro F1</w:t>
            </w:r>
          </w:p>
        </w:tc>
        <w:tc>
          <w:tcPr>
            <w:tcW w:type="dxa" w:w="1728"/>
          </w:tcPr>
          <w:p>
            <w:r>
              <w:rPr>
                <w:b/>
              </w:rPr>
              <w:t>Severe TB F1</w:t>
            </w:r>
          </w:p>
        </w:tc>
        <w:tc>
          <w:tcPr>
            <w:tcW w:type="dxa" w:w="1728"/>
          </w:tcPr>
          <w:p>
            <w:r>
              <w:rPr>
                <w:b/>
              </w:rPr>
              <w:t>Severe TB Recall</w:t>
            </w:r>
          </w:p>
        </w:tc>
        <w:tc>
          <w:tcPr>
            <w:tcW w:type="dxa" w:w="1728"/>
          </w:tcPr>
          <w:p>
            <w:r>
              <w:rPr>
                <w:b/>
              </w:rPr>
              <w:t>FN Rate (Class A)</w:t>
            </w:r>
          </w:p>
        </w:tc>
      </w:tr>
      <w:tr>
        <w:tc>
          <w:tcPr>
            <w:tcW w:type="dxa" w:w="1728"/>
          </w:tcPr>
          <w:p>
            <w:r>
              <w:t>Cross-Entropy (baseline)</w:t>
            </w:r>
          </w:p>
        </w:tc>
        <w:tc>
          <w:tcPr>
            <w:tcW w:type="dxa" w:w="1728"/>
          </w:tcPr>
          <w:p>
            <w:r>
              <w:t>0.891</w:t>
            </w:r>
          </w:p>
        </w:tc>
        <w:tc>
          <w:tcPr>
            <w:tcW w:type="dxa" w:w="1728"/>
          </w:tcPr>
          <w:p>
            <w:r>
              <w:t>0.874</w:t>
            </w:r>
          </w:p>
        </w:tc>
        <w:tc>
          <w:tcPr>
            <w:tcW w:type="dxa" w:w="1728"/>
          </w:tcPr>
          <w:p>
            <w:r>
              <w:t>0.891</w:t>
            </w:r>
          </w:p>
        </w:tc>
        <w:tc>
          <w:tcPr>
            <w:tcW w:type="dxa" w:w="1728"/>
          </w:tcPr>
          <w:p>
            <w:r>
              <w:t>10.9%</w:t>
            </w:r>
          </w:p>
        </w:tc>
      </w:tr>
      <w:tr>
        <w:tc>
          <w:tcPr>
            <w:tcW w:type="dxa" w:w="1728"/>
          </w:tcPr>
          <w:p>
            <w:r>
              <w:t>Focal Loss (gamma=2)</w:t>
            </w:r>
          </w:p>
        </w:tc>
        <w:tc>
          <w:tcPr>
            <w:tcW w:type="dxa" w:w="1728"/>
          </w:tcPr>
          <w:p>
            <w:r>
              <w:t>0.901</w:t>
            </w:r>
          </w:p>
        </w:tc>
        <w:tc>
          <w:tcPr>
            <w:tcW w:type="dxa" w:w="1728"/>
          </w:tcPr>
          <w:p>
            <w:r>
              <w:t>0.887</w:t>
            </w:r>
          </w:p>
        </w:tc>
        <w:tc>
          <w:tcPr>
            <w:tcW w:type="dxa" w:w="1728"/>
          </w:tcPr>
          <w:p>
            <w:r>
              <w:t>0.912</w:t>
            </w:r>
          </w:p>
        </w:tc>
        <w:tc>
          <w:tcPr>
            <w:tcW w:type="dxa" w:w="1728"/>
          </w:tcPr>
          <w:p>
            <w:r>
              <w:t>8.8%</w:t>
            </w:r>
          </w:p>
        </w:tc>
      </w:tr>
      <w:tr>
        <w:tc>
          <w:tcPr>
            <w:tcW w:type="dxa" w:w="1728"/>
          </w:tcPr>
          <w:p>
            <w:r>
              <w:t>ATL (w=1,2,3,5) Ours</w:t>
            </w:r>
          </w:p>
        </w:tc>
        <w:tc>
          <w:tcPr>
            <w:tcW w:type="dxa" w:w="1728"/>
          </w:tcPr>
          <w:p>
            <w:r>
              <w:t>0.913</w:t>
            </w:r>
          </w:p>
        </w:tc>
        <w:tc>
          <w:tcPr>
            <w:tcW w:type="dxa" w:w="1728"/>
          </w:tcPr>
          <w:p>
            <w:r>
              <w:t>0.923</w:t>
            </w:r>
          </w:p>
        </w:tc>
        <w:tc>
          <w:tcPr>
            <w:tcW w:type="dxa" w:w="1728"/>
          </w:tcPr>
          <w:p>
            <w:r>
              <w:t>0.944</w:t>
            </w:r>
          </w:p>
        </w:tc>
        <w:tc>
          <w:tcPr>
            <w:tcW w:type="dxa" w:w="1728"/>
          </w:tcPr>
          <w:p>
            <w:r>
              <w:t>5.6%</w:t>
            </w:r>
          </w:p>
        </w:tc>
      </w:tr>
    </w:tbl>
    <w:p>
      <w:pPr>
        <w:spacing w:after="120"/>
        <w:jc w:val="both"/>
      </w:pPr>
      <w:r>
        <w:br/>
        <w:t>Table 3. ATL reduces Class A false-negative rate by 5.3 percentage points vs. cross-entropy.</w:t>
      </w:r>
    </w:p>
    <w:p>
      <w:pPr>
        <w:spacing w:before="160" w:after="40"/>
      </w:pPr>
      <w:r>
        <w:rPr>
          <w:b/>
          <w:sz w:val="22"/>
        </w:rPr>
        <w:t>4.3 Cross-Site Generalization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External Dataset</w:t>
            </w:r>
          </w:p>
        </w:tc>
        <w:tc>
          <w:tcPr>
            <w:tcW w:type="dxa" w:w="1728"/>
          </w:tcPr>
          <w:p>
            <w:r>
              <w:rPr>
                <w:b/>
              </w:rPr>
              <w:t>Country</w:t>
            </w:r>
          </w:p>
        </w:tc>
        <w:tc>
          <w:tcPr>
            <w:tcW w:type="dxa" w:w="1728"/>
          </w:tcPr>
          <w:p>
            <w:r>
              <w:rPr>
                <w:b/>
              </w:rPr>
              <w:t>DenseNet-121</w:t>
            </w:r>
          </w:p>
        </w:tc>
        <w:tc>
          <w:tcPr>
            <w:tcW w:type="dxa" w:w="1728"/>
          </w:tcPr>
          <w:p>
            <w:r>
              <w:rPr>
                <w:b/>
              </w:rPr>
              <w:t>ResNet-50</w:t>
            </w:r>
          </w:p>
        </w:tc>
        <w:tc>
          <w:tcPr>
            <w:tcW w:type="dxa" w:w="1728"/>
          </w:tcPr>
          <w:p>
            <w:r>
              <w:rPr>
                <w:b/>
              </w:rPr>
              <w:t>EfficientNet-B4</w:t>
            </w:r>
          </w:p>
        </w:tc>
      </w:tr>
      <w:tr>
        <w:tc>
          <w:tcPr>
            <w:tcW w:type="dxa" w:w="1728"/>
          </w:tcPr>
          <w:p>
            <w:r>
              <w:t>Montgomery (n=138)</w:t>
            </w:r>
          </w:p>
        </w:tc>
        <w:tc>
          <w:tcPr>
            <w:tcW w:type="dxa" w:w="1728"/>
          </w:tcPr>
          <w:p>
            <w:r>
              <w:t>USA</w:t>
            </w:r>
          </w:p>
        </w:tc>
        <w:tc>
          <w:tcPr>
            <w:tcW w:type="dxa" w:w="1728"/>
          </w:tcPr>
          <w:p>
            <w:r>
              <w:t>0.887</w:t>
            </w:r>
          </w:p>
        </w:tc>
        <w:tc>
          <w:tcPr>
            <w:tcW w:type="dxa" w:w="1728"/>
          </w:tcPr>
          <w:p>
            <w:r>
              <w:t>0.861</w:t>
            </w:r>
          </w:p>
        </w:tc>
        <w:tc>
          <w:tcPr>
            <w:tcW w:type="dxa" w:w="1728"/>
          </w:tcPr>
          <w:p>
            <w:r>
              <w:t>0.879</w:t>
            </w:r>
          </w:p>
        </w:tc>
      </w:tr>
      <w:tr>
        <w:tc>
          <w:tcPr>
            <w:tcW w:type="dxa" w:w="1728"/>
          </w:tcPr>
          <w:p>
            <w:r>
              <w:t>Shenzhen (n=662)</w:t>
            </w:r>
          </w:p>
        </w:tc>
        <w:tc>
          <w:tcPr>
            <w:tcW w:type="dxa" w:w="1728"/>
          </w:tcPr>
          <w:p>
            <w:r>
              <w:t>China</w:t>
            </w:r>
          </w:p>
        </w:tc>
        <w:tc>
          <w:tcPr>
            <w:tcW w:type="dxa" w:w="1728"/>
          </w:tcPr>
          <w:p>
            <w:r>
              <w:t>0.874</w:t>
            </w:r>
          </w:p>
        </w:tc>
        <w:tc>
          <w:tcPr>
            <w:tcW w:type="dxa" w:w="1728"/>
          </w:tcPr>
          <w:p>
            <w:r>
              <w:t>0.849</w:t>
            </w:r>
          </w:p>
        </w:tc>
        <w:tc>
          <w:tcPr>
            <w:tcW w:type="dxa" w:w="1728"/>
          </w:tcPr>
          <w:p>
            <w:r>
              <w:t>0.867</w:t>
            </w:r>
          </w:p>
        </w:tc>
      </w:tr>
    </w:tbl>
    <w:p>
      <w:pPr>
        <w:spacing w:after="120"/>
        <w:jc w:val="both"/>
      </w:pPr>
      <w:r>
        <w:br/>
        <w:t>Table 4. Cross-site generalization (zero-shot, no fine-tuning on external datasets).</w:t>
      </w:r>
    </w:p>
    <w:p>
      <w:pPr>
        <w:spacing w:before="160" w:after="40"/>
      </w:pPr>
      <w:r>
        <w:rPr>
          <w:b/>
          <w:sz w:val="22"/>
        </w:rPr>
        <w:t>4.4 Civil Surgeon Screening Simulation</w:t>
      </w:r>
    </w:p>
    <w:p>
      <w:pPr>
        <w:spacing w:after="120"/>
        <w:jc w:val="both"/>
      </w:pPr>
      <w:r>
        <w:t>At confidence threshold=0.75, AI auto-clears 71.3% of Form I-693 cases (Normal and high-confidence Inactive TB), routing the remaining 28.7% to civil surgeon review. Zero Class A cases are missed in the simulation. In a clinic processing 500 immigration medical examinations per month, this reduces civil surgeon radiograph review burden from 500 to approximately 144 cases per month -- a 71.3% reduction. The 144 civil surgeon-reviewed cases include all Active TB, Severe TB, and uncertain predictions.</w:t>
      </w:r>
    </w:p>
    <w:p>
      <w:pPr>
        <w:spacing w:before="160" w:after="40"/>
      </w:pPr>
      <w:r>
        <w:rPr>
          <w:b/>
          <w:sz w:val="22"/>
        </w:rPr>
        <w:t>4.5 GradCAM Analysis</w:t>
      </w:r>
    </w:p>
    <w:p>
      <w:pPr>
        <w:spacing w:after="120"/>
        <w:jc w:val="both"/>
      </w:pPr>
      <w:r>
        <w:t>GradCAM heatmaps localize attention to: upper lobe infiltrates and cavitary lesions for Severe TB (Class A), perihilar consolidation for Active TB (Class B1), calcified nodule clusters for Inactive TB (Class B2), and diffuse low activation for Normal. Three civil surgeons (blinded to AI output) rated 93% of GradCAM highlights as consistent with the corresponding CDC radiographic criteria.</w:t>
      </w:r>
    </w:p>
    <w:p>
      <w:pPr>
        <w:spacing w:before="160" w:after="40"/>
      </w:pPr>
      <w:r>
        <w:rPr>
          <w:b/>
          <w:sz w:val="22"/>
        </w:rPr>
        <w:t>4.6 CD-CTEI Demographic Equity</w:t>
      </w:r>
    </w:p>
    <w:p>
      <w:pPr>
        <w:spacing w:after="120"/>
        <w:jc w:val="both"/>
      </w:pPr>
      <w:r>
        <w:t>CD-CTEI=0.961 across age groups (&lt;30, 30-50, &gt;50) and 0.974 across sex, both exceeding the 0.95 clinical acceptance threshold. No demographic subgroup falls below the 0.85 minimum F1 threshold. This is critical for the immigration context, where TB prevalence varies significantly across age groups and national origin populations.</w:t>
      </w:r>
    </w:p>
    <w:p>
      <w:pPr>
        <w:spacing w:before="280" w:after="80"/>
      </w:pPr>
      <w:r>
        <w:rPr>
          <w:b/>
          <w:sz w:val="26"/>
        </w:rPr>
        <w:t>5. Discussion</w:t>
      </w:r>
    </w:p>
    <w:p>
      <w:pPr>
        <w:spacing w:after="120"/>
        <w:jc w:val="both"/>
      </w:pPr>
      <w:r>
        <w:t>The fundamental contribution of TB-CXR is aligning AI output with the administrative workflow that civil surgeons are legally required to use. Civil surgeons complete Form I-693 using the four-class CDC schema -- not "TB probability" scores. When existing AI systems output a continuous probability or binary TB/Normal label, civil surgeons must perform an additional translation step: decide which CDC class corresponds to this probability for this patient. TB-CXR eliminates this translation step by training directly on the CDC categories.</w:t>
      </w:r>
    </w:p>
    <w:p>
      <w:pPr>
        <w:spacing w:after="120"/>
        <w:jc w:val="both"/>
      </w:pPr>
      <w:r>
        <w:t>The Asymmetric Triage Loss reduces Class A false-negative rate from 10.9% to 5.6%. In the immigration context, a false-negative Class A (missed Severe TB, patient incorrectly cleared) has dual consequences: a public health risk from an untreated infectious TB case entering the US population, and a regulatory violation of USCIS Form I-693 requirements. Each percentage point reduction in Class A false-negative rate directly reduces both risks.</w:t>
      </w:r>
    </w:p>
    <w:p>
      <w:pPr>
        <w:spacing w:after="120"/>
        <w:jc w:val="both"/>
      </w:pPr>
      <w:r>
        <w:t>The 71.3% civil surgeon workload reduction addresses a real operational constraint. The USCIS network of ~5,400 designated civil surgeons is concentrated in urban areas; many immigration applicants in rural or underserved areas face long travel distances and wait times for Form I-693 examinations. An AI pre-screening tool that handles clear Normal cases autonomously could enable remote or telemedicine-based civil surgeon review of flagged cases, expanding access in underserved areas.</w:t>
      </w:r>
    </w:p>
    <w:p>
      <w:pPr>
        <w:spacing w:after="120"/>
        <w:jc w:val="both"/>
      </w:pPr>
      <w:r>
        <w:t>Cross-site generalization to Montgomery (USA, F1=0.887) and Shenzhen (China, F1=0.874) demonstrates the model does not overfit to the TBX11K acquisition protocol. The Shenzhen result is particularly important: a majority of US immigration applicants from East and Southeast Asia are examined at overseas embassies before entry, and the AI must generalize to international hospital imaging protocols.</w:t>
      </w:r>
    </w:p>
    <w:p>
      <w:pPr>
        <w:spacing w:before="160" w:after="40"/>
      </w:pPr>
      <w:r>
        <w:rPr>
          <w:b/>
          <w:sz w:val="22"/>
        </w:rPr>
        <w:t>5.1 Limitations</w:t>
      </w:r>
    </w:p>
    <w:p>
      <w:pPr>
        <w:spacing w:after="120"/>
        <w:jc w:val="both"/>
      </w:pPr>
      <w:r>
        <w:t>Keyword-based severity labels from report text are an imperfect proxy for radiologist ground truth. A prospective dataset with expert CDC category labels would strengthen label quality. The current system addresses chest radiograph classification only; Form I-693 also includes sputum smear for Class B1/A cases, which is outside the scope of this work. Prospective clinical validation with USCIS-designated civil surgeons is needed before deployment.</w:t>
      </w:r>
    </w:p>
    <w:p>
      <w:pPr>
        <w:spacing w:before="280" w:after="80"/>
      </w:pPr>
      <w:r>
        <w:rPr>
          <w:b/>
          <w:sz w:val="26"/>
        </w:rPr>
        <w:t>6. National Importance and Societal Impact</w:t>
      </w:r>
    </w:p>
    <w:p>
      <w:pPr>
        <w:spacing w:after="120"/>
        <w:jc w:val="both"/>
      </w:pPr>
      <w:r>
        <w:t>This work addresses a direct operational need of the US immigration system. USCIS Form I-693 requires TB classification for every green card applicant -- approximately 1.1 million people annually. Foreign-born individuals account for 71.4% of all US TB cases; identifying and treating Class B1 and Class A cases at the immigration examination stage is the primary mechanism by which the US prevents imported TB from establishing domestic transmission chains. The CDC's Division of Global Migration and Quarantine explicitly targets this examination process as a public health intervention [3].</w:t>
      </w:r>
    </w:p>
    <w:p>
      <w:pPr>
        <w:spacing w:after="120"/>
        <w:jc w:val="both"/>
      </w:pPr>
      <w:r>
        <w:t>The civil surgeon workload reduction has downstream access equity implications. Immigration medical examinations are concentrated in urban areas, creating barriers for rural applicants and those in states with few designated civil surgeons. AI-assisted pre-screening could support remote review models, expanding geographic access to the Form I-693 examination -- a concrete contribution to immigration system efficiency and public health equity.</w:t>
      </w:r>
    </w:p>
    <w:p>
      <w:pPr>
        <w:spacing w:before="280" w:after="80"/>
      </w:pPr>
      <w:r>
        <w:rPr>
          <w:b/>
          <w:sz w:val="26"/>
        </w:rPr>
        <w:t>7. Conclusion</w:t>
      </w:r>
    </w:p>
    <w:p>
      <w:pPr>
        <w:spacing w:after="120"/>
        <w:jc w:val="both"/>
      </w:pPr>
      <w:r>
        <w:t>TB-CXR is the first deep learning framework explicitly aligned with the four CDC/USCIS immigration medical examination classification categories. DenseNet-121 with Asymmetric Triage Loss achieves macro F1=0.913, Severe TB recall=0.944, and macro AUC=0.971 on held-out test data. Screening workflow simulation demonstrates 71.3% civil surgeon workload reduction with zero missed Class A cases. Cross-site generalization to two external hospital datasets confirms robustness. This system directly supports the USCIS immigration medical examination process, contributes to US public health protection from imported tuberculosis, and reduces civil surgeon administrative burden -- three concrete contributions to US national interest.</w:t>
      </w:r>
    </w:p>
    <w:p>
      <w:pPr>
        <w:spacing w:before="280" w:after="80"/>
      </w:pPr>
      <w:r>
        <w:rPr>
          <w:b/>
          <w:sz w:val="26"/>
        </w:rPr>
        <w:t>References</w:t>
      </w:r>
    </w:p>
    <w:p>
      <w:pPr>
        <w:spacing w:after="60"/>
        <w:ind w:left="432"/>
      </w:pPr>
      <w:r>
        <w:t>[1] WHO. Global Tuberculosis Report 2023. Geneva: World Health Organization; 2023.</w:t>
      </w:r>
    </w:p>
    <w:p>
      <w:pPr>
        <w:spacing w:after="60"/>
        <w:ind w:left="432"/>
      </w:pPr>
      <w:r>
        <w:t>[2] CDC. Tuberculosis in the United States, National Summary of Morbidity and Mortality. Atlanta: CDC; 2023.</w:t>
      </w:r>
    </w:p>
    <w:p>
      <w:pPr>
        <w:spacing w:after="60"/>
        <w:ind w:left="432"/>
      </w:pPr>
      <w:r>
        <w:t>[3] CDC. Division of Global Migration and Quarantine. Technical Instructions for Tuberculosis Screening. 2018.</w:t>
      </w:r>
    </w:p>
    <w:p>
      <w:pPr>
        <w:spacing w:after="60"/>
        <w:ind w:left="432"/>
      </w:pPr>
      <w:r>
        <w:t>[4] DHS. 2023 Yearbook of Immigration Statistics. Washington DC: USCIS; 2024.</w:t>
      </w:r>
    </w:p>
    <w:p>
      <w:pPr>
        <w:spacing w:after="60"/>
        <w:ind w:left="432"/>
      </w:pPr>
      <w:r>
        <w:t>[5] USCIS. Designated Civil Surgeon Locator. https://my.uscis.gov/findadoctor.</w:t>
      </w:r>
    </w:p>
    <w:p>
      <w:pPr>
        <w:spacing w:after="60"/>
        <w:ind w:left="432"/>
      </w:pPr>
      <w:r>
        <w:t>[6] CDC. Updated Guidelines for Using Interferon Gamma Release Assays to Detect Latent TB Infection. MMWR. 2010;59(RR-5):1-25.</w:t>
      </w:r>
    </w:p>
    <w:p>
      <w:pPr>
        <w:spacing w:after="60"/>
        <w:ind w:left="432"/>
      </w:pPr>
      <w:r>
        <w:t>[7] Maloney SA, et al. Diagnostic approach for persons with tuberculosis B notifications. MMWR. 2010;59(14):429-432.</w:t>
      </w:r>
    </w:p>
    <w:p>
      <w:pPr>
        <w:spacing w:after="60"/>
        <w:ind w:left="432"/>
      </w:pPr>
      <w:r>
        <w:t>[8] Rajpurkar P, et al. CheXNet: Radiologist-level pneumonia detection on chest X-rays with deep learning. arXiv:1711.05225.</w:t>
      </w:r>
    </w:p>
    <w:p>
      <w:pPr>
        <w:spacing w:after="60"/>
        <w:ind w:left="432"/>
      </w:pPr>
      <w:r>
        <w:t>[9] Lakhani P, Sundaram B. Deep learning at chest radiography: automated classification. Radiology. 2017;284(2):574-582.</w:t>
      </w:r>
    </w:p>
    <w:p>
      <w:pPr>
        <w:spacing w:after="60"/>
        <w:ind w:left="432"/>
      </w:pPr>
      <w:r>
        <w:t>[10] Hwang EJ, et al. Development and validation of a deep learning-based automated detection for tuberculosis. Radiology. 2019;290(2):432-440.</w:t>
      </w:r>
    </w:p>
    <w:p>
      <w:pPr>
        <w:spacing w:after="60"/>
        <w:ind w:left="432"/>
      </w:pPr>
      <w:r>
        <w:t>[11] Shin HC, et al. Deep convolutional neural networks for computer-aided detection: CNN architectures, dataset characteristics and transfer learning. IEEE TMI. 2016;35(5):1285-1298.</w:t>
      </w:r>
    </w:p>
    <w:p>
      <w:pPr>
        <w:spacing w:after="60"/>
        <w:ind w:left="432"/>
      </w:pPr>
      <w:r>
        <w:t>[12] Tan M, Le QV. EfficientNet: Rethinking model scaling for convolutional neural networks. ICML. 2019:6105-6114.</w:t>
      </w:r>
    </w:p>
    <w:p>
      <w:pPr>
        <w:spacing w:after="60"/>
        <w:ind w:left="432"/>
      </w:pPr>
      <w:r>
        <w:t>[13] Gal Y, Ghahramani Z. Dropout as a Bayesian approximation. ICML. 2016:1050-1059.</w:t>
      </w:r>
    </w:p>
    <w:p>
      <w:pPr>
        <w:spacing w:after="60"/>
        <w:ind w:left="432"/>
      </w:pPr>
      <w:r>
        <w:t>[14] Selvaraju RR, et al. Grad-CAM: Visual explanations from deep networks. ICCV. 2017:618-626.</w:t>
      </w:r>
    </w:p>
    <w:p>
      <w:pPr>
        <w:spacing w:after="60"/>
        <w:ind w:left="432"/>
      </w:pPr>
      <w:r>
        <w:t>[15] Liu Y, et al. Rethinking computer-aided tuberculosis diagnosis. CVPR. 2020:2646-2655.</w:t>
      </w:r>
    </w:p>
    <w:p>
      <w:pPr>
        <w:spacing w:after="60"/>
        <w:ind w:left="432"/>
      </w:pPr>
      <w:r>
        <w:t>[16] Jaeger S, et al. Two public chest X-ray datasets for computer-aided screening of pulmonary diseases. Quant Imaging Med Surg. 2014;4(6):475-477.</w:t>
      </w:r>
    </w:p>
    <w:p>
      <w:pPr>
        <w:spacing w:after="60"/>
        <w:ind w:left="432"/>
      </w:pPr>
      <w:r>
        <w:t>[17] Jaeger S, et al. Automatic tuberculosis screening using chest radiographs. IEEE TMI. 2014;33(2):233-245.</w:t>
      </w:r>
    </w:p>
    <w:p>
      <w:pPr>
        <w:spacing w:after="60"/>
        <w:ind w:left="432"/>
      </w:pPr>
      <w:r>
        <w:t>[18] Huang G, et al. Densely connected convolutional networks. CVPR. 2017:4700-4708.</w:t>
      </w:r>
    </w:p>
    <w:p>
      <w:pPr>
        <w:spacing w:after="60"/>
        <w:ind w:left="432"/>
      </w:pPr>
      <w:r>
        <w:t>[19] He K, et al. Deep residual learning for image recognition. CVPR. 2016:770-778.</w:t>
      </w:r>
    </w:p>
    <w:p>
      <w:pPr>
        <w:spacing w:after="60"/>
        <w:ind w:left="432"/>
      </w:pPr>
      <w:r>
        <w:t>[20] Pan SJ, Yang Q. A survey on transfer learning. IEEE TKDE. 2010;22(10):1345-1359.</w:t>
      </w:r>
    </w:p>
    <w:p>
      <w:pPr>
        <w:spacing w:after="60"/>
        <w:ind w:left="432"/>
      </w:pPr>
      <w:r>
        <w:t>[21] Obermeyer Z, et al. Dissecting racial bias in an algorithm used to manage the health of populations. Science. 2019;366(6464):447-453.</w:t>
      </w:r>
    </w:p>
    <w:p>
      <w:pPr>
        <w:spacing w:after="60"/>
        <w:ind w:left="432"/>
      </w:pPr>
      <w:r>
        <w:t>[22] WHO. Consolidated Guidelines on Tuberculosis: Module 2: Screening. Geneva: WHO; 2021.</w:t>
      </w:r>
    </w:p>
    <w:p>
      <w:pPr>
        <w:spacing w:after="60"/>
        <w:ind w:left="432"/>
      </w:pPr>
      <w:r>
        <w:t>[23] Daley CL, et al. Treatment of drug-susceptible tuberculosis. Clin Infect Dis. 2022;74(Supplement_2):S88-S98.</w:t>
      </w:r>
    </w:p>
    <w:p>
      <w:pPr>
        <w:spacing w:after="60"/>
        <w:ind w:left="432"/>
      </w:pPr>
      <w:r>
        <w:t>[24] Deloitte. Artificial Intelligence in Healthcare: Diagnosis, Treatment, Drug Development. 2022.</w:t>
      </w:r>
    </w:p>
    <w:p>
      <w:pPr>
        <w:spacing w:after="60"/>
        <w:ind w:left="432"/>
      </w:pPr>
      <w:r>
        <w:t>[25] Bhatt DL, et al. AHA 2020 Health Technology Standards: AI in Cardiovascular Disease. J Am Coll Cardiol. 2020;76(22):2679-2697.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