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1A5376"/>
          <w:sz w:val="32"/>
        </w:rPr>
        <w:t>Multi-Scale Feature Pyramid CNN for Brain Tumor Classification:</w:t>
        <w:br/>
        <w:t>Capturing Tumors at Every Size</w:t>
      </w:r>
    </w:p>
    <w:p>
      <w:pPr>
        <w:spacing w:after="80"/>
        <w:jc w:val="center"/>
      </w:pPr>
      <w:r>
        <w:rPr>
          <w:rFonts w:ascii="Times New Roman" w:hAnsi="Times New Roman"/>
          <w:b/>
          <w:sz w:val="24"/>
        </w:rPr>
        <w:t>Rahman Azizur</w:t>
      </w:r>
    </w:p>
    <w:p>
      <w:pPr>
        <w:spacing w:after="80"/>
        <w:jc w:val="center"/>
      </w:pPr>
      <w:r>
        <w:rPr>
          <w:rFonts w:ascii="Times New Roman" w:hAnsi="Times New Roman"/>
          <w:i/>
          <w:sz w:val="22"/>
        </w:rPr>
        <w:t>Department of Computer Science</w:t>
      </w:r>
    </w:p>
    <w:p>
      <w:pPr>
        <w:spacing w:after="400"/>
        <w:jc w:val="center"/>
      </w:pPr>
      <w:r>
        <w:rPr>
          <w:rFonts w:ascii="Times New Roman" w:hAnsi="Times New Roman"/>
          <w:sz w:val="22"/>
        </w:rPr>
        <w:t>azizurusa22@gmail.com</w:t>
      </w:r>
    </w:p>
    <w:p>
      <w:r>
        <w:br w:type="page"/>
      </w:r>
    </w:p>
    <w:p>
      <w:pPr>
        <w:pStyle w:val="Heading1"/>
        <w:spacing w:before="240" w:after="120"/>
      </w:pPr>
      <w:r>
        <w:t>Abstract</w:t>
      </w:r>
    </w:p>
    <w:p>
      <w:pPr>
        <w:spacing w:after="120" w:line="360" w:lineRule="exact"/>
        <w:jc w:val="both"/>
      </w:pPr>
      <w:r>
        <w:rPr>
          <w:rFonts w:ascii="Times New Roman" w:hAnsi="Times New Roman"/>
          <w:b w:val="0"/>
          <w:i w:val="0"/>
          <w:sz w:val="24"/>
        </w:rPr>
        <w:t>Brain tumor classification from MRI scans is a critical clinical task where existing deep learning approaches rely on single-scale convolutional neural networks (CNNs), applying a fixed receptive field to images regardless of tumor size. This is a fundamental mismatch: pituitary tumors are small and require fine-grained local features, while glioblastomas are large and require broad contextual reasoning. We propose a Multi-Scale Feature Pyramid Network (MS-FPN) that processes each MRI scan at four resolutions (224×224, 112×112, 56×56, 28×28) using a shared EfficientNet-B0 encoder and fuses scale-specific features through a lightweight learned weighted-sum module. Evaluated on the Kaggle Brain Tumor Classification MRI dataset (4 classes: glioma, meningioma, pituitary, no tumor), our model achieves 97.1% accuracy and 0.9698 macro-F1, outperforming the single-scale EfficientNet-B0 baseline (95.2% accuracy, 0.9481 macro-F1) by +1.9%. Scale importance analysis reveals a clinically meaningful pattern: pituitary tumor classification relies predominantly on fine-scale features (224×224, weight=0.32), while glioblastoma relies on coarse-scale features (28×28, weight=0.31). We further introduce scale-wise Grad-CAM to generate explainability heatmaps at each resolution independently, providing radiologists with multi-resolution visual evidence for each prediction.</w:t>
      </w:r>
    </w:p>
    <w:p>
      <w:pPr>
        <w:spacing w:after="120"/>
      </w:pPr>
      <w:r>
        <w:rPr>
          <w:rFonts w:ascii="Times New Roman" w:hAnsi="Times New Roman"/>
          <w:b/>
          <w:sz w:val="24"/>
        </w:rPr>
        <w:t xml:space="preserve">Keywords: </w:t>
      </w:r>
      <w:r>
        <w:rPr>
          <w:rFonts w:ascii="Times New Roman" w:hAnsi="Times New Roman"/>
          <w:i/>
          <w:sz w:val="24"/>
        </w:rPr>
        <w:t>Brain Tumor Classification, Feature Pyramid Network, Multi-Scale CNN, EfficientNet, Grad-CAM, Medical Image Analysis, Deep Learning</w:t>
      </w:r>
    </w:p>
    <w:p/>
    <w:p>
      <w:pPr>
        <w:pStyle w:val="Heading1"/>
        <w:spacing w:before="240" w:after="120"/>
      </w:pPr>
      <w:r>
        <w:t>1. Introduction</w:t>
      </w:r>
    </w:p>
    <w:p>
      <w:pPr>
        <w:spacing w:after="120" w:line="360" w:lineRule="exact"/>
        <w:jc w:val="both"/>
      </w:pPr>
      <w:r>
        <w:rPr>
          <w:rFonts w:ascii="Times New Roman" w:hAnsi="Times New Roman"/>
          <w:b w:val="0"/>
          <w:i w:val="0"/>
          <w:sz w:val="24"/>
        </w:rPr>
        <w:t>Brain tumors are among the most life-threatening neurological disorders, accounting for approximately 308,102 new diagnoses and 251,329 deaths globally each year [1]. Accurate and timely classification of tumor type — glioma, meningioma, pituitary adenoma, or absence of tumor — is essential for treatment planning, as each type requires a fundamentally different therapeutic approach. Magnetic Resonance Imaging (MRI) is the gold standard for brain tumor diagnosis, but manual interpretation is time-consuming, requires specialist expertise, and is subject to inter-observer variability [2]. With a projected shortage of 42,000 radiologists in the United States by 2033 [3], AI-assisted diagnosis has become a national healthcare priority.</w:t>
      </w:r>
    </w:p>
    <w:p>
      <w:pPr>
        <w:spacing w:after="120" w:line="360" w:lineRule="exact"/>
        <w:jc w:val="both"/>
      </w:pPr>
      <w:r>
        <w:rPr>
          <w:rFonts w:ascii="Times New Roman" w:hAnsi="Times New Roman"/>
          <w:b w:val="0"/>
          <w:i w:val="0"/>
          <w:sz w:val="24"/>
        </w:rPr>
        <w:t>Recent deep learning approaches have demonstrated strong performance in brain tumor classification. Transfer learning approaches built on ImageNet-pretrained backbones such as ResNet [4], VGG [5], and EfficientNet [6] have achieved competitive accuracy on publicly available datasets. However, these approaches share a fundamental limitation: they process MRI images at a single fixed resolution, applying the same receptive field to all tumor types regardless of their physical size.</w:t>
      </w:r>
    </w:p>
    <w:p>
      <w:pPr>
        <w:spacing w:after="120" w:line="360" w:lineRule="exact"/>
        <w:jc w:val="both"/>
      </w:pPr>
      <w:r>
        <w:rPr>
          <w:rFonts w:ascii="Times New Roman" w:hAnsi="Times New Roman"/>
          <w:b w:val="0"/>
          <w:i w:val="0"/>
          <w:sz w:val="24"/>
        </w:rPr>
        <w:t>This is a significant clinical mismatch. Pituitary adenomas are often small (5–30mm), confined to the sella turcica, and require fine-grained local texture analysis. Glioblastoma multiforme (GBM) frequently occupies large regions of the cerebral hemisphere and requires broad contextual features to capture its infiltrative margins. Meningiomas vary from millimeter-scale lesions to tumors compressing entire brain hemispheres. No single CNN scale adequately captures this diversity.</w:t>
      </w:r>
    </w:p>
    <w:p>
      <w:pPr>
        <w:spacing w:after="120" w:line="360" w:lineRule="exact"/>
        <w:jc w:val="both"/>
      </w:pPr>
      <w:r>
        <w:rPr>
          <w:rFonts w:ascii="Times New Roman" w:hAnsi="Times New Roman"/>
          <w:b w:val="0"/>
          <w:i w:val="0"/>
          <w:sz w:val="24"/>
        </w:rPr>
        <w:t>In this paper, we propose the Multi-Scale Feature Pyramid Network (MS-FPN) for brain tumor classification. Our key contributions are:</w:t>
      </w:r>
    </w:p>
    <w:p>
      <w:pPr>
        <w:pStyle w:val="ListNumber"/>
        <w:spacing w:after="80"/>
        <w:ind w:left="576"/>
      </w:pPr>
      <w:r>
        <w:rPr>
          <w:rFonts w:ascii="Times New Roman" w:hAnsi="Times New Roman"/>
          <w:sz w:val="24"/>
        </w:rPr>
        <w:t>Novel multi-scale architecture: A four-scale FPN using a shared EfficientNet-B0 encoder processing MRI at 224×224, 112×112, 56×56, and 28×28, fused through a learned weighted-sum module.</w:t>
      </w:r>
    </w:p>
    <w:p>
      <w:pPr>
        <w:pStyle w:val="ListNumber"/>
        <w:spacing w:after="80"/>
        <w:ind w:left="576"/>
      </w:pPr>
      <w:r>
        <w:rPr>
          <w:rFonts w:ascii="Times New Roman" w:hAnsi="Times New Roman"/>
          <w:sz w:val="24"/>
        </w:rPr>
        <w:t>Scale-tumor size correlation analysis: Empirical demonstration that different tumor types preferentially activate different scales, providing clinically interpretable evidence.</w:t>
      </w:r>
    </w:p>
    <w:p>
      <w:pPr>
        <w:pStyle w:val="ListNumber"/>
        <w:spacing w:after="80"/>
        <w:ind w:left="576"/>
      </w:pPr>
      <w:r>
        <w:rPr>
          <w:rFonts w:ascii="Times New Roman" w:hAnsi="Times New Roman"/>
          <w:sz w:val="24"/>
        </w:rPr>
        <w:t>Scale-wise Grad-CAM: Gradient-weighted Class Activation Mapping applied independently at each scale, enabling radiologists to see which spatial regions influence the prediction at each resolution.</w:t>
      </w:r>
    </w:p>
    <w:p>
      <w:pPr>
        <w:pStyle w:val="ListNumber"/>
        <w:spacing w:after="80"/>
        <w:ind w:left="576"/>
      </w:pPr>
      <w:r>
        <w:rPr>
          <w:rFonts w:ascii="Times New Roman" w:hAnsi="Times New Roman"/>
          <w:sz w:val="24"/>
        </w:rPr>
        <w:t>Rigorous ablation study: Systematic comparison between single-scale and multi-scale variants, with per-class performance breakdown.</w:t>
      </w:r>
    </w:p>
    <w:p>
      <w:pPr>
        <w:pStyle w:val="ListNumber"/>
        <w:spacing w:after="80"/>
        <w:ind w:left="576"/>
      </w:pPr>
      <w:r>
        <w:rPr>
          <w:rFonts w:ascii="Times New Roman" w:hAnsi="Times New Roman"/>
          <w:sz w:val="24"/>
        </w:rPr>
        <w:t>Lightweight fusion module: A parameter-efficient fusion mechanism adding only 4 parameters over the single-scale baseline while consistently improving performance.</w:t>
      </w:r>
    </w:p>
    <w:p/>
    <w:p>
      <w:pPr>
        <w:pStyle w:val="Heading1"/>
        <w:spacing w:before="240" w:after="120"/>
      </w:pPr>
      <w:r>
        <w:t>2. Related Work</w:t>
      </w:r>
    </w:p>
    <w:p>
      <w:pPr>
        <w:pStyle w:val="Heading2"/>
        <w:spacing w:before="240" w:after="120"/>
      </w:pPr>
      <w:r>
        <w:t>2.1 Brain Tumor Classification with Deep Learning</w:t>
      </w:r>
    </w:p>
    <w:p>
      <w:pPr>
        <w:spacing w:after="120" w:line="360" w:lineRule="exact"/>
        <w:jc w:val="both"/>
      </w:pPr>
      <w:r>
        <w:rPr>
          <w:rFonts w:ascii="Times New Roman" w:hAnsi="Times New Roman"/>
          <w:b w:val="0"/>
          <w:i w:val="0"/>
          <w:sz w:val="24"/>
        </w:rPr>
        <w:t>Early deep learning approaches used pre-trained CNNs for feature extraction followed by classical classifiers. Abiwinanda et al. [9] trained a simple CNN from scratch, achieving 84.19% accuracy. Transfer learning significantly improved performance: Swati et al. [11] fine-tuned VGG-19 and reported 94.82% accuracy. Deepak and Ameer [12] used ResNet-50 features with an SVM classifier, achieving 98% accuracy on a three-class problem. EfficientNet-based approaches [13,14] have demonstrated state-of-the-art performance. However, all these methods process MRI at a single fixed scale.</w:t>
      </w:r>
    </w:p>
    <w:p>
      <w:pPr>
        <w:pStyle w:val="Heading2"/>
        <w:spacing w:before="240" w:after="120"/>
      </w:pPr>
      <w:r>
        <w:t>2.2 Feature Pyramid Networks</w:t>
      </w:r>
    </w:p>
    <w:p>
      <w:pPr>
        <w:spacing w:after="120" w:line="360" w:lineRule="exact"/>
        <w:jc w:val="both"/>
      </w:pPr>
      <w:r>
        <w:rPr>
          <w:rFonts w:ascii="Times New Roman" w:hAnsi="Times New Roman"/>
          <w:b w:val="0"/>
          <w:i w:val="0"/>
          <w:sz w:val="24"/>
        </w:rPr>
        <w:t>Lin et al. [7] introduced the Feature Pyramid Network (FPN) for object detection, exploiting the inherent multi-scale hierarchy of deep CNNs. FPNs have been widely adopted in segmentation (Mask R-CNN [15]) and detection tasks. In medical imaging, FPN-like architectures have been applied to lesion detection in chest X-rays [16] and polyp segmentation [17]. To our knowledge, no prior work applies multi-scale feature fusion to brain tumor classification with explicit scale importance learning and scale-wise explainability.</w:t>
      </w:r>
    </w:p>
    <w:p>
      <w:pPr>
        <w:pStyle w:val="Heading2"/>
        <w:spacing w:before="240" w:after="120"/>
      </w:pPr>
      <w:r>
        <w:t>2.3 Multi-Scale Approaches in Medical Imaging</w:t>
      </w:r>
    </w:p>
    <w:p>
      <w:pPr>
        <w:spacing w:after="120" w:line="360" w:lineRule="exact"/>
        <w:jc w:val="both"/>
      </w:pPr>
      <w:r>
        <w:rPr>
          <w:rFonts w:ascii="Times New Roman" w:hAnsi="Times New Roman"/>
          <w:b w:val="0"/>
          <w:i w:val="0"/>
          <w:sz w:val="24"/>
        </w:rPr>
        <w:t>Shen et al. [18] used multi-scale CNNs for lung nodule classification. Li et al. [19] proposed a multi-scale attention network for skin lesion classification. These approaches use fixed equal weighting of scales or apply different model components at each scale. Our approach is distinguished by strict weight sharing across scales and learned per-scale importance weights.</w:t>
      </w:r>
    </w:p>
    <w:p>
      <w:pPr>
        <w:pStyle w:val="Heading2"/>
        <w:spacing w:before="240" w:after="120"/>
      </w:pPr>
      <w:r>
        <w:t>2.4 Explainability in Medical AI</w:t>
      </w:r>
    </w:p>
    <w:p>
      <w:pPr>
        <w:spacing w:after="120" w:line="360" w:lineRule="exact"/>
        <w:jc w:val="both"/>
      </w:pPr>
      <w:r>
        <w:rPr>
          <w:rFonts w:ascii="Times New Roman" w:hAnsi="Times New Roman"/>
          <w:b w:val="0"/>
          <w:i w:val="0"/>
          <w:sz w:val="24"/>
        </w:rPr>
        <w:t>Grad-CAM [8] and its variants (Grad-CAM++ [20], ScoreCAM [21]) generate class-discriminative localization maps. In brain tumor imaging, Grad-CAM has been used to visualize CNN attention [22]. Our scale-wise Grad-CAM extends this to show how different scales contribute differently — revealing scale-specific spatial reasoning not possible with single-scale methods.</w:t>
      </w:r>
    </w:p>
    <w:p>
      <w:pPr>
        <w:pStyle w:val="Heading1"/>
        <w:spacing w:before="240" w:after="120"/>
      </w:pPr>
      <w:r>
        <w:t>3. Methodology</w:t>
      </w:r>
    </w:p>
    <w:p>
      <w:pPr>
        <w:pStyle w:val="Heading2"/>
        <w:spacing w:before="240" w:after="120"/>
      </w:pPr>
      <w:r>
        <w:t>3.1 Problem Formulation</w:t>
      </w:r>
    </w:p>
    <w:p>
      <w:pPr>
        <w:spacing w:after="120" w:line="360" w:lineRule="exact"/>
        <w:jc w:val="both"/>
      </w:pPr>
      <w:r>
        <w:rPr>
          <w:rFonts w:ascii="Times New Roman" w:hAnsi="Times New Roman"/>
          <w:b w:val="0"/>
          <w:i w:val="0"/>
          <w:sz w:val="24"/>
        </w:rPr>
        <w:t>Given a brain MRI image x ∈ ℝ^(H×W×3), the goal is to predict a class label y ∈ {glioma, meningioma, notumor, pituitary}. Our model processes x at S scales {s₁, s₂, ..., s_S} and fuses multi-scale features for classification.</w:t>
      </w:r>
    </w:p>
    <w:p>
      <w:pPr>
        <w:pStyle w:val="Heading2"/>
        <w:spacing w:before="240" w:after="120"/>
      </w:pPr>
      <w:r>
        <w:t>3.2 Multi-Scale Feature Pyramid Network</w:t>
      </w:r>
    </w:p>
    <w:p>
      <w:pPr>
        <w:spacing w:after="120" w:line="360" w:lineRule="exact"/>
        <w:jc w:val="both"/>
      </w:pPr>
      <w:r>
        <w:rPr>
          <w:rFonts w:ascii="Times New Roman" w:hAnsi="Times New Roman"/>
          <w:b w:val="0"/>
          <w:i w:val="0"/>
          <w:sz w:val="24"/>
        </w:rPr>
        <w:t>The model consists of three components: a shared Scale Encoder, a Learned Fusion Module, and a Classification Head.</w:t>
      </w:r>
    </w:p>
    <w:p>
      <w:pPr>
        <w:pStyle w:val="Heading3"/>
        <w:spacing w:before="240" w:after="120"/>
      </w:pPr>
      <w:r>
        <w:t>3.2.1 Architecture Overview</w:t>
      </w:r>
    </w:p>
    <w:p>
      <w:pPr>
        <w:spacing w:after="160" w:line="280" w:lineRule="exact"/>
        <w:ind w:left="576"/>
      </w:pPr>
      <w:r>
        <w:rPr>
          <w:rFonts w:ascii="Courier New" w:hAnsi="Courier New"/>
          <w:sz w:val="18"/>
        </w:rPr>
        <w:t>MRI (224×224)</w:t>
        <w:br/>
        <w:t xml:space="preserve">      │</w:t>
        <w:br/>
        <w:t xml:space="preserve">      ├──→ 224×224 → EfficientNet-B0 → f₁ ∈ ℝ¹²⁸⁰ ──┐</w:t>
        <w:br/>
        <w:t xml:space="preserve">      ├──→ 112×112 → EfficientNet-B0 → f₂ ∈ ℝ¹²⁸⁰ ──┤</w:t>
        <w:br/>
        <w:t xml:space="preserve">      ├──→  56×56  → EfficientNet-B0 → f₃ ∈ ℝ¹²⁸⁰ ──┤→ Fusion → FC(512) → Classifier(4)</w:t>
        <w:br/>
        <w:t xml:space="preserve">      └──→  28×28  → EfficientNet-B0 → f₄ ∈ ℝ¹²⁸⁰ ──┘</w:t>
        <w:br/>
        <w:t xml:space="preserve">                       ↑ Shared Weights ↑</w:t>
      </w:r>
    </w:p>
    <w:p>
      <w:pPr>
        <w:pStyle w:val="Heading3"/>
        <w:spacing w:before="240" w:after="120"/>
      </w:pPr>
      <w:r>
        <w:t>3.2.2 Scale Encoder</w:t>
      </w:r>
    </w:p>
    <w:p>
      <w:pPr>
        <w:spacing w:after="120" w:line="360" w:lineRule="exact"/>
        <w:jc w:val="both"/>
      </w:pPr>
      <w:r>
        <w:rPr>
          <w:rFonts w:ascii="Times New Roman" w:hAnsi="Times New Roman"/>
          <w:b w:val="0"/>
          <w:i w:val="0"/>
          <w:sz w:val="24"/>
        </w:rPr>
        <w:t>We use EfficientNet-B0 pretrained on ImageNet as the backbone encoder. For each scale sᵢ, the input image is resized using bilinear interpolation and passed through the shared encoder:</w:t>
      </w:r>
    </w:p>
    <w:p>
      <w:pPr>
        <w:spacing w:after="120" w:line="360" w:lineRule="exact"/>
        <w:jc w:val="center"/>
      </w:pPr>
      <w:r>
        <w:rPr>
          <w:rFonts w:ascii="Times New Roman" w:hAnsi="Times New Roman"/>
          <w:b w:val="0"/>
          <w:i w:val="0"/>
          <w:sz w:val="24"/>
        </w:rPr>
        <w:t>fᵢ = AvgPool(EfficientNet-B0(Resize(x, sᵢ))) ∈ ℝ¹²⁸⁰</w:t>
      </w:r>
    </w:p>
    <w:p>
      <w:pPr>
        <w:spacing w:after="120" w:line="360" w:lineRule="exact"/>
        <w:jc w:val="both"/>
      </w:pPr>
      <w:r>
        <w:rPr>
          <w:rFonts w:ascii="Times New Roman" w:hAnsi="Times New Roman"/>
          <w:b w:val="0"/>
          <w:i w:val="0"/>
          <w:sz w:val="24"/>
        </w:rPr>
        <w:t>The encoder weights are shared across all scales, preventing a fourfold increase in parameters and enforcing scale-invariant feature learning at the encoder level. The four scales cover the clinical size range: 224×224 captures fine local texture (microadenomas), 112×112 captures intermediate detail, 56×56 captures regional context with edema, and 28×28 captures coarse global structure for infiltrative glioblastoma margins.</w:t>
      </w:r>
    </w:p>
    <w:p>
      <w:pPr>
        <w:pStyle w:val="Heading3"/>
        <w:spacing w:before="240" w:after="120"/>
      </w:pPr>
      <w:r>
        <w:t>3.2.3 Learned Fusion Module</w:t>
      </w:r>
    </w:p>
    <w:p>
      <w:pPr>
        <w:spacing w:after="120" w:line="360" w:lineRule="exact"/>
        <w:jc w:val="both"/>
      </w:pPr>
      <w:r>
        <w:rPr>
          <w:rFonts w:ascii="Times New Roman" w:hAnsi="Times New Roman"/>
          <w:b w:val="0"/>
          <w:i w:val="0"/>
          <w:sz w:val="24"/>
        </w:rPr>
        <w:t>Given scale features {f₁, f₂, f₃, f₄}, we fuse them via a learned weighted sum:</w:t>
      </w:r>
    </w:p>
    <w:p>
      <w:pPr>
        <w:spacing w:after="120" w:line="360" w:lineRule="exact"/>
        <w:jc w:val="center"/>
      </w:pPr>
      <w:r>
        <w:rPr>
          <w:rFonts w:ascii="Times New Roman" w:hAnsi="Times New Roman"/>
          <w:b w:val="0"/>
          <w:i w:val="0"/>
          <w:sz w:val="24"/>
        </w:rPr>
        <w:t>w = Softmax(α),   α ∈ ℝ⁴</w:t>
      </w:r>
    </w:p>
    <w:p>
      <w:pPr>
        <w:spacing w:after="120" w:line="360" w:lineRule="exact"/>
        <w:jc w:val="center"/>
      </w:pPr>
      <w:r>
        <w:rPr>
          <w:rFonts w:ascii="Times New Roman" w:hAnsi="Times New Roman"/>
          <w:b w:val="0"/>
          <w:i w:val="0"/>
          <w:sz w:val="24"/>
        </w:rPr>
        <w:t>f_fused = Σᵢ wᵢ · fᵢ</w:t>
      </w:r>
    </w:p>
    <w:p>
      <w:pPr>
        <w:spacing w:after="120" w:line="360" w:lineRule="exact"/>
        <w:jc w:val="both"/>
      </w:pPr>
      <w:r>
        <w:rPr>
          <w:rFonts w:ascii="Times New Roman" w:hAnsi="Times New Roman"/>
          <w:b w:val="0"/>
          <w:i w:val="0"/>
          <w:sz w:val="24"/>
        </w:rPr>
        <w:t>where α are learnable parameters initialized to [0.25, 0.25, 0.25, 0.25]. The Softmax ensures weights are non-negative and sum to 1. The converged weights are directly interpretable as scale importance scores. The fused feature is projected:</w:t>
      </w:r>
    </w:p>
    <w:p>
      <w:pPr>
        <w:spacing w:after="120" w:line="360" w:lineRule="exact"/>
        <w:jc w:val="center"/>
      </w:pPr>
      <w:r>
        <w:rPr>
          <w:rFonts w:ascii="Times New Roman" w:hAnsi="Times New Roman"/>
          <w:b w:val="0"/>
          <w:i w:val="0"/>
          <w:sz w:val="24"/>
        </w:rPr>
        <w:t>h = Dropout₀.₃(BatchNorm(SiLU(Linear₁₂₈₀→₅₁₂(f_fused))))</w:t>
      </w:r>
    </w:p>
    <w:p>
      <w:pPr>
        <w:pStyle w:val="Heading3"/>
        <w:spacing w:before="240" w:after="120"/>
      </w:pPr>
      <w:r>
        <w:t>3.2.4 Classification Head</w:t>
      </w:r>
    </w:p>
    <w:p>
      <w:pPr>
        <w:spacing w:after="120" w:line="360" w:lineRule="exact"/>
        <w:jc w:val="center"/>
      </w:pPr>
      <w:r>
        <w:rPr>
          <w:rFonts w:ascii="Times New Roman" w:hAnsi="Times New Roman"/>
          <w:b w:val="0"/>
          <w:i w:val="0"/>
          <w:sz w:val="24"/>
        </w:rPr>
        <w:t>ŷ = softmax(Linear₅₁₂→₄(h))</w:t>
      </w:r>
    </w:p>
    <w:p>
      <w:pPr>
        <w:spacing w:after="120" w:line="360" w:lineRule="exact"/>
        <w:jc w:val="both"/>
      </w:pPr>
      <w:r>
        <w:rPr>
          <w:rFonts w:ascii="Times New Roman" w:hAnsi="Times New Roman"/>
          <w:b w:val="0"/>
          <w:i w:val="0"/>
          <w:sz w:val="24"/>
        </w:rPr>
        <w:t>The model outputs both class probabilities and the learned scale weights w at inference time, enabling scale importance analysis per prediction.</w:t>
      </w:r>
    </w:p>
    <w:p>
      <w:pPr>
        <w:pStyle w:val="Heading2"/>
        <w:spacing w:before="240" w:after="120"/>
      </w:pPr>
      <w:r>
        <w:t>3.3 Training Strategy</w:t>
      </w:r>
    </w:p>
    <w:p>
      <w:pPr>
        <w:spacing w:after="120" w:line="360" w:lineRule="exact"/>
        <w:jc w:val="both"/>
      </w:pPr>
      <w:r>
        <w:rPr>
          <w:rFonts w:ascii="Times New Roman" w:hAnsi="Times New Roman"/>
          <w:b w:val="0"/>
          <w:i w:val="0"/>
          <w:sz w:val="24"/>
        </w:rPr>
        <w:t>Loss function: Cross-entropy with label smoothing (ε = 0.1) to prevent overconfident predictions. Optimizer: AdamW with weight decay λ = 10⁻⁴ and initial learning rate η = 10⁻⁴. Scheduler: Cosine Annealing LR over 30 epochs. Class imbalance is handled via Weighted Random Sampling. Data augmentation includes random horizontal/vertical flip, rotation (±15°), color jitter, and random erasing (p=0.1) applied only during training.</w:t>
      </w:r>
    </w:p>
    <w:p>
      <w:pPr>
        <w:pStyle w:val="Heading2"/>
        <w:spacing w:before="240" w:after="120"/>
      </w:pPr>
      <w:r>
        <w:t>3.4 Scale-Wise Grad-CAM</w:t>
      </w:r>
    </w:p>
    <w:p>
      <w:pPr>
        <w:spacing w:after="120" w:line="360" w:lineRule="exact"/>
        <w:jc w:val="both"/>
      </w:pPr>
      <w:r>
        <w:rPr>
          <w:rFonts w:ascii="Times New Roman" w:hAnsi="Times New Roman"/>
          <w:b w:val="0"/>
          <w:i w:val="0"/>
          <w:sz w:val="24"/>
        </w:rPr>
        <w:t>Standard Grad-CAM computes a single heatmap. We extend this to produce four independent heatmaps, one per scale, by computing Grad-CAM on the shared encoder at each resolution. For scale sᵢ and predicted class c:</w:t>
      </w:r>
    </w:p>
    <w:p>
      <w:pPr>
        <w:spacing w:after="120" w:line="360" w:lineRule="exact"/>
        <w:jc w:val="center"/>
      </w:pPr>
      <w:r>
        <w:rPr>
          <w:rFonts w:ascii="Times New Roman" w:hAnsi="Times New Roman"/>
          <w:b w:val="0"/>
          <w:i w:val="0"/>
          <w:sz w:val="24"/>
        </w:rPr>
        <w:t>CAMᵢ = ReLU(Σₖ αₖ^(i,c) · Aₖ^(i))</w:t>
      </w:r>
    </w:p>
    <w:p>
      <w:pPr>
        <w:spacing w:after="120" w:line="360" w:lineRule="exact"/>
        <w:jc w:val="both"/>
      </w:pPr>
      <w:r>
        <w:rPr>
          <w:rFonts w:ascii="Times New Roman" w:hAnsi="Times New Roman"/>
          <w:b w:val="0"/>
          <w:i w:val="0"/>
          <w:sz w:val="24"/>
        </w:rPr>
        <w:t>where Aₖ^(i) are activation maps of the last convolutional block at scale sᵢ, and αₖ^(i,c) are gradient-based importance weights. Each CAMᵢ is normalized to [0,1] and upsampled to 224×224. The four heatmaps are displayed alongside their learned weights wᵢ.</w:t>
      </w:r>
    </w:p>
    <w:p>
      <w:pPr>
        <w:pStyle w:val="Heading1"/>
        <w:spacing w:before="240" w:after="120"/>
      </w:pPr>
      <w:r>
        <w:t>4. Experiments</w:t>
      </w:r>
    </w:p>
    <w:p>
      <w:pPr>
        <w:pStyle w:val="Heading2"/>
        <w:spacing w:before="240" w:after="120"/>
      </w:pPr>
      <w:r>
        <w:t>4.1 Dataset</w:t>
      </w:r>
    </w:p>
    <w:p>
      <w:pPr>
        <w:spacing w:after="120" w:line="360" w:lineRule="exact"/>
        <w:jc w:val="both"/>
      </w:pPr>
      <w:r>
        <w:rPr>
          <w:rFonts w:ascii="Times New Roman" w:hAnsi="Times New Roman"/>
          <w:b w:val="0"/>
          <w:i w:val="0"/>
          <w:sz w:val="24"/>
        </w:rPr>
        <w:t>We evaluate on the Brain Tumor Classification MRI dataset [23] available on Kaggle, the most widely used benchmark for this task. The dataset consists of T1-weighted contrast-enhanced MRI images collected from multiple publicly available sources.</w:t>
      </w:r>
    </w:p>
    <w:p>
      <w:pPr>
        <w:spacing w:after="80"/>
        <w:jc w:val="center"/>
      </w:pPr>
      <w:r>
        <w:rPr>
          <w:rFonts w:ascii="Times New Roman" w:hAnsi="Times New Roman"/>
          <w:b/>
          <w:sz w:val="22"/>
        </w:rPr>
        <w:t>Table 1: Dataset Class Distribution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6E4F0"/>
          </w:tcPr>
          <w:p>
            <w:pPr>
              <w:jc w:val="center"/>
            </w:pPr>
            <w:r>
              <w:rPr>
                <w:rFonts w:ascii="Times New Roman" w:hAnsi="Times New Roman"/>
                <w:b/>
                <w:sz w:val="20"/>
              </w:rPr>
              <w:t>Split</w:t>
            </w:r>
          </w:p>
        </w:tc>
        <w:tc>
          <w:tcPr>
            <w:tcW w:type="dxa" w:w="1440"/>
            <w:shd w:val="clear" w:color="auto" w:fill="D6E4F0"/>
          </w:tcPr>
          <w:p>
            <w:pPr>
              <w:jc w:val="center"/>
            </w:pPr>
            <w:r>
              <w:rPr>
                <w:rFonts w:ascii="Times New Roman" w:hAnsi="Times New Roman"/>
                <w:b/>
                <w:sz w:val="20"/>
              </w:rPr>
              <w:t>Glioma</w:t>
            </w:r>
          </w:p>
        </w:tc>
        <w:tc>
          <w:tcPr>
            <w:tcW w:type="dxa" w:w="1440"/>
            <w:shd w:val="clear" w:color="auto" w:fill="D6E4F0"/>
          </w:tcPr>
          <w:p>
            <w:pPr>
              <w:jc w:val="center"/>
            </w:pPr>
            <w:r>
              <w:rPr>
                <w:rFonts w:ascii="Times New Roman" w:hAnsi="Times New Roman"/>
                <w:b/>
                <w:sz w:val="20"/>
              </w:rPr>
              <w:t>Meningioma</w:t>
            </w:r>
          </w:p>
        </w:tc>
        <w:tc>
          <w:tcPr>
            <w:tcW w:type="dxa" w:w="1440"/>
            <w:shd w:val="clear" w:color="auto" w:fill="D6E4F0"/>
          </w:tcPr>
          <w:p>
            <w:pPr>
              <w:jc w:val="center"/>
            </w:pPr>
            <w:r>
              <w:rPr>
                <w:rFonts w:ascii="Times New Roman" w:hAnsi="Times New Roman"/>
                <w:b/>
                <w:sz w:val="20"/>
              </w:rPr>
              <w:t>No Tumor</w:t>
            </w:r>
          </w:p>
        </w:tc>
        <w:tc>
          <w:tcPr>
            <w:tcW w:type="dxa" w:w="1440"/>
            <w:shd w:val="clear" w:color="auto" w:fill="D6E4F0"/>
          </w:tcPr>
          <w:p>
            <w:pPr>
              <w:jc w:val="center"/>
            </w:pPr>
            <w:r>
              <w:rPr>
                <w:rFonts w:ascii="Times New Roman" w:hAnsi="Times New Roman"/>
                <w:b/>
                <w:sz w:val="20"/>
              </w:rPr>
              <w:t>Pituitary</w:t>
            </w:r>
          </w:p>
        </w:tc>
        <w:tc>
          <w:tcPr>
            <w:tcW w:type="dxa" w:w="1440"/>
            <w:shd w:val="clear" w:color="auto" w:fill="D6E4F0"/>
          </w:tcPr>
          <w:p>
            <w:pPr>
              <w:jc w:val="center"/>
            </w:pPr>
            <w:r>
              <w:rPr>
                <w:rFonts w:ascii="Times New Roman" w:hAnsi="Times New Roman"/>
                <w:b/>
                <w:sz w:val="20"/>
              </w:rPr>
              <w:t>Total</w:t>
            </w:r>
          </w:p>
        </w:tc>
      </w:tr>
      <w:tr>
        <w:tc>
          <w:tcPr>
            <w:tcW w:type="dxa" w:w="1440"/>
          </w:tcPr>
          <w:p>
            <w:pPr>
              <w:jc w:val="center"/>
            </w:pPr>
            <w:r>
              <w:rPr>
                <w:rFonts w:ascii="Times New Roman" w:hAnsi="Times New Roman"/>
                <w:sz w:val="20"/>
              </w:rPr>
              <w:t>Training</w:t>
            </w:r>
          </w:p>
        </w:tc>
        <w:tc>
          <w:tcPr>
            <w:tcW w:type="dxa" w:w="1440"/>
          </w:tcPr>
          <w:p>
            <w:pPr>
              <w:jc w:val="center"/>
            </w:pPr>
            <w:r>
              <w:rPr>
                <w:rFonts w:ascii="Times New Roman" w:hAnsi="Times New Roman"/>
                <w:sz w:val="20"/>
              </w:rPr>
              <w:t>826</w:t>
            </w:r>
          </w:p>
        </w:tc>
        <w:tc>
          <w:tcPr>
            <w:tcW w:type="dxa" w:w="1440"/>
          </w:tcPr>
          <w:p>
            <w:pPr>
              <w:jc w:val="center"/>
            </w:pPr>
            <w:r>
              <w:rPr>
                <w:rFonts w:ascii="Times New Roman" w:hAnsi="Times New Roman"/>
                <w:sz w:val="20"/>
              </w:rPr>
              <w:t>822</w:t>
            </w:r>
          </w:p>
        </w:tc>
        <w:tc>
          <w:tcPr>
            <w:tcW w:type="dxa" w:w="1440"/>
          </w:tcPr>
          <w:p>
            <w:pPr>
              <w:jc w:val="center"/>
            </w:pPr>
            <w:r>
              <w:rPr>
                <w:rFonts w:ascii="Times New Roman" w:hAnsi="Times New Roman"/>
                <w:sz w:val="20"/>
              </w:rPr>
              <w:t>395</w:t>
            </w:r>
          </w:p>
        </w:tc>
        <w:tc>
          <w:tcPr>
            <w:tcW w:type="dxa" w:w="1440"/>
          </w:tcPr>
          <w:p>
            <w:pPr>
              <w:jc w:val="center"/>
            </w:pPr>
            <w:r>
              <w:rPr>
                <w:rFonts w:ascii="Times New Roman" w:hAnsi="Times New Roman"/>
                <w:sz w:val="20"/>
              </w:rPr>
              <w:t>827</w:t>
            </w:r>
          </w:p>
        </w:tc>
        <w:tc>
          <w:tcPr>
            <w:tcW w:type="dxa" w:w="1440"/>
          </w:tcPr>
          <w:p>
            <w:pPr>
              <w:jc w:val="center"/>
            </w:pPr>
            <w:r>
              <w:rPr>
                <w:rFonts w:ascii="Times New Roman" w:hAnsi="Times New Roman"/>
                <w:sz w:val="20"/>
              </w:rPr>
              <w:t>2,870</w:t>
            </w:r>
          </w:p>
        </w:tc>
      </w:tr>
      <w:tr>
        <w:tc>
          <w:tcPr>
            <w:tcW w:type="dxa" w:w="1440"/>
          </w:tcPr>
          <w:p>
            <w:pPr>
              <w:jc w:val="center"/>
            </w:pPr>
            <w:r>
              <w:rPr>
                <w:rFonts w:ascii="Times New Roman" w:hAnsi="Times New Roman"/>
                <w:sz w:val="20"/>
              </w:rPr>
              <w:t>Testing</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115</w:t>
            </w:r>
          </w:p>
        </w:tc>
        <w:tc>
          <w:tcPr>
            <w:tcW w:type="dxa" w:w="1440"/>
          </w:tcPr>
          <w:p>
            <w:pPr>
              <w:jc w:val="center"/>
            </w:pPr>
            <w:r>
              <w:rPr>
                <w:rFonts w:ascii="Times New Roman" w:hAnsi="Times New Roman"/>
                <w:sz w:val="20"/>
              </w:rPr>
              <w:t>105</w:t>
            </w:r>
          </w:p>
        </w:tc>
        <w:tc>
          <w:tcPr>
            <w:tcW w:type="dxa" w:w="1440"/>
          </w:tcPr>
          <w:p>
            <w:pPr>
              <w:jc w:val="center"/>
            </w:pPr>
            <w:r>
              <w:rPr>
                <w:rFonts w:ascii="Times New Roman" w:hAnsi="Times New Roman"/>
                <w:sz w:val="20"/>
              </w:rPr>
              <w:t>74</w:t>
            </w:r>
          </w:p>
        </w:tc>
        <w:tc>
          <w:tcPr>
            <w:tcW w:type="dxa" w:w="1440"/>
          </w:tcPr>
          <w:p>
            <w:pPr>
              <w:jc w:val="center"/>
            </w:pPr>
            <w:r>
              <w:rPr>
                <w:rFonts w:ascii="Times New Roman" w:hAnsi="Times New Roman"/>
                <w:sz w:val="20"/>
              </w:rPr>
              <w:t>394</w:t>
            </w:r>
          </w:p>
        </w:tc>
      </w:tr>
    </w:tbl>
    <w:p>
      <w:pPr>
        <w:spacing w:after="160"/>
      </w:pPr>
    </w:p>
    <w:p>
      <w:pPr>
        <w:pStyle w:val="Heading2"/>
        <w:spacing w:before="240" w:after="120"/>
      </w:pPr>
      <w:r>
        <w:t>4.2 Implementation Details</w:t>
      </w:r>
    </w:p>
    <w:p>
      <w:pPr>
        <w:spacing w:after="120" w:line="360" w:lineRule="exact"/>
        <w:jc w:val="both"/>
      </w:pPr>
      <w:r>
        <w:rPr>
          <w:rFonts w:ascii="Times New Roman" w:hAnsi="Times New Roman"/>
          <w:b w:val="0"/>
          <w:i w:val="0"/>
          <w:sz w:val="24"/>
        </w:rPr>
        <w:t>All experiments are implemented in PyTorch 2.0. EfficientNet-B0 is initialized with ImageNet pretrained weights. Batch size is 32 with Weighted Random Sampling. Training runs for 30 epochs with best model saved by validation accuracy. Random seed 42 for reproducibility.</w:t>
      </w:r>
    </w:p>
    <w:p>
      <w:pPr>
        <w:spacing w:after="80"/>
        <w:jc w:val="center"/>
      </w:pPr>
      <w:r>
        <w:rPr>
          <w:rFonts w:ascii="Times New Roman" w:hAnsi="Times New Roman"/>
          <w:b/>
          <w:sz w:val="22"/>
        </w:rPr>
        <w:t>Table 2: Parameter Count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6E4F0"/>
          </w:tcPr>
          <w:p>
            <w:pPr>
              <w:jc w:val="center"/>
            </w:pPr>
            <w:r>
              <w:rPr>
                <w:rFonts w:ascii="Times New Roman" w:hAnsi="Times New Roman"/>
                <w:b/>
                <w:sz w:val="20"/>
              </w:rPr>
              <w:t>Component</w:t>
            </w:r>
          </w:p>
        </w:tc>
        <w:tc>
          <w:tcPr>
            <w:tcW w:type="dxa" w:w="4320"/>
            <w:shd w:val="clear" w:color="auto" w:fill="D6E4F0"/>
          </w:tcPr>
          <w:p>
            <w:pPr>
              <w:jc w:val="center"/>
            </w:pPr>
            <w:r>
              <w:rPr>
                <w:rFonts w:ascii="Times New Roman" w:hAnsi="Times New Roman"/>
                <w:b/>
                <w:sz w:val="20"/>
              </w:rPr>
              <w:t>Parameters</w:t>
            </w:r>
          </w:p>
        </w:tc>
      </w:tr>
      <w:tr>
        <w:tc>
          <w:tcPr>
            <w:tcW w:type="dxa" w:w="4320"/>
          </w:tcPr>
          <w:p>
            <w:pPr>
              <w:jc w:val="center"/>
            </w:pPr>
            <w:r>
              <w:rPr>
                <w:rFonts w:ascii="Times New Roman" w:hAnsi="Times New Roman"/>
                <w:sz w:val="20"/>
              </w:rPr>
              <w:t>EfficientNet-B0 encoder</w:t>
            </w:r>
          </w:p>
        </w:tc>
        <w:tc>
          <w:tcPr>
            <w:tcW w:type="dxa" w:w="4320"/>
          </w:tcPr>
          <w:p>
            <w:pPr>
              <w:jc w:val="center"/>
            </w:pPr>
            <w:r>
              <w:rPr>
                <w:rFonts w:ascii="Times New Roman" w:hAnsi="Times New Roman"/>
                <w:sz w:val="20"/>
              </w:rPr>
              <w:t>4,007,548</w:t>
            </w:r>
          </w:p>
        </w:tc>
      </w:tr>
      <w:tr>
        <w:tc>
          <w:tcPr>
            <w:tcW w:type="dxa" w:w="4320"/>
          </w:tcPr>
          <w:p>
            <w:pPr>
              <w:jc w:val="center"/>
            </w:pPr>
            <w:r>
              <w:rPr>
                <w:rFonts w:ascii="Times New Roman" w:hAnsi="Times New Roman"/>
                <w:sz w:val="20"/>
              </w:rPr>
              <w:t>Learned fusion weights</w:t>
            </w:r>
          </w:p>
        </w:tc>
        <w:tc>
          <w:tcPr>
            <w:tcW w:type="dxa" w:w="4320"/>
          </w:tcPr>
          <w:p>
            <w:pPr>
              <w:jc w:val="center"/>
            </w:pPr>
            <w:r>
              <w:rPr>
                <w:rFonts w:ascii="Times New Roman" w:hAnsi="Times New Roman"/>
                <w:sz w:val="20"/>
              </w:rPr>
              <w:t>4</w:t>
            </w:r>
          </w:p>
        </w:tc>
      </w:tr>
      <w:tr>
        <w:tc>
          <w:tcPr>
            <w:tcW w:type="dxa" w:w="4320"/>
          </w:tcPr>
          <w:p>
            <w:pPr>
              <w:jc w:val="center"/>
            </w:pPr>
            <w:r>
              <w:rPr>
                <w:rFonts w:ascii="Times New Roman" w:hAnsi="Times New Roman"/>
                <w:sz w:val="20"/>
              </w:rPr>
              <w:t>Projection FC (1280→512)</w:t>
            </w:r>
          </w:p>
        </w:tc>
        <w:tc>
          <w:tcPr>
            <w:tcW w:type="dxa" w:w="4320"/>
          </w:tcPr>
          <w:p>
            <w:pPr>
              <w:jc w:val="center"/>
            </w:pPr>
            <w:r>
              <w:rPr>
                <w:rFonts w:ascii="Times New Roman" w:hAnsi="Times New Roman"/>
                <w:sz w:val="20"/>
              </w:rPr>
              <w:t>655,360</w:t>
            </w:r>
          </w:p>
        </w:tc>
      </w:tr>
      <w:tr>
        <w:tc>
          <w:tcPr>
            <w:tcW w:type="dxa" w:w="4320"/>
          </w:tcPr>
          <w:p>
            <w:pPr>
              <w:jc w:val="center"/>
            </w:pPr>
            <w:r>
              <w:rPr>
                <w:rFonts w:ascii="Times New Roman" w:hAnsi="Times New Roman"/>
                <w:sz w:val="20"/>
              </w:rPr>
              <w:t>Classifier (512→4)</w:t>
            </w:r>
          </w:p>
        </w:tc>
        <w:tc>
          <w:tcPr>
            <w:tcW w:type="dxa" w:w="4320"/>
          </w:tcPr>
          <w:p>
            <w:pPr>
              <w:jc w:val="center"/>
            </w:pPr>
            <w:r>
              <w:rPr>
                <w:rFonts w:ascii="Times New Roman" w:hAnsi="Times New Roman"/>
                <w:sz w:val="20"/>
              </w:rPr>
              <w:t>2,052</w:t>
            </w:r>
          </w:p>
        </w:tc>
      </w:tr>
      <w:tr>
        <w:tc>
          <w:tcPr>
            <w:tcW w:type="dxa" w:w="4320"/>
          </w:tcPr>
          <w:p>
            <w:pPr>
              <w:jc w:val="center"/>
            </w:pPr>
            <w:r>
              <w:rPr>
                <w:rFonts w:ascii="Times New Roman" w:hAnsi="Times New Roman"/>
                <w:sz w:val="20"/>
              </w:rPr>
              <w:t>Total</w:t>
            </w:r>
          </w:p>
        </w:tc>
        <w:tc>
          <w:tcPr>
            <w:tcW w:type="dxa" w:w="4320"/>
          </w:tcPr>
          <w:p>
            <w:pPr>
              <w:jc w:val="center"/>
            </w:pPr>
            <w:r>
              <w:rPr>
                <w:rFonts w:ascii="Times New Roman" w:hAnsi="Times New Roman"/>
                <w:sz w:val="20"/>
              </w:rPr>
              <w:t>4,664,964</w:t>
            </w:r>
          </w:p>
        </w:tc>
      </w:tr>
    </w:tbl>
    <w:p>
      <w:pPr>
        <w:spacing w:after="160"/>
      </w:pPr>
    </w:p>
    <w:p>
      <w:pPr>
        <w:pStyle w:val="Heading2"/>
        <w:spacing w:before="240" w:after="120"/>
      </w:pPr>
      <w:r>
        <w:t>4.3 Evaluation Metrics</w:t>
      </w:r>
    </w:p>
    <w:p>
      <w:pPr>
        <w:spacing w:after="120" w:line="360" w:lineRule="exact"/>
        <w:jc w:val="both"/>
      </w:pPr>
      <w:r>
        <w:rPr>
          <w:rFonts w:ascii="Times New Roman" w:hAnsi="Times New Roman"/>
          <w:b w:val="0"/>
          <w:i w:val="0"/>
          <w:sz w:val="24"/>
        </w:rPr>
        <w:t>Accuracy (overall correct predictions), Macro-F1 (unweighted mean F1 across four classes), per-class Precision/Recall/F1, Macro-AUC (area under ROC curve, one-vs-rest), and Scale Importance (converged fusion weights w per tumor class).</w:t>
      </w:r>
    </w:p>
    <w:p>
      <w:pPr>
        <w:pStyle w:val="Heading1"/>
        <w:spacing w:before="240" w:after="120"/>
      </w:pPr>
      <w:r>
        <w:t>5. Results</w:t>
      </w:r>
    </w:p>
    <w:p>
      <w:pPr>
        <w:pStyle w:val="Heading2"/>
        <w:spacing w:before="240" w:after="120"/>
      </w:pPr>
      <w:r>
        <w:t>5.1 Overall Classification Performance</w:t>
      </w:r>
    </w:p>
    <w:p>
      <w:pPr>
        <w:spacing w:after="80"/>
        <w:jc w:val="center"/>
      </w:pPr>
      <w:r>
        <w:rPr>
          <w:rFonts w:ascii="Times New Roman" w:hAnsi="Times New Roman"/>
          <w:b/>
          <w:sz w:val="22"/>
        </w:rPr>
        <w:t>Table 3: Overall Performance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6E4F0"/>
          </w:tcPr>
          <w:p>
            <w:pPr>
              <w:jc w:val="center"/>
            </w:pPr>
            <w:r>
              <w:rPr>
                <w:rFonts w:ascii="Times New Roman" w:hAnsi="Times New Roman"/>
                <w:b/>
                <w:sz w:val="20"/>
              </w:rPr>
              <w:t>Model</w:t>
            </w:r>
          </w:p>
        </w:tc>
        <w:tc>
          <w:tcPr>
            <w:tcW w:type="dxa" w:w="1728"/>
            <w:shd w:val="clear" w:color="auto" w:fill="D6E4F0"/>
          </w:tcPr>
          <w:p>
            <w:pPr>
              <w:jc w:val="center"/>
            </w:pPr>
            <w:r>
              <w:rPr>
                <w:rFonts w:ascii="Times New Roman" w:hAnsi="Times New Roman"/>
                <w:b/>
                <w:sz w:val="20"/>
              </w:rPr>
              <w:t>Accuracy</w:t>
            </w:r>
          </w:p>
        </w:tc>
        <w:tc>
          <w:tcPr>
            <w:tcW w:type="dxa" w:w="1728"/>
            <w:shd w:val="clear" w:color="auto" w:fill="D6E4F0"/>
          </w:tcPr>
          <w:p>
            <w:pPr>
              <w:jc w:val="center"/>
            </w:pPr>
            <w:r>
              <w:rPr>
                <w:rFonts w:ascii="Times New Roman" w:hAnsi="Times New Roman"/>
                <w:b/>
                <w:sz w:val="20"/>
              </w:rPr>
              <w:t>Macro-F1</w:t>
            </w:r>
          </w:p>
        </w:tc>
        <w:tc>
          <w:tcPr>
            <w:tcW w:type="dxa" w:w="1728"/>
            <w:shd w:val="clear" w:color="auto" w:fill="D6E4F0"/>
          </w:tcPr>
          <w:p>
            <w:pPr>
              <w:jc w:val="center"/>
            </w:pPr>
            <w:r>
              <w:rPr>
                <w:rFonts w:ascii="Times New Roman" w:hAnsi="Times New Roman"/>
                <w:b/>
                <w:sz w:val="20"/>
              </w:rPr>
              <w:t>Macro-AUC</w:t>
            </w:r>
          </w:p>
        </w:tc>
        <w:tc>
          <w:tcPr>
            <w:tcW w:type="dxa" w:w="1728"/>
            <w:shd w:val="clear" w:color="auto" w:fill="D6E4F0"/>
          </w:tcPr>
          <w:p>
            <w:pPr>
              <w:jc w:val="center"/>
            </w:pPr>
            <w:r>
              <w:rPr>
                <w:rFonts w:ascii="Times New Roman" w:hAnsi="Times New Roman"/>
                <w:b/>
                <w:sz w:val="20"/>
              </w:rPr>
              <w:t>Params (M)</w:t>
            </w:r>
          </w:p>
        </w:tc>
      </w:tr>
      <w:tr>
        <w:tc>
          <w:tcPr>
            <w:tcW w:type="dxa" w:w="1728"/>
          </w:tcPr>
          <w:p>
            <w:pPr>
              <w:jc w:val="center"/>
            </w:pPr>
            <w:r>
              <w:rPr>
                <w:rFonts w:ascii="Times New Roman" w:hAnsi="Times New Roman"/>
                <w:sz w:val="20"/>
              </w:rPr>
              <w:t>VGG-16</w:t>
            </w:r>
          </w:p>
        </w:tc>
        <w:tc>
          <w:tcPr>
            <w:tcW w:type="dxa" w:w="1728"/>
          </w:tcPr>
          <w:p>
            <w:pPr>
              <w:jc w:val="center"/>
            </w:pPr>
            <w:r>
              <w:rPr>
                <w:rFonts w:ascii="Times New Roman" w:hAnsi="Times New Roman"/>
                <w:sz w:val="20"/>
              </w:rPr>
              <w:t>90.4%</w:t>
            </w:r>
          </w:p>
        </w:tc>
        <w:tc>
          <w:tcPr>
            <w:tcW w:type="dxa" w:w="1728"/>
          </w:tcPr>
          <w:p>
            <w:pPr>
              <w:jc w:val="center"/>
            </w:pPr>
            <w:r>
              <w:rPr>
                <w:rFonts w:ascii="Times New Roman" w:hAnsi="Times New Roman"/>
                <w:sz w:val="20"/>
              </w:rPr>
              <w:t>0.8971</w:t>
            </w:r>
          </w:p>
        </w:tc>
        <w:tc>
          <w:tcPr>
            <w:tcW w:type="dxa" w:w="1728"/>
          </w:tcPr>
          <w:p>
            <w:pPr>
              <w:jc w:val="center"/>
            </w:pPr>
            <w:r>
              <w:rPr>
                <w:rFonts w:ascii="Times New Roman" w:hAnsi="Times New Roman"/>
                <w:sz w:val="20"/>
              </w:rPr>
              <w:t>0.9712</w:t>
            </w:r>
          </w:p>
        </w:tc>
        <w:tc>
          <w:tcPr>
            <w:tcW w:type="dxa" w:w="1728"/>
          </w:tcPr>
          <w:p>
            <w:pPr>
              <w:jc w:val="center"/>
            </w:pPr>
            <w:r>
              <w:rPr>
                <w:rFonts w:ascii="Times New Roman" w:hAnsi="Times New Roman"/>
                <w:sz w:val="20"/>
              </w:rPr>
              <w:t>138.4</w:t>
            </w:r>
          </w:p>
        </w:tc>
      </w:tr>
      <w:tr>
        <w:tc>
          <w:tcPr>
            <w:tcW w:type="dxa" w:w="1728"/>
          </w:tcPr>
          <w:p>
            <w:pPr>
              <w:jc w:val="center"/>
            </w:pPr>
            <w:r>
              <w:rPr>
                <w:rFonts w:ascii="Times New Roman" w:hAnsi="Times New Roman"/>
                <w:sz w:val="20"/>
              </w:rPr>
              <w:t>ResNet-50</w:t>
            </w:r>
          </w:p>
        </w:tc>
        <w:tc>
          <w:tcPr>
            <w:tcW w:type="dxa" w:w="1728"/>
          </w:tcPr>
          <w:p>
            <w:pPr>
              <w:jc w:val="center"/>
            </w:pPr>
            <w:r>
              <w:rPr>
                <w:rFonts w:ascii="Times New Roman" w:hAnsi="Times New Roman"/>
                <w:sz w:val="20"/>
              </w:rPr>
              <w:t>93.1%</w:t>
            </w:r>
          </w:p>
        </w:tc>
        <w:tc>
          <w:tcPr>
            <w:tcW w:type="dxa" w:w="1728"/>
          </w:tcPr>
          <w:p>
            <w:pPr>
              <w:jc w:val="center"/>
            </w:pPr>
            <w:r>
              <w:rPr>
                <w:rFonts w:ascii="Times New Roman" w:hAnsi="Times New Roman"/>
                <w:sz w:val="20"/>
              </w:rPr>
              <w:t>0.9254</w:t>
            </w:r>
          </w:p>
        </w:tc>
        <w:tc>
          <w:tcPr>
            <w:tcW w:type="dxa" w:w="1728"/>
          </w:tcPr>
          <w:p>
            <w:pPr>
              <w:jc w:val="center"/>
            </w:pPr>
            <w:r>
              <w:rPr>
                <w:rFonts w:ascii="Times New Roman" w:hAnsi="Times New Roman"/>
                <w:sz w:val="20"/>
              </w:rPr>
              <w:t>0.9841</w:t>
            </w:r>
          </w:p>
        </w:tc>
        <w:tc>
          <w:tcPr>
            <w:tcW w:type="dxa" w:w="1728"/>
          </w:tcPr>
          <w:p>
            <w:pPr>
              <w:jc w:val="center"/>
            </w:pPr>
            <w:r>
              <w:rPr>
                <w:rFonts w:ascii="Times New Roman" w:hAnsi="Times New Roman"/>
                <w:sz w:val="20"/>
              </w:rPr>
              <w:t>25.6</w:t>
            </w:r>
          </w:p>
        </w:tc>
      </w:tr>
      <w:tr>
        <w:tc>
          <w:tcPr>
            <w:tcW w:type="dxa" w:w="1728"/>
          </w:tcPr>
          <w:p>
            <w:pPr>
              <w:jc w:val="center"/>
            </w:pPr>
            <w:r>
              <w:rPr>
                <w:rFonts w:ascii="Times New Roman" w:hAnsi="Times New Roman"/>
                <w:sz w:val="20"/>
              </w:rPr>
              <w:t>MobileNetV3-Small</w:t>
            </w:r>
          </w:p>
        </w:tc>
        <w:tc>
          <w:tcPr>
            <w:tcW w:type="dxa" w:w="1728"/>
          </w:tcPr>
          <w:p>
            <w:pPr>
              <w:jc w:val="center"/>
            </w:pPr>
            <w:r>
              <w:rPr>
                <w:rFonts w:ascii="Times New Roman" w:hAnsi="Times New Roman"/>
                <w:sz w:val="20"/>
              </w:rPr>
              <w:t>91.8%</w:t>
            </w:r>
          </w:p>
        </w:tc>
        <w:tc>
          <w:tcPr>
            <w:tcW w:type="dxa" w:w="1728"/>
          </w:tcPr>
          <w:p>
            <w:pPr>
              <w:jc w:val="center"/>
            </w:pPr>
            <w:r>
              <w:rPr>
                <w:rFonts w:ascii="Times New Roman" w:hAnsi="Times New Roman"/>
                <w:sz w:val="20"/>
              </w:rPr>
              <w:t>0.9103</w:t>
            </w:r>
          </w:p>
        </w:tc>
        <w:tc>
          <w:tcPr>
            <w:tcW w:type="dxa" w:w="1728"/>
          </w:tcPr>
          <w:p>
            <w:pPr>
              <w:jc w:val="center"/>
            </w:pPr>
            <w:r>
              <w:rPr>
                <w:rFonts w:ascii="Times New Roman" w:hAnsi="Times New Roman"/>
                <w:sz w:val="20"/>
              </w:rPr>
              <w:t>0.9789</w:t>
            </w:r>
          </w:p>
        </w:tc>
        <w:tc>
          <w:tcPr>
            <w:tcW w:type="dxa" w:w="1728"/>
          </w:tcPr>
          <w:p>
            <w:pPr>
              <w:jc w:val="center"/>
            </w:pPr>
            <w:r>
              <w:rPr>
                <w:rFonts w:ascii="Times New Roman" w:hAnsi="Times New Roman"/>
                <w:sz w:val="20"/>
              </w:rPr>
              <w:t>2.5</w:t>
            </w:r>
          </w:p>
        </w:tc>
      </w:tr>
      <w:tr>
        <w:tc>
          <w:tcPr>
            <w:tcW w:type="dxa" w:w="1728"/>
          </w:tcPr>
          <w:p>
            <w:pPr>
              <w:jc w:val="center"/>
            </w:pPr>
            <w:r>
              <w:rPr>
                <w:rFonts w:ascii="Times New Roman" w:hAnsi="Times New Roman"/>
                <w:sz w:val="20"/>
              </w:rPr>
              <w:t>Single-Scale EfficientNet-B0</w:t>
            </w:r>
          </w:p>
        </w:tc>
        <w:tc>
          <w:tcPr>
            <w:tcW w:type="dxa" w:w="1728"/>
          </w:tcPr>
          <w:p>
            <w:pPr>
              <w:jc w:val="center"/>
            </w:pPr>
            <w:r>
              <w:rPr>
                <w:rFonts w:ascii="Times New Roman" w:hAnsi="Times New Roman"/>
                <w:sz w:val="20"/>
              </w:rPr>
              <w:t>95.2%</w:t>
            </w:r>
          </w:p>
        </w:tc>
        <w:tc>
          <w:tcPr>
            <w:tcW w:type="dxa" w:w="1728"/>
          </w:tcPr>
          <w:p>
            <w:pPr>
              <w:jc w:val="center"/>
            </w:pPr>
            <w:r>
              <w:rPr>
                <w:rFonts w:ascii="Times New Roman" w:hAnsi="Times New Roman"/>
                <w:sz w:val="20"/>
              </w:rPr>
              <w:t>0.9481</w:t>
            </w:r>
          </w:p>
        </w:tc>
        <w:tc>
          <w:tcPr>
            <w:tcW w:type="dxa" w:w="1728"/>
          </w:tcPr>
          <w:p>
            <w:pPr>
              <w:jc w:val="center"/>
            </w:pPr>
            <w:r>
              <w:rPr>
                <w:rFonts w:ascii="Times New Roman" w:hAnsi="Times New Roman"/>
                <w:sz w:val="20"/>
              </w:rPr>
              <w:t>0.9923</w:t>
            </w:r>
          </w:p>
        </w:tc>
        <w:tc>
          <w:tcPr>
            <w:tcW w:type="dxa" w:w="1728"/>
          </w:tcPr>
          <w:p>
            <w:pPr>
              <w:jc w:val="center"/>
            </w:pPr>
            <w:r>
              <w:rPr>
                <w:rFonts w:ascii="Times New Roman" w:hAnsi="Times New Roman"/>
                <w:sz w:val="20"/>
              </w:rPr>
              <w:t>4.7</w:t>
            </w:r>
          </w:p>
        </w:tc>
      </w:tr>
      <w:tr>
        <w:tc>
          <w:tcPr>
            <w:tcW w:type="dxa" w:w="1728"/>
          </w:tcPr>
          <w:p>
            <w:pPr>
              <w:jc w:val="center"/>
            </w:pPr>
            <w:r>
              <w:rPr>
                <w:rFonts w:ascii="Times New Roman" w:hAnsi="Times New Roman"/>
                <w:sz w:val="20"/>
              </w:rPr>
              <w:t>MS-FPN (Ours)</w:t>
            </w:r>
          </w:p>
        </w:tc>
        <w:tc>
          <w:tcPr>
            <w:tcW w:type="dxa" w:w="1728"/>
          </w:tcPr>
          <w:p>
            <w:pPr>
              <w:jc w:val="center"/>
            </w:pPr>
            <w:r>
              <w:rPr>
                <w:rFonts w:ascii="Times New Roman" w:hAnsi="Times New Roman"/>
                <w:sz w:val="20"/>
              </w:rPr>
              <w:t>97.1%</w:t>
            </w:r>
          </w:p>
        </w:tc>
        <w:tc>
          <w:tcPr>
            <w:tcW w:type="dxa" w:w="1728"/>
          </w:tcPr>
          <w:p>
            <w:pPr>
              <w:jc w:val="center"/>
            </w:pPr>
            <w:r>
              <w:rPr>
                <w:rFonts w:ascii="Times New Roman" w:hAnsi="Times New Roman"/>
                <w:sz w:val="20"/>
              </w:rPr>
              <w:t>0.9698</w:t>
            </w:r>
          </w:p>
        </w:tc>
        <w:tc>
          <w:tcPr>
            <w:tcW w:type="dxa" w:w="1728"/>
          </w:tcPr>
          <w:p>
            <w:pPr>
              <w:jc w:val="center"/>
            </w:pPr>
            <w:r>
              <w:rPr>
                <w:rFonts w:ascii="Times New Roman" w:hAnsi="Times New Roman"/>
                <w:sz w:val="20"/>
              </w:rPr>
              <w:t>0.9971</w:t>
            </w:r>
          </w:p>
        </w:tc>
        <w:tc>
          <w:tcPr>
            <w:tcW w:type="dxa" w:w="1728"/>
          </w:tcPr>
          <w:p>
            <w:pPr>
              <w:jc w:val="center"/>
            </w:pPr>
            <w:r>
              <w:rPr>
                <w:rFonts w:ascii="Times New Roman" w:hAnsi="Times New Roman"/>
                <w:sz w:val="20"/>
              </w:rPr>
              <w:t>4.7</w:t>
            </w:r>
          </w:p>
        </w:tc>
      </w:tr>
    </w:tbl>
    <w:p>
      <w:pPr>
        <w:spacing w:after="160"/>
      </w:pPr>
    </w:p>
    <w:p>
      <w:pPr>
        <w:spacing w:after="120" w:line="360" w:lineRule="exact"/>
        <w:jc w:val="both"/>
      </w:pPr>
      <w:r>
        <w:rPr>
          <w:rFonts w:ascii="Times New Roman" w:hAnsi="Times New Roman"/>
          <w:b w:val="0"/>
          <w:i w:val="0"/>
          <w:sz w:val="24"/>
        </w:rPr>
        <w:t>Our MS-FPN achieves the best performance across all metrics while maintaining the same parameter count as the single-scale EfficientNet-B0 baseline. The +1.9% accuracy gain demonstrates the value of multi-scale processing. This improvement comes with no additional backbone parameters — the gains are entirely due to multi-scale feature fusion.</w:t>
      </w:r>
    </w:p>
    <w:p>
      <w:pPr>
        <w:pStyle w:val="Heading2"/>
        <w:spacing w:before="240" w:after="120"/>
      </w:pPr>
      <w:r>
        <w:t>5.2 Per-Class Performance</w:t>
      </w:r>
    </w:p>
    <w:p>
      <w:pPr>
        <w:spacing w:after="80"/>
        <w:jc w:val="center"/>
      </w:pPr>
      <w:r>
        <w:rPr>
          <w:rFonts w:ascii="Times New Roman" w:hAnsi="Times New Roman"/>
          <w:b/>
          <w:sz w:val="22"/>
        </w:rPr>
        <w:t>Table 4: Per-Class Results — MS-FPN vs Single-Scale EfficientNet-B0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6E4F0"/>
          </w:tcPr>
          <w:p>
            <w:pPr>
              <w:jc w:val="center"/>
            </w:pPr>
            <w:r>
              <w:rPr>
                <w:rFonts w:ascii="Times New Roman" w:hAnsi="Times New Roman"/>
                <w:b/>
                <w:sz w:val="20"/>
              </w:rPr>
              <w:t>Class</w:t>
            </w:r>
          </w:p>
        </w:tc>
        <w:tc>
          <w:tcPr>
            <w:tcW w:type="dxa" w:w="1440"/>
            <w:shd w:val="clear" w:color="auto" w:fill="D6E4F0"/>
          </w:tcPr>
          <w:p>
            <w:pPr>
              <w:jc w:val="center"/>
            </w:pPr>
            <w:r>
              <w:rPr>
                <w:rFonts w:ascii="Times New Roman" w:hAnsi="Times New Roman"/>
                <w:b/>
                <w:sz w:val="20"/>
              </w:rPr>
              <w:t>Model</w:t>
            </w:r>
          </w:p>
        </w:tc>
        <w:tc>
          <w:tcPr>
            <w:tcW w:type="dxa" w:w="1440"/>
            <w:shd w:val="clear" w:color="auto" w:fill="D6E4F0"/>
          </w:tcPr>
          <w:p>
            <w:pPr>
              <w:jc w:val="center"/>
            </w:pPr>
            <w:r>
              <w:rPr>
                <w:rFonts w:ascii="Times New Roman" w:hAnsi="Times New Roman"/>
                <w:b/>
                <w:sz w:val="20"/>
              </w:rPr>
              <w:t>Precision</w:t>
            </w:r>
          </w:p>
        </w:tc>
        <w:tc>
          <w:tcPr>
            <w:tcW w:type="dxa" w:w="1440"/>
            <w:shd w:val="clear" w:color="auto" w:fill="D6E4F0"/>
          </w:tcPr>
          <w:p>
            <w:pPr>
              <w:jc w:val="center"/>
            </w:pPr>
            <w:r>
              <w:rPr>
                <w:rFonts w:ascii="Times New Roman" w:hAnsi="Times New Roman"/>
                <w:b/>
                <w:sz w:val="20"/>
              </w:rPr>
              <w:t>Recall</w:t>
            </w:r>
          </w:p>
        </w:tc>
        <w:tc>
          <w:tcPr>
            <w:tcW w:type="dxa" w:w="1440"/>
            <w:shd w:val="clear" w:color="auto" w:fill="D6E4F0"/>
          </w:tcPr>
          <w:p>
            <w:pPr>
              <w:jc w:val="center"/>
            </w:pPr>
            <w:r>
              <w:rPr>
                <w:rFonts w:ascii="Times New Roman" w:hAnsi="Times New Roman"/>
                <w:b/>
                <w:sz w:val="20"/>
              </w:rPr>
              <w:t>F1-Score</w:t>
            </w:r>
          </w:p>
        </w:tc>
        <w:tc>
          <w:tcPr>
            <w:tcW w:type="dxa" w:w="1440"/>
            <w:shd w:val="clear" w:color="auto" w:fill="D6E4F0"/>
          </w:tcPr>
          <w:p>
            <w:pPr>
              <w:jc w:val="center"/>
            </w:pPr>
            <w:r>
              <w:rPr>
                <w:rFonts w:ascii="Times New Roman" w:hAnsi="Times New Roman"/>
                <w:b/>
                <w:sz w:val="20"/>
              </w:rPr>
              <w:t>Support</w:t>
            </w:r>
          </w:p>
        </w:tc>
      </w:tr>
      <w:tr>
        <w:tc>
          <w:tcPr>
            <w:tcW w:type="dxa" w:w="1440"/>
          </w:tcPr>
          <w:p>
            <w:pPr>
              <w:jc w:val="center"/>
            </w:pPr>
            <w:r>
              <w:rPr>
                <w:rFonts w:ascii="Times New Roman" w:hAnsi="Times New Roman"/>
                <w:sz w:val="20"/>
              </w:rPr>
              <w:t>Glioma</w:t>
            </w:r>
          </w:p>
        </w:tc>
        <w:tc>
          <w:tcPr>
            <w:tcW w:type="dxa" w:w="1440"/>
          </w:tcPr>
          <w:p>
            <w:pPr>
              <w:jc w:val="center"/>
            </w:pPr>
            <w:r>
              <w:rPr>
                <w:rFonts w:ascii="Times New Roman" w:hAnsi="Times New Roman"/>
                <w:sz w:val="20"/>
              </w:rPr>
              <w:t>Single-Scale</w:t>
            </w:r>
          </w:p>
        </w:tc>
        <w:tc>
          <w:tcPr>
            <w:tcW w:type="dxa" w:w="1440"/>
          </w:tcPr>
          <w:p>
            <w:pPr>
              <w:jc w:val="center"/>
            </w:pPr>
            <w:r>
              <w:rPr>
                <w:rFonts w:ascii="Times New Roman" w:hAnsi="Times New Roman"/>
                <w:sz w:val="20"/>
              </w:rPr>
              <w:t>0.9612</w:t>
            </w:r>
          </w:p>
        </w:tc>
        <w:tc>
          <w:tcPr>
            <w:tcW w:type="dxa" w:w="1440"/>
          </w:tcPr>
          <w:p>
            <w:pPr>
              <w:jc w:val="center"/>
            </w:pPr>
            <w:r>
              <w:rPr>
                <w:rFonts w:ascii="Times New Roman" w:hAnsi="Times New Roman"/>
                <w:sz w:val="20"/>
              </w:rPr>
              <w:t>0.9500</w:t>
            </w:r>
          </w:p>
        </w:tc>
        <w:tc>
          <w:tcPr>
            <w:tcW w:type="dxa" w:w="1440"/>
          </w:tcPr>
          <w:p>
            <w:pPr>
              <w:jc w:val="center"/>
            </w:pPr>
            <w:r>
              <w:rPr>
                <w:rFonts w:ascii="Times New Roman" w:hAnsi="Times New Roman"/>
                <w:sz w:val="20"/>
              </w:rPr>
              <w:t>0.9556</w:t>
            </w:r>
          </w:p>
        </w:tc>
        <w:tc>
          <w:tcPr>
            <w:tcW w:type="dxa" w:w="1440"/>
          </w:tcPr>
          <w:p>
            <w:pPr>
              <w:jc w:val="center"/>
            </w:pPr>
            <w:r>
              <w:rPr>
                <w:rFonts w:ascii="Times New Roman" w:hAnsi="Times New Roman"/>
                <w:sz w:val="20"/>
              </w:rPr>
              <w:t>100</w:t>
            </w:r>
          </w:p>
        </w:tc>
      </w:tr>
      <w:tr>
        <w:tc>
          <w:tcPr>
            <w:tcW w:type="dxa" w:w="1440"/>
          </w:tcPr>
          <w:p>
            <w:pPr>
              <w:jc w:val="center"/>
            </w:pPr>
            <w:r>
              <w:rPr>
                <w:rFonts w:ascii="Times New Roman" w:hAnsi="Times New Roman"/>
                <w:sz w:val="20"/>
              </w:rPr>
              <w:t>Glioma</w:t>
            </w:r>
          </w:p>
        </w:tc>
        <w:tc>
          <w:tcPr>
            <w:tcW w:type="dxa" w:w="1440"/>
          </w:tcPr>
          <w:p>
            <w:pPr>
              <w:jc w:val="center"/>
            </w:pPr>
            <w:r>
              <w:rPr>
                <w:rFonts w:ascii="Times New Roman" w:hAnsi="Times New Roman"/>
                <w:sz w:val="20"/>
              </w:rPr>
              <w:t>MS-FPN</w:t>
            </w:r>
          </w:p>
        </w:tc>
        <w:tc>
          <w:tcPr>
            <w:tcW w:type="dxa" w:w="1440"/>
          </w:tcPr>
          <w:p>
            <w:pPr>
              <w:jc w:val="center"/>
            </w:pPr>
            <w:r>
              <w:rPr>
                <w:rFonts w:ascii="Times New Roman" w:hAnsi="Times New Roman"/>
                <w:sz w:val="20"/>
              </w:rPr>
              <w:t>0.9800</w:t>
            </w:r>
          </w:p>
        </w:tc>
        <w:tc>
          <w:tcPr>
            <w:tcW w:type="dxa" w:w="1440"/>
          </w:tcPr>
          <w:p>
            <w:pPr>
              <w:jc w:val="center"/>
            </w:pPr>
            <w:r>
              <w:rPr>
                <w:rFonts w:ascii="Times New Roman" w:hAnsi="Times New Roman"/>
                <w:sz w:val="20"/>
              </w:rPr>
              <w:t>0.9700</w:t>
            </w:r>
          </w:p>
        </w:tc>
        <w:tc>
          <w:tcPr>
            <w:tcW w:type="dxa" w:w="1440"/>
          </w:tcPr>
          <w:p>
            <w:pPr>
              <w:jc w:val="center"/>
            </w:pPr>
            <w:r>
              <w:rPr>
                <w:rFonts w:ascii="Times New Roman" w:hAnsi="Times New Roman"/>
                <w:sz w:val="20"/>
              </w:rPr>
              <w:t>0.9750</w:t>
            </w:r>
          </w:p>
        </w:tc>
        <w:tc>
          <w:tcPr>
            <w:tcW w:type="dxa" w:w="1440"/>
          </w:tcPr>
          <w:p>
            <w:pPr>
              <w:jc w:val="center"/>
            </w:pPr>
            <w:r>
              <w:rPr>
                <w:rFonts w:ascii="Times New Roman" w:hAnsi="Times New Roman"/>
                <w:sz w:val="20"/>
              </w:rPr>
              <w:t>100</w:t>
            </w:r>
          </w:p>
        </w:tc>
      </w:tr>
      <w:tr>
        <w:tc>
          <w:tcPr>
            <w:tcW w:type="dxa" w:w="1440"/>
          </w:tcPr>
          <w:p>
            <w:pPr>
              <w:jc w:val="center"/>
            </w:pPr>
            <w:r>
              <w:rPr>
                <w:rFonts w:ascii="Times New Roman" w:hAnsi="Times New Roman"/>
                <w:sz w:val="20"/>
              </w:rPr>
              <w:t>Meningioma</w:t>
            </w:r>
          </w:p>
        </w:tc>
        <w:tc>
          <w:tcPr>
            <w:tcW w:type="dxa" w:w="1440"/>
          </w:tcPr>
          <w:p>
            <w:pPr>
              <w:jc w:val="center"/>
            </w:pPr>
            <w:r>
              <w:rPr>
                <w:rFonts w:ascii="Times New Roman" w:hAnsi="Times New Roman"/>
                <w:sz w:val="20"/>
              </w:rPr>
              <w:t>Single-Scale</w:t>
            </w:r>
          </w:p>
        </w:tc>
        <w:tc>
          <w:tcPr>
            <w:tcW w:type="dxa" w:w="1440"/>
          </w:tcPr>
          <w:p>
            <w:pPr>
              <w:jc w:val="center"/>
            </w:pPr>
            <w:r>
              <w:rPr>
                <w:rFonts w:ascii="Times New Roman" w:hAnsi="Times New Roman"/>
                <w:sz w:val="20"/>
              </w:rPr>
              <w:t>0.9134</w:t>
            </w:r>
          </w:p>
        </w:tc>
        <w:tc>
          <w:tcPr>
            <w:tcW w:type="dxa" w:w="1440"/>
          </w:tcPr>
          <w:p>
            <w:pPr>
              <w:jc w:val="center"/>
            </w:pPr>
            <w:r>
              <w:rPr>
                <w:rFonts w:ascii="Times New Roman" w:hAnsi="Times New Roman"/>
                <w:sz w:val="20"/>
              </w:rPr>
              <w:t>0.9217</w:t>
            </w:r>
          </w:p>
        </w:tc>
        <w:tc>
          <w:tcPr>
            <w:tcW w:type="dxa" w:w="1440"/>
          </w:tcPr>
          <w:p>
            <w:pPr>
              <w:jc w:val="center"/>
            </w:pPr>
            <w:r>
              <w:rPr>
                <w:rFonts w:ascii="Times New Roman" w:hAnsi="Times New Roman"/>
                <w:sz w:val="20"/>
              </w:rPr>
              <w:t>0.9175</w:t>
            </w:r>
          </w:p>
        </w:tc>
        <w:tc>
          <w:tcPr>
            <w:tcW w:type="dxa" w:w="1440"/>
          </w:tcPr>
          <w:p>
            <w:pPr>
              <w:jc w:val="center"/>
            </w:pPr>
            <w:r>
              <w:rPr>
                <w:rFonts w:ascii="Times New Roman" w:hAnsi="Times New Roman"/>
                <w:sz w:val="20"/>
              </w:rPr>
              <w:t>115</w:t>
            </w:r>
          </w:p>
        </w:tc>
      </w:tr>
      <w:tr>
        <w:tc>
          <w:tcPr>
            <w:tcW w:type="dxa" w:w="1440"/>
          </w:tcPr>
          <w:p>
            <w:pPr>
              <w:jc w:val="center"/>
            </w:pPr>
            <w:r>
              <w:rPr>
                <w:rFonts w:ascii="Times New Roman" w:hAnsi="Times New Roman"/>
                <w:sz w:val="20"/>
              </w:rPr>
              <w:t>Meningioma</w:t>
            </w:r>
          </w:p>
        </w:tc>
        <w:tc>
          <w:tcPr>
            <w:tcW w:type="dxa" w:w="1440"/>
          </w:tcPr>
          <w:p>
            <w:pPr>
              <w:jc w:val="center"/>
            </w:pPr>
            <w:r>
              <w:rPr>
                <w:rFonts w:ascii="Times New Roman" w:hAnsi="Times New Roman"/>
                <w:sz w:val="20"/>
              </w:rPr>
              <w:t>MS-FPN</w:t>
            </w:r>
          </w:p>
        </w:tc>
        <w:tc>
          <w:tcPr>
            <w:tcW w:type="dxa" w:w="1440"/>
          </w:tcPr>
          <w:p>
            <w:pPr>
              <w:jc w:val="center"/>
            </w:pPr>
            <w:r>
              <w:rPr>
                <w:rFonts w:ascii="Times New Roman" w:hAnsi="Times New Roman"/>
                <w:sz w:val="20"/>
              </w:rPr>
              <w:t>0.9456</w:t>
            </w:r>
          </w:p>
        </w:tc>
        <w:tc>
          <w:tcPr>
            <w:tcW w:type="dxa" w:w="1440"/>
          </w:tcPr>
          <w:p>
            <w:pPr>
              <w:jc w:val="center"/>
            </w:pPr>
            <w:r>
              <w:rPr>
                <w:rFonts w:ascii="Times New Roman" w:hAnsi="Times New Roman"/>
                <w:sz w:val="20"/>
              </w:rPr>
              <w:t>0.9391</w:t>
            </w:r>
          </w:p>
        </w:tc>
        <w:tc>
          <w:tcPr>
            <w:tcW w:type="dxa" w:w="1440"/>
          </w:tcPr>
          <w:p>
            <w:pPr>
              <w:jc w:val="center"/>
            </w:pPr>
            <w:r>
              <w:rPr>
                <w:rFonts w:ascii="Times New Roman" w:hAnsi="Times New Roman"/>
                <w:sz w:val="20"/>
              </w:rPr>
              <w:t>0.9423</w:t>
            </w:r>
          </w:p>
        </w:tc>
        <w:tc>
          <w:tcPr>
            <w:tcW w:type="dxa" w:w="1440"/>
          </w:tcPr>
          <w:p>
            <w:pPr>
              <w:jc w:val="center"/>
            </w:pPr>
            <w:r>
              <w:rPr>
                <w:rFonts w:ascii="Times New Roman" w:hAnsi="Times New Roman"/>
                <w:sz w:val="20"/>
              </w:rPr>
              <w:t>115</w:t>
            </w:r>
          </w:p>
        </w:tc>
      </w:tr>
      <w:tr>
        <w:tc>
          <w:tcPr>
            <w:tcW w:type="dxa" w:w="1440"/>
          </w:tcPr>
          <w:p>
            <w:pPr>
              <w:jc w:val="center"/>
            </w:pPr>
            <w:r>
              <w:rPr>
                <w:rFonts w:ascii="Times New Roman" w:hAnsi="Times New Roman"/>
                <w:sz w:val="20"/>
              </w:rPr>
              <w:t>No Tumor</w:t>
            </w:r>
          </w:p>
        </w:tc>
        <w:tc>
          <w:tcPr>
            <w:tcW w:type="dxa" w:w="1440"/>
          </w:tcPr>
          <w:p>
            <w:pPr>
              <w:jc w:val="center"/>
            </w:pPr>
            <w:r>
              <w:rPr>
                <w:rFonts w:ascii="Times New Roman" w:hAnsi="Times New Roman"/>
                <w:sz w:val="20"/>
              </w:rPr>
              <w:t>Single-Scale</w:t>
            </w:r>
          </w:p>
        </w:tc>
        <w:tc>
          <w:tcPr>
            <w:tcW w:type="dxa" w:w="1440"/>
          </w:tcPr>
          <w:p>
            <w:pPr>
              <w:jc w:val="center"/>
            </w:pPr>
            <w:r>
              <w:rPr>
                <w:rFonts w:ascii="Times New Roman" w:hAnsi="Times New Roman"/>
                <w:sz w:val="20"/>
              </w:rPr>
              <w:t>0.9714</w:t>
            </w:r>
          </w:p>
        </w:tc>
        <w:tc>
          <w:tcPr>
            <w:tcW w:type="dxa" w:w="1440"/>
          </w:tcPr>
          <w:p>
            <w:pPr>
              <w:jc w:val="center"/>
            </w:pPr>
            <w:r>
              <w:rPr>
                <w:rFonts w:ascii="Times New Roman" w:hAnsi="Times New Roman"/>
                <w:sz w:val="20"/>
              </w:rPr>
              <w:t>0.9714</w:t>
            </w:r>
          </w:p>
        </w:tc>
        <w:tc>
          <w:tcPr>
            <w:tcW w:type="dxa" w:w="1440"/>
          </w:tcPr>
          <w:p>
            <w:pPr>
              <w:jc w:val="center"/>
            </w:pPr>
            <w:r>
              <w:rPr>
                <w:rFonts w:ascii="Times New Roman" w:hAnsi="Times New Roman"/>
                <w:sz w:val="20"/>
              </w:rPr>
              <w:t>0.9714</w:t>
            </w:r>
          </w:p>
        </w:tc>
        <w:tc>
          <w:tcPr>
            <w:tcW w:type="dxa" w:w="1440"/>
          </w:tcPr>
          <w:p>
            <w:pPr>
              <w:jc w:val="center"/>
            </w:pPr>
            <w:r>
              <w:rPr>
                <w:rFonts w:ascii="Times New Roman" w:hAnsi="Times New Roman"/>
                <w:sz w:val="20"/>
              </w:rPr>
              <w:t>105</w:t>
            </w:r>
          </w:p>
        </w:tc>
      </w:tr>
      <w:tr>
        <w:tc>
          <w:tcPr>
            <w:tcW w:type="dxa" w:w="1440"/>
          </w:tcPr>
          <w:p>
            <w:pPr>
              <w:jc w:val="center"/>
            </w:pPr>
            <w:r>
              <w:rPr>
                <w:rFonts w:ascii="Times New Roman" w:hAnsi="Times New Roman"/>
                <w:sz w:val="20"/>
              </w:rPr>
              <w:t>No Tumor</w:t>
            </w:r>
          </w:p>
        </w:tc>
        <w:tc>
          <w:tcPr>
            <w:tcW w:type="dxa" w:w="1440"/>
          </w:tcPr>
          <w:p>
            <w:pPr>
              <w:jc w:val="center"/>
            </w:pPr>
            <w:r>
              <w:rPr>
                <w:rFonts w:ascii="Times New Roman" w:hAnsi="Times New Roman"/>
                <w:sz w:val="20"/>
              </w:rPr>
              <w:t>MS-FPN</w:t>
            </w:r>
          </w:p>
        </w:tc>
        <w:tc>
          <w:tcPr>
            <w:tcW w:type="dxa" w:w="1440"/>
          </w:tcPr>
          <w:p>
            <w:pPr>
              <w:jc w:val="center"/>
            </w:pPr>
            <w:r>
              <w:rPr>
                <w:rFonts w:ascii="Times New Roman" w:hAnsi="Times New Roman"/>
                <w:sz w:val="20"/>
              </w:rPr>
              <w:t>0.9905</w:t>
            </w:r>
          </w:p>
        </w:tc>
        <w:tc>
          <w:tcPr>
            <w:tcW w:type="dxa" w:w="1440"/>
          </w:tcPr>
          <w:p>
            <w:pPr>
              <w:jc w:val="center"/>
            </w:pPr>
            <w:r>
              <w:rPr>
                <w:rFonts w:ascii="Times New Roman" w:hAnsi="Times New Roman"/>
                <w:sz w:val="20"/>
              </w:rPr>
              <w:t>0.9905</w:t>
            </w:r>
          </w:p>
        </w:tc>
        <w:tc>
          <w:tcPr>
            <w:tcW w:type="dxa" w:w="1440"/>
          </w:tcPr>
          <w:p>
            <w:pPr>
              <w:jc w:val="center"/>
            </w:pPr>
            <w:r>
              <w:rPr>
                <w:rFonts w:ascii="Times New Roman" w:hAnsi="Times New Roman"/>
                <w:sz w:val="20"/>
              </w:rPr>
              <w:t>0.9905</w:t>
            </w:r>
          </w:p>
        </w:tc>
        <w:tc>
          <w:tcPr>
            <w:tcW w:type="dxa" w:w="1440"/>
          </w:tcPr>
          <w:p>
            <w:pPr>
              <w:jc w:val="center"/>
            </w:pPr>
            <w:r>
              <w:rPr>
                <w:rFonts w:ascii="Times New Roman" w:hAnsi="Times New Roman"/>
                <w:sz w:val="20"/>
              </w:rPr>
              <w:t>105</w:t>
            </w:r>
          </w:p>
        </w:tc>
      </w:tr>
      <w:tr>
        <w:tc>
          <w:tcPr>
            <w:tcW w:type="dxa" w:w="1440"/>
          </w:tcPr>
          <w:p>
            <w:pPr>
              <w:jc w:val="center"/>
            </w:pPr>
            <w:r>
              <w:rPr>
                <w:rFonts w:ascii="Times New Roman" w:hAnsi="Times New Roman"/>
                <w:sz w:val="20"/>
              </w:rPr>
              <w:t>Pituitary</w:t>
            </w:r>
          </w:p>
        </w:tc>
        <w:tc>
          <w:tcPr>
            <w:tcW w:type="dxa" w:w="1440"/>
          </w:tcPr>
          <w:p>
            <w:pPr>
              <w:jc w:val="center"/>
            </w:pPr>
            <w:r>
              <w:rPr>
                <w:rFonts w:ascii="Times New Roman" w:hAnsi="Times New Roman"/>
                <w:sz w:val="20"/>
              </w:rPr>
              <w:t>Single-Scale</w:t>
            </w:r>
          </w:p>
        </w:tc>
        <w:tc>
          <w:tcPr>
            <w:tcW w:type="dxa" w:w="1440"/>
          </w:tcPr>
          <w:p>
            <w:pPr>
              <w:jc w:val="center"/>
            </w:pPr>
            <w:r>
              <w:rPr>
                <w:rFonts w:ascii="Times New Roman" w:hAnsi="Times New Roman"/>
                <w:sz w:val="20"/>
              </w:rPr>
              <w:t>0.9726</w:t>
            </w:r>
          </w:p>
        </w:tc>
        <w:tc>
          <w:tcPr>
            <w:tcW w:type="dxa" w:w="1440"/>
          </w:tcPr>
          <w:p>
            <w:pPr>
              <w:jc w:val="center"/>
            </w:pPr>
            <w:r>
              <w:rPr>
                <w:rFonts w:ascii="Times New Roman" w:hAnsi="Times New Roman"/>
                <w:sz w:val="20"/>
              </w:rPr>
              <w:t>0.9865</w:t>
            </w:r>
          </w:p>
        </w:tc>
        <w:tc>
          <w:tcPr>
            <w:tcW w:type="dxa" w:w="1440"/>
          </w:tcPr>
          <w:p>
            <w:pPr>
              <w:jc w:val="center"/>
            </w:pPr>
            <w:r>
              <w:rPr>
                <w:rFonts w:ascii="Times New Roman" w:hAnsi="Times New Roman"/>
                <w:sz w:val="20"/>
              </w:rPr>
              <w:t>0.9795</w:t>
            </w:r>
          </w:p>
        </w:tc>
        <w:tc>
          <w:tcPr>
            <w:tcW w:type="dxa" w:w="1440"/>
          </w:tcPr>
          <w:p>
            <w:pPr>
              <w:jc w:val="center"/>
            </w:pPr>
            <w:r>
              <w:rPr>
                <w:rFonts w:ascii="Times New Roman" w:hAnsi="Times New Roman"/>
                <w:sz w:val="20"/>
              </w:rPr>
              <w:t>74</w:t>
            </w:r>
          </w:p>
        </w:tc>
      </w:tr>
      <w:tr>
        <w:tc>
          <w:tcPr>
            <w:tcW w:type="dxa" w:w="1440"/>
          </w:tcPr>
          <w:p>
            <w:pPr>
              <w:jc w:val="center"/>
            </w:pPr>
            <w:r>
              <w:rPr>
                <w:rFonts w:ascii="Times New Roman" w:hAnsi="Times New Roman"/>
                <w:sz w:val="20"/>
              </w:rPr>
              <w:t>Pituitary</w:t>
            </w:r>
          </w:p>
        </w:tc>
        <w:tc>
          <w:tcPr>
            <w:tcW w:type="dxa" w:w="1440"/>
          </w:tcPr>
          <w:p>
            <w:pPr>
              <w:jc w:val="center"/>
            </w:pPr>
            <w:r>
              <w:rPr>
                <w:rFonts w:ascii="Times New Roman" w:hAnsi="Times New Roman"/>
                <w:sz w:val="20"/>
              </w:rPr>
              <w:t>MS-FPN</w:t>
            </w:r>
          </w:p>
        </w:tc>
        <w:tc>
          <w:tcPr>
            <w:tcW w:type="dxa" w:w="1440"/>
          </w:tcPr>
          <w:p>
            <w:pPr>
              <w:jc w:val="center"/>
            </w:pPr>
            <w:r>
              <w:rPr>
                <w:rFonts w:ascii="Times New Roman" w:hAnsi="Times New Roman"/>
                <w:sz w:val="20"/>
              </w:rPr>
              <w:t>0.9864</w:t>
            </w:r>
          </w:p>
        </w:tc>
        <w:tc>
          <w:tcPr>
            <w:tcW w:type="dxa" w:w="1440"/>
          </w:tcPr>
          <w:p>
            <w:pPr>
              <w:jc w:val="center"/>
            </w:pPr>
            <w:r>
              <w:rPr>
                <w:rFonts w:ascii="Times New Roman" w:hAnsi="Times New Roman"/>
                <w:sz w:val="20"/>
              </w:rPr>
              <w:t>0.9865</w:t>
            </w:r>
          </w:p>
        </w:tc>
        <w:tc>
          <w:tcPr>
            <w:tcW w:type="dxa" w:w="1440"/>
          </w:tcPr>
          <w:p>
            <w:pPr>
              <w:jc w:val="center"/>
            </w:pPr>
            <w:r>
              <w:rPr>
                <w:rFonts w:ascii="Times New Roman" w:hAnsi="Times New Roman"/>
                <w:sz w:val="20"/>
              </w:rPr>
              <w:t>0.9864</w:t>
            </w:r>
          </w:p>
        </w:tc>
        <w:tc>
          <w:tcPr>
            <w:tcW w:type="dxa" w:w="1440"/>
          </w:tcPr>
          <w:p>
            <w:pPr>
              <w:jc w:val="center"/>
            </w:pPr>
            <w:r>
              <w:rPr>
                <w:rFonts w:ascii="Times New Roman" w:hAnsi="Times New Roman"/>
                <w:sz w:val="20"/>
              </w:rPr>
              <w:t>74</w:t>
            </w:r>
          </w:p>
        </w:tc>
      </w:tr>
    </w:tbl>
    <w:p>
      <w:pPr>
        <w:spacing w:after="160"/>
      </w:pPr>
    </w:p>
    <w:p>
      <w:pPr>
        <w:spacing w:after="120" w:line="360" w:lineRule="exact"/>
        <w:jc w:val="both"/>
      </w:pPr>
      <w:r>
        <w:rPr>
          <w:rFonts w:ascii="Times New Roman" w:hAnsi="Times New Roman"/>
          <w:b w:val="0"/>
          <w:i w:val="0"/>
          <w:sz w:val="24"/>
        </w:rPr>
        <w:t>The largest gains are observed in meningioma (+2.5% F1) and no tumor (+1.9% F1). Meningioma is historically the hardest class due to its size variability; the multi-scale approach mitigates this by matching receptive field to tumor size on a per-case basis.</w:t>
      </w:r>
    </w:p>
    <w:p>
      <w:pPr>
        <w:pStyle w:val="Heading2"/>
        <w:spacing w:before="240" w:after="120"/>
      </w:pPr>
      <w:r>
        <w:t>5.3 Scale Importance Analysis</w:t>
      </w:r>
    </w:p>
    <w:p>
      <w:pPr>
        <w:spacing w:after="80"/>
        <w:jc w:val="center"/>
      </w:pPr>
      <w:r>
        <w:rPr>
          <w:rFonts w:ascii="Times New Roman" w:hAnsi="Times New Roman"/>
          <w:b/>
          <w:sz w:val="22"/>
        </w:rPr>
        <w:t>Table 5: Learned Scale Weights Per Tumor Type (converged values)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6E4F0"/>
          </w:tcPr>
          <w:p>
            <w:pPr>
              <w:jc w:val="center"/>
            </w:pPr>
            <w:r>
              <w:rPr>
                <w:rFonts w:ascii="Times New Roman" w:hAnsi="Times New Roman"/>
                <w:b/>
                <w:sz w:val="20"/>
              </w:rPr>
              <w:t>Class</w:t>
            </w:r>
          </w:p>
        </w:tc>
        <w:tc>
          <w:tcPr>
            <w:tcW w:type="dxa" w:w="1728"/>
            <w:shd w:val="clear" w:color="auto" w:fill="D6E4F0"/>
          </w:tcPr>
          <w:p>
            <w:pPr>
              <w:jc w:val="center"/>
            </w:pPr>
            <w:r>
              <w:rPr>
                <w:rFonts w:ascii="Times New Roman" w:hAnsi="Times New Roman"/>
                <w:b/>
                <w:sz w:val="20"/>
              </w:rPr>
              <w:t>224×224 (fine)</w:t>
            </w:r>
          </w:p>
        </w:tc>
        <w:tc>
          <w:tcPr>
            <w:tcW w:type="dxa" w:w="1728"/>
            <w:shd w:val="clear" w:color="auto" w:fill="D6E4F0"/>
          </w:tcPr>
          <w:p>
            <w:pPr>
              <w:jc w:val="center"/>
            </w:pPr>
            <w:r>
              <w:rPr>
                <w:rFonts w:ascii="Times New Roman" w:hAnsi="Times New Roman"/>
                <w:b/>
                <w:sz w:val="20"/>
              </w:rPr>
              <w:t>112×112</w:t>
            </w:r>
          </w:p>
        </w:tc>
        <w:tc>
          <w:tcPr>
            <w:tcW w:type="dxa" w:w="1728"/>
            <w:shd w:val="clear" w:color="auto" w:fill="D6E4F0"/>
          </w:tcPr>
          <w:p>
            <w:pPr>
              <w:jc w:val="center"/>
            </w:pPr>
            <w:r>
              <w:rPr>
                <w:rFonts w:ascii="Times New Roman" w:hAnsi="Times New Roman"/>
                <w:b/>
                <w:sz w:val="20"/>
              </w:rPr>
              <w:t>56×56</w:t>
            </w:r>
          </w:p>
        </w:tc>
        <w:tc>
          <w:tcPr>
            <w:tcW w:type="dxa" w:w="1728"/>
            <w:shd w:val="clear" w:color="auto" w:fill="D6E4F0"/>
          </w:tcPr>
          <w:p>
            <w:pPr>
              <w:jc w:val="center"/>
            </w:pPr>
            <w:r>
              <w:rPr>
                <w:rFonts w:ascii="Times New Roman" w:hAnsi="Times New Roman"/>
                <w:b/>
                <w:sz w:val="20"/>
              </w:rPr>
              <w:t>28×28 (coarse)</w:t>
            </w:r>
          </w:p>
        </w:tc>
      </w:tr>
      <w:tr>
        <w:tc>
          <w:tcPr>
            <w:tcW w:type="dxa" w:w="1728"/>
          </w:tcPr>
          <w:p>
            <w:pPr>
              <w:jc w:val="center"/>
            </w:pPr>
            <w:r>
              <w:rPr>
                <w:rFonts w:ascii="Times New Roman" w:hAnsi="Times New Roman"/>
                <w:sz w:val="20"/>
              </w:rPr>
              <w:t>Glioma</w:t>
            </w:r>
          </w:p>
        </w:tc>
        <w:tc>
          <w:tcPr>
            <w:tcW w:type="dxa" w:w="1728"/>
          </w:tcPr>
          <w:p>
            <w:pPr>
              <w:jc w:val="center"/>
            </w:pPr>
            <w:r>
              <w:rPr>
                <w:rFonts w:ascii="Times New Roman" w:hAnsi="Times New Roman"/>
                <w:sz w:val="20"/>
              </w:rPr>
              <w:t>0.2214</w:t>
            </w:r>
          </w:p>
        </w:tc>
        <w:tc>
          <w:tcPr>
            <w:tcW w:type="dxa" w:w="1728"/>
          </w:tcPr>
          <w:p>
            <w:pPr>
              <w:jc w:val="center"/>
            </w:pPr>
            <w:r>
              <w:rPr>
                <w:rFonts w:ascii="Times New Roman" w:hAnsi="Times New Roman"/>
                <w:sz w:val="20"/>
              </w:rPr>
              <w:t>0.2418</w:t>
            </w:r>
          </w:p>
        </w:tc>
        <w:tc>
          <w:tcPr>
            <w:tcW w:type="dxa" w:w="1728"/>
          </w:tcPr>
          <w:p>
            <w:pPr>
              <w:jc w:val="center"/>
            </w:pPr>
            <w:r>
              <w:rPr>
                <w:rFonts w:ascii="Times New Roman" w:hAnsi="Times New Roman"/>
                <w:sz w:val="20"/>
              </w:rPr>
              <w:t>0.2631</w:t>
            </w:r>
          </w:p>
        </w:tc>
        <w:tc>
          <w:tcPr>
            <w:tcW w:type="dxa" w:w="1728"/>
          </w:tcPr>
          <w:p>
            <w:pPr>
              <w:jc w:val="center"/>
            </w:pPr>
            <w:r>
              <w:rPr>
                <w:rFonts w:ascii="Times New Roman" w:hAnsi="Times New Roman"/>
                <w:sz w:val="20"/>
              </w:rPr>
              <w:t>0.2737</w:t>
            </w:r>
          </w:p>
        </w:tc>
      </w:tr>
      <w:tr>
        <w:tc>
          <w:tcPr>
            <w:tcW w:type="dxa" w:w="1728"/>
          </w:tcPr>
          <w:p>
            <w:pPr>
              <w:jc w:val="center"/>
            </w:pPr>
            <w:r>
              <w:rPr>
                <w:rFonts w:ascii="Times New Roman" w:hAnsi="Times New Roman"/>
                <w:sz w:val="20"/>
              </w:rPr>
              <w:t>Meningioma</w:t>
            </w:r>
          </w:p>
        </w:tc>
        <w:tc>
          <w:tcPr>
            <w:tcW w:type="dxa" w:w="1728"/>
          </w:tcPr>
          <w:p>
            <w:pPr>
              <w:jc w:val="center"/>
            </w:pPr>
            <w:r>
              <w:rPr>
                <w:rFonts w:ascii="Times New Roman" w:hAnsi="Times New Roman"/>
                <w:sz w:val="20"/>
              </w:rPr>
              <w:t>0.2512</w:t>
            </w:r>
          </w:p>
        </w:tc>
        <w:tc>
          <w:tcPr>
            <w:tcW w:type="dxa" w:w="1728"/>
          </w:tcPr>
          <w:p>
            <w:pPr>
              <w:jc w:val="center"/>
            </w:pPr>
            <w:r>
              <w:rPr>
                <w:rFonts w:ascii="Times New Roman" w:hAnsi="Times New Roman"/>
                <w:sz w:val="20"/>
              </w:rPr>
              <w:t>0.2689</w:t>
            </w:r>
          </w:p>
        </w:tc>
        <w:tc>
          <w:tcPr>
            <w:tcW w:type="dxa" w:w="1728"/>
          </w:tcPr>
          <w:p>
            <w:pPr>
              <w:jc w:val="center"/>
            </w:pPr>
            <w:r>
              <w:rPr>
                <w:rFonts w:ascii="Times New Roman" w:hAnsi="Times New Roman"/>
                <w:sz w:val="20"/>
              </w:rPr>
              <w:t>0.2498</w:t>
            </w:r>
          </w:p>
        </w:tc>
        <w:tc>
          <w:tcPr>
            <w:tcW w:type="dxa" w:w="1728"/>
          </w:tcPr>
          <w:p>
            <w:pPr>
              <w:jc w:val="center"/>
            </w:pPr>
            <w:r>
              <w:rPr>
                <w:rFonts w:ascii="Times New Roman" w:hAnsi="Times New Roman"/>
                <w:sz w:val="20"/>
              </w:rPr>
              <w:t>0.2301</w:t>
            </w:r>
          </w:p>
        </w:tc>
      </w:tr>
      <w:tr>
        <w:tc>
          <w:tcPr>
            <w:tcW w:type="dxa" w:w="1728"/>
          </w:tcPr>
          <w:p>
            <w:pPr>
              <w:jc w:val="center"/>
            </w:pPr>
            <w:r>
              <w:rPr>
                <w:rFonts w:ascii="Times New Roman" w:hAnsi="Times New Roman"/>
                <w:sz w:val="20"/>
              </w:rPr>
              <w:t>No Tumor</w:t>
            </w:r>
          </w:p>
        </w:tc>
        <w:tc>
          <w:tcPr>
            <w:tcW w:type="dxa" w:w="1728"/>
          </w:tcPr>
          <w:p>
            <w:pPr>
              <w:jc w:val="center"/>
            </w:pPr>
            <w:r>
              <w:rPr>
                <w:rFonts w:ascii="Times New Roman" w:hAnsi="Times New Roman"/>
                <w:sz w:val="20"/>
              </w:rPr>
              <w:t>0.2891</w:t>
            </w:r>
          </w:p>
        </w:tc>
        <w:tc>
          <w:tcPr>
            <w:tcW w:type="dxa" w:w="1728"/>
          </w:tcPr>
          <w:p>
            <w:pPr>
              <w:jc w:val="center"/>
            </w:pPr>
            <w:r>
              <w:rPr>
                <w:rFonts w:ascii="Times New Roman" w:hAnsi="Times New Roman"/>
                <w:sz w:val="20"/>
              </w:rPr>
              <w:t>0.2634</w:t>
            </w:r>
          </w:p>
        </w:tc>
        <w:tc>
          <w:tcPr>
            <w:tcW w:type="dxa" w:w="1728"/>
          </w:tcPr>
          <w:p>
            <w:pPr>
              <w:jc w:val="center"/>
            </w:pPr>
            <w:r>
              <w:rPr>
                <w:rFonts w:ascii="Times New Roman" w:hAnsi="Times New Roman"/>
                <w:sz w:val="20"/>
              </w:rPr>
              <w:t>0.2271</w:t>
            </w:r>
          </w:p>
        </w:tc>
        <w:tc>
          <w:tcPr>
            <w:tcW w:type="dxa" w:w="1728"/>
          </w:tcPr>
          <w:p>
            <w:pPr>
              <w:jc w:val="center"/>
            </w:pPr>
            <w:r>
              <w:rPr>
                <w:rFonts w:ascii="Times New Roman" w:hAnsi="Times New Roman"/>
                <w:sz w:val="20"/>
              </w:rPr>
              <w:t>0.2204</w:t>
            </w:r>
          </w:p>
        </w:tc>
      </w:tr>
      <w:tr>
        <w:tc>
          <w:tcPr>
            <w:tcW w:type="dxa" w:w="1728"/>
          </w:tcPr>
          <w:p>
            <w:pPr>
              <w:jc w:val="center"/>
            </w:pPr>
            <w:r>
              <w:rPr>
                <w:rFonts w:ascii="Times New Roman" w:hAnsi="Times New Roman"/>
                <w:sz w:val="20"/>
              </w:rPr>
              <w:t>Pituitary</w:t>
            </w:r>
          </w:p>
        </w:tc>
        <w:tc>
          <w:tcPr>
            <w:tcW w:type="dxa" w:w="1728"/>
          </w:tcPr>
          <w:p>
            <w:pPr>
              <w:jc w:val="center"/>
            </w:pPr>
            <w:r>
              <w:rPr>
                <w:rFonts w:ascii="Times New Roman" w:hAnsi="Times New Roman"/>
                <w:sz w:val="20"/>
              </w:rPr>
              <w:t>0.3198</w:t>
            </w:r>
          </w:p>
        </w:tc>
        <w:tc>
          <w:tcPr>
            <w:tcW w:type="dxa" w:w="1728"/>
          </w:tcPr>
          <w:p>
            <w:pPr>
              <w:jc w:val="center"/>
            </w:pPr>
            <w:r>
              <w:rPr>
                <w:rFonts w:ascii="Times New Roman" w:hAnsi="Times New Roman"/>
                <w:sz w:val="20"/>
              </w:rPr>
              <w:t>0.2714</w:t>
            </w:r>
          </w:p>
        </w:tc>
        <w:tc>
          <w:tcPr>
            <w:tcW w:type="dxa" w:w="1728"/>
          </w:tcPr>
          <w:p>
            <w:pPr>
              <w:jc w:val="center"/>
            </w:pPr>
            <w:r>
              <w:rPr>
                <w:rFonts w:ascii="Times New Roman" w:hAnsi="Times New Roman"/>
                <w:sz w:val="20"/>
              </w:rPr>
              <w:t>0.2312</w:t>
            </w:r>
          </w:p>
        </w:tc>
        <w:tc>
          <w:tcPr>
            <w:tcW w:type="dxa" w:w="1728"/>
          </w:tcPr>
          <w:p>
            <w:pPr>
              <w:jc w:val="center"/>
            </w:pPr>
            <w:r>
              <w:rPr>
                <w:rFonts w:ascii="Times New Roman" w:hAnsi="Times New Roman"/>
                <w:sz w:val="20"/>
              </w:rPr>
              <w:t>0.1776</w:t>
            </w:r>
          </w:p>
        </w:tc>
      </w:tr>
    </w:tbl>
    <w:p>
      <w:pPr>
        <w:spacing w:after="160"/>
      </w:pPr>
    </w:p>
    <w:p>
      <w:pPr>
        <w:spacing w:after="120" w:line="360" w:lineRule="exact"/>
        <w:jc w:val="both"/>
      </w:pPr>
      <w:r>
        <w:rPr>
          <w:rFonts w:ascii="Times New Roman" w:hAnsi="Times New Roman"/>
          <w:b w:val="0"/>
          <w:i w:val="0"/>
          <w:sz w:val="24"/>
        </w:rPr>
        <w:t>This is the paper's most clinically meaningful finding. Scale importance weights reveal a clear pattern aligned with known tumor biology:</w:t>
      </w:r>
    </w:p>
    <w:p>
      <w:pPr>
        <w:pStyle w:val="ListBullet"/>
        <w:spacing w:after="80"/>
        <w:ind w:left="576"/>
      </w:pPr>
      <w:r>
        <w:rPr>
          <w:rFonts w:ascii="Times New Roman" w:hAnsi="Times New Roman"/>
          <w:sz w:val="24"/>
        </w:rPr>
        <w:t>Pituitary tumors are predominantly small (microadenomas: &lt;10mm). The model assigns the highest weight to the fine scale (224×224, weight=0.32), correctly learning that local texture detail is discriminative.</w:t>
      </w:r>
    </w:p>
    <w:p>
      <w:pPr>
        <w:pStyle w:val="ListBullet"/>
        <w:spacing w:after="80"/>
        <w:ind w:left="576"/>
      </w:pPr>
      <w:r>
        <w:rPr>
          <w:rFonts w:ascii="Times New Roman" w:hAnsi="Times New Roman"/>
          <w:sz w:val="24"/>
        </w:rPr>
        <w:t>Gliomas are large, infiltrative tumors. The model assigns the highest weight to the coarse scale (28×28, weight=0.27), learning that broad spatial context captures the infiltrative margin pattern.</w:t>
      </w:r>
    </w:p>
    <w:p>
      <w:pPr>
        <w:pStyle w:val="ListBullet"/>
        <w:spacing w:after="80"/>
        <w:ind w:left="576"/>
      </w:pPr>
      <w:r>
        <w:rPr>
          <w:rFonts w:ascii="Times New Roman" w:hAnsi="Times New Roman"/>
          <w:sz w:val="24"/>
        </w:rPr>
        <w:t>No Tumor relies most on the fine scale, consistent with detecting normal anatomical landmarks.</w:t>
      </w:r>
    </w:p>
    <w:p>
      <w:pPr>
        <w:pStyle w:val="ListBullet"/>
        <w:spacing w:after="80"/>
        <w:ind w:left="576"/>
      </w:pPr>
      <w:r>
        <w:rPr>
          <w:rFonts w:ascii="Times New Roman" w:hAnsi="Times New Roman"/>
          <w:sz w:val="24"/>
        </w:rPr>
        <w:t>Meningioma shows the most balanced scale usage, reflecting its size heterogeneity across patients.</w:t>
      </w:r>
    </w:p>
    <w:p/>
    <w:p>
      <w:pPr>
        <w:spacing w:after="120" w:line="360" w:lineRule="exact"/>
        <w:jc w:val="both"/>
      </w:pPr>
      <w:r>
        <w:rPr>
          <w:rFonts w:ascii="Times New Roman" w:hAnsi="Times New Roman"/>
          <w:b w:val="0"/>
          <w:i w:val="0"/>
          <w:sz w:val="24"/>
        </w:rPr>
        <w:t>This pattern was not engineered into the model — it emerged from training on labeled data alone, constituting empirical evidence that multi-scale processing captures tumor-size-dependent features in a radiologically interpretable way.</w:t>
      </w:r>
    </w:p>
    <w:p>
      <w:pPr>
        <w:pStyle w:val="Heading2"/>
        <w:spacing w:before="240" w:after="120"/>
      </w:pPr>
      <w:r>
        <w:t>5.4 Ablation Study</w:t>
      </w:r>
    </w:p>
    <w:p>
      <w:pPr>
        <w:spacing w:after="80"/>
        <w:jc w:val="center"/>
      </w:pPr>
      <w:r>
        <w:rPr>
          <w:rFonts w:ascii="Times New Roman" w:hAnsi="Times New Roman"/>
          <w:b/>
          <w:sz w:val="22"/>
        </w:rPr>
        <w:t>Table 6: Ablation — Effect of Number of Scales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jc w:val="center"/>
            </w:pPr>
            <w:r>
              <w:rPr>
                <w:rFonts w:ascii="Times New Roman" w:hAnsi="Times New Roman"/>
                <w:b/>
                <w:sz w:val="20"/>
              </w:rPr>
              <w:t>Configuration</w:t>
            </w:r>
          </w:p>
        </w:tc>
        <w:tc>
          <w:tcPr>
            <w:tcW w:type="dxa" w:w="2880"/>
            <w:shd w:val="clear" w:color="auto" w:fill="D6E4F0"/>
          </w:tcPr>
          <w:p>
            <w:pPr>
              <w:jc w:val="center"/>
            </w:pPr>
            <w:r>
              <w:rPr>
                <w:rFonts w:ascii="Times New Roman" w:hAnsi="Times New Roman"/>
                <w:b/>
                <w:sz w:val="20"/>
              </w:rPr>
              <w:t>Accuracy</w:t>
            </w:r>
          </w:p>
        </w:tc>
        <w:tc>
          <w:tcPr>
            <w:tcW w:type="dxa" w:w="2880"/>
            <w:shd w:val="clear" w:color="auto" w:fill="D6E4F0"/>
          </w:tcPr>
          <w:p>
            <w:pPr>
              <w:jc w:val="center"/>
            </w:pPr>
            <w:r>
              <w:rPr>
                <w:rFonts w:ascii="Times New Roman" w:hAnsi="Times New Roman"/>
                <w:b/>
                <w:sz w:val="20"/>
              </w:rPr>
              <w:t>Macro-F1</w:t>
            </w:r>
          </w:p>
        </w:tc>
      </w:tr>
      <w:tr>
        <w:tc>
          <w:tcPr>
            <w:tcW w:type="dxa" w:w="2880"/>
          </w:tcPr>
          <w:p>
            <w:pPr>
              <w:jc w:val="center"/>
            </w:pPr>
            <w:r>
              <w:rPr>
                <w:rFonts w:ascii="Times New Roman" w:hAnsi="Times New Roman"/>
                <w:sz w:val="20"/>
              </w:rPr>
              <w:t>1 scale (224×224 only)</w:t>
            </w:r>
          </w:p>
        </w:tc>
        <w:tc>
          <w:tcPr>
            <w:tcW w:type="dxa" w:w="2880"/>
          </w:tcPr>
          <w:p>
            <w:pPr>
              <w:jc w:val="center"/>
            </w:pPr>
            <w:r>
              <w:rPr>
                <w:rFonts w:ascii="Times New Roman" w:hAnsi="Times New Roman"/>
                <w:sz w:val="20"/>
              </w:rPr>
              <w:t>95.2%</w:t>
            </w:r>
          </w:p>
        </w:tc>
        <w:tc>
          <w:tcPr>
            <w:tcW w:type="dxa" w:w="2880"/>
          </w:tcPr>
          <w:p>
            <w:pPr>
              <w:jc w:val="center"/>
            </w:pPr>
            <w:r>
              <w:rPr>
                <w:rFonts w:ascii="Times New Roman" w:hAnsi="Times New Roman"/>
                <w:sz w:val="20"/>
              </w:rPr>
              <w:t>0.9481</w:t>
            </w:r>
          </w:p>
        </w:tc>
      </w:tr>
      <w:tr>
        <w:tc>
          <w:tcPr>
            <w:tcW w:type="dxa" w:w="2880"/>
          </w:tcPr>
          <w:p>
            <w:pPr>
              <w:jc w:val="center"/>
            </w:pPr>
            <w:r>
              <w:rPr>
                <w:rFonts w:ascii="Times New Roman" w:hAnsi="Times New Roman"/>
                <w:sz w:val="20"/>
              </w:rPr>
              <w:t>2 scales (224, 112)</w:t>
            </w:r>
          </w:p>
        </w:tc>
        <w:tc>
          <w:tcPr>
            <w:tcW w:type="dxa" w:w="2880"/>
          </w:tcPr>
          <w:p>
            <w:pPr>
              <w:jc w:val="center"/>
            </w:pPr>
            <w:r>
              <w:rPr>
                <w:rFonts w:ascii="Times New Roman" w:hAnsi="Times New Roman"/>
                <w:sz w:val="20"/>
              </w:rPr>
              <w:t>95.8%</w:t>
            </w:r>
          </w:p>
        </w:tc>
        <w:tc>
          <w:tcPr>
            <w:tcW w:type="dxa" w:w="2880"/>
          </w:tcPr>
          <w:p>
            <w:pPr>
              <w:jc w:val="center"/>
            </w:pPr>
            <w:r>
              <w:rPr>
                <w:rFonts w:ascii="Times New Roman" w:hAnsi="Times New Roman"/>
                <w:sz w:val="20"/>
              </w:rPr>
              <w:t>0.9539</w:t>
            </w:r>
          </w:p>
        </w:tc>
      </w:tr>
      <w:tr>
        <w:tc>
          <w:tcPr>
            <w:tcW w:type="dxa" w:w="2880"/>
          </w:tcPr>
          <w:p>
            <w:pPr>
              <w:jc w:val="center"/>
            </w:pPr>
            <w:r>
              <w:rPr>
                <w:rFonts w:ascii="Times New Roman" w:hAnsi="Times New Roman"/>
                <w:sz w:val="20"/>
              </w:rPr>
              <w:t>3 scales (224, 112, 56)</w:t>
            </w:r>
          </w:p>
        </w:tc>
        <w:tc>
          <w:tcPr>
            <w:tcW w:type="dxa" w:w="2880"/>
          </w:tcPr>
          <w:p>
            <w:pPr>
              <w:jc w:val="center"/>
            </w:pPr>
            <w:r>
              <w:rPr>
                <w:rFonts w:ascii="Times New Roman" w:hAnsi="Times New Roman"/>
                <w:sz w:val="20"/>
              </w:rPr>
              <w:t>96.4%</w:t>
            </w:r>
          </w:p>
        </w:tc>
        <w:tc>
          <w:tcPr>
            <w:tcW w:type="dxa" w:w="2880"/>
          </w:tcPr>
          <w:p>
            <w:pPr>
              <w:jc w:val="center"/>
            </w:pPr>
            <w:r>
              <w:rPr>
                <w:rFonts w:ascii="Times New Roman" w:hAnsi="Times New Roman"/>
                <w:sz w:val="20"/>
              </w:rPr>
              <w:t>0.9612</w:t>
            </w:r>
          </w:p>
        </w:tc>
      </w:tr>
      <w:tr>
        <w:tc>
          <w:tcPr>
            <w:tcW w:type="dxa" w:w="2880"/>
          </w:tcPr>
          <w:p>
            <w:pPr>
              <w:jc w:val="center"/>
            </w:pPr>
            <w:r>
              <w:rPr>
                <w:rFonts w:ascii="Times New Roman" w:hAnsi="Times New Roman"/>
                <w:sz w:val="20"/>
              </w:rPr>
              <w:t>4 scales (224, 112, 56, 28)</w:t>
            </w:r>
          </w:p>
        </w:tc>
        <w:tc>
          <w:tcPr>
            <w:tcW w:type="dxa" w:w="2880"/>
          </w:tcPr>
          <w:p>
            <w:pPr>
              <w:jc w:val="center"/>
            </w:pPr>
            <w:r>
              <w:rPr>
                <w:rFonts w:ascii="Times New Roman" w:hAnsi="Times New Roman"/>
                <w:sz w:val="20"/>
              </w:rPr>
              <w:t>97.1%</w:t>
            </w:r>
          </w:p>
        </w:tc>
        <w:tc>
          <w:tcPr>
            <w:tcW w:type="dxa" w:w="2880"/>
          </w:tcPr>
          <w:p>
            <w:pPr>
              <w:jc w:val="center"/>
            </w:pPr>
            <w:r>
              <w:rPr>
                <w:rFonts w:ascii="Times New Roman" w:hAnsi="Times New Roman"/>
                <w:sz w:val="20"/>
              </w:rPr>
              <w:t>0.9698</w:t>
            </w:r>
          </w:p>
        </w:tc>
      </w:tr>
      <w:tr>
        <w:tc>
          <w:tcPr>
            <w:tcW w:type="dxa" w:w="2880"/>
          </w:tcPr>
          <w:p>
            <w:pPr>
              <w:jc w:val="center"/>
            </w:pPr>
            <w:r>
              <w:rPr>
                <w:rFonts w:ascii="Times New Roman" w:hAnsi="Times New Roman"/>
                <w:sz w:val="20"/>
              </w:rPr>
              <w:t>4 scales, uniform weights (fixed)</w:t>
            </w:r>
          </w:p>
        </w:tc>
        <w:tc>
          <w:tcPr>
            <w:tcW w:type="dxa" w:w="2880"/>
          </w:tcPr>
          <w:p>
            <w:pPr>
              <w:jc w:val="center"/>
            </w:pPr>
            <w:r>
              <w:rPr>
                <w:rFonts w:ascii="Times New Roman" w:hAnsi="Times New Roman"/>
                <w:sz w:val="20"/>
              </w:rPr>
              <w:t>96.2%</w:t>
            </w:r>
          </w:p>
        </w:tc>
        <w:tc>
          <w:tcPr>
            <w:tcW w:type="dxa" w:w="2880"/>
          </w:tcPr>
          <w:p>
            <w:pPr>
              <w:jc w:val="center"/>
            </w:pPr>
            <w:r>
              <w:rPr>
                <w:rFonts w:ascii="Times New Roman" w:hAnsi="Times New Roman"/>
                <w:sz w:val="20"/>
              </w:rPr>
              <w:t>0.9591</w:t>
            </w:r>
          </w:p>
        </w:tc>
      </w:tr>
      <w:tr>
        <w:tc>
          <w:tcPr>
            <w:tcW w:type="dxa" w:w="2880"/>
          </w:tcPr>
          <w:p>
            <w:pPr>
              <w:jc w:val="center"/>
            </w:pPr>
            <w:r>
              <w:rPr>
                <w:rFonts w:ascii="Times New Roman" w:hAnsi="Times New Roman"/>
                <w:sz w:val="20"/>
              </w:rPr>
              <w:t>4 scales, learned weights (ours)</w:t>
            </w:r>
          </w:p>
        </w:tc>
        <w:tc>
          <w:tcPr>
            <w:tcW w:type="dxa" w:w="2880"/>
          </w:tcPr>
          <w:p>
            <w:pPr>
              <w:jc w:val="center"/>
            </w:pPr>
            <w:r>
              <w:rPr>
                <w:rFonts w:ascii="Times New Roman" w:hAnsi="Times New Roman"/>
                <w:sz w:val="20"/>
              </w:rPr>
              <w:t>97.1%</w:t>
            </w:r>
          </w:p>
        </w:tc>
        <w:tc>
          <w:tcPr>
            <w:tcW w:type="dxa" w:w="2880"/>
          </w:tcPr>
          <w:p>
            <w:pPr>
              <w:jc w:val="center"/>
            </w:pPr>
            <w:r>
              <w:rPr>
                <w:rFonts w:ascii="Times New Roman" w:hAnsi="Times New Roman"/>
                <w:sz w:val="20"/>
              </w:rPr>
              <w:t>0.9698</w:t>
            </w:r>
          </w:p>
        </w:tc>
      </w:tr>
    </w:tbl>
    <w:p>
      <w:pPr>
        <w:spacing w:after="160"/>
      </w:pPr>
    </w:p>
    <w:p>
      <w:pPr>
        <w:spacing w:after="80"/>
        <w:jc w:val="center"/>
      </w:pPr>
      <w:r>
        <w:rPr>
          <w:rFonts w:ascii="Times New Roman" w:hAnsi="Times New Roman"/>
          <w:b/>
          <w:sz w:val="22"/>
        </w:rPr>
        <w:t>Table 7: Fusion Strategy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jc w:val="center"/>
            </w:pPr>
            <w:r>
              <w:rPr>
                <w:rFonts w:ascii="Times New Roman" w:hAnsi="Times New Roman"/>
                <w:b/>
                <w:sz w:val="20"/>
              </w:rPr>
              <w:t>Fusion Method</w:t>
            </w:r>
          </w:p>
        </w:tc>
        <w:tc>
          <w:tcPr>
            <w:tcW w:type="dxa" w:w="2160"/>
            <w:shd w:val="clear" w:color="auto" w:fill="D6E4F0"/>
          </w:tcPr>
          <w:p>
            <w:pPr>
              <w:jc w:val="center"/>
            </w:pPr>
            <w:r>
              <w:rPr>
                <w:rFonts w:ascii="Times New Roman" w:hAnsi="Times New Roman"/>
                <w:b/>
                <w:sz w:val="20"/>
              </w:rPr>
              <w:t>Accuracy</w:t>
            </w:r>
          </w:p>
        </w:tc>
        <w:tc>
          <w:tcPr>
            <w:tcW w:type="dxa" w:w="2160"/>
            <w:shd w:val="clear" w:color="auto" w:fill="D6E4F0"/>
          </w:tcPr>
          <w:p>
            <w:pPr>
              <w:jc w:val="center"/>
            </w:pPr>
            <w:r>
              <w:rPr>
                <w:rFonts w:ascii="Times New Roman" w:hAnsi="Times New Roman"/>
                <w:b/>
                <w:sz w:val="20"/>
              </w:rPr>
              <w:t>Macro-F1</w:t>
            </w:r>
          </w:p>
        </w:tc>
        <w:tc>
          <w:tcPr>
            <w:tcW w:type="dxa" w:w="2160"/>
            <w:shd w:val="clear" w:color="auto" w:fill="D6E4F0"/>
          </w:tcPr>
          <w:p>
            <w:pPr>
              <w:jc w:val="center"/>
            </w:pPr>
            <w:r>
              <w:rPr>
                <w:rFonts w:ascii="Times New Roman" w:hAnsi="Times New Roman"/>
                <w:b/>
                <w:sz w:val="20"/>
              </w:rPr>
              <w:t>Extra Params</w:t>
            </w:r>
          </w:p>
        </w:tc>
      </w:tr>
      <w:tr>
        <w:tc>
          <w:tcPr>
            <w:tcW w:type="dxa" w:w="2160"/>
          </w:tcPr>
          <w:p>
            <w:pPr>
              <w:jc w:val="center"/>
            </w:pPr>
            <w:r>
              <w:rPr>
                <w:rFonts w:ascii="Times New Roman" w:hAnsi="Times New Roman"/>
                <w:sz w:val="20"/>
              </w:rPr>
              <w:t>Concatenation + FC</w:t>
            </w:r>
          </w:p>
        </w:tc>
        <w:tc>
          <w:tcPr>
            <w:tcW w:type="dxa" w:w="2160"/>
          </w:tcPr>
          <w:p>
            <w:pPr>
              <w:jc w:val="center"/>
            </w:pPr>
            <w:r>
              <w:rPr>
                <w:rFonts w:ascii="Times New Roman" w:hAnsi="Times New Roman"/>
                <w:sz w:val="20"/>
              </w:rPr>
              <w:t>96.7%</w:t>
            </w:r>
          </w:p>
        </w:tc>
        <w:tc>
          <w:tcPr>
            <w:tcW w:type="dxa" w:w="2160"/>
          </w:tcPr>
          <w:p>
            <w:pPr>
              <w:jc w:val="center"/>
            </w:pPr>
            <w:r>
              <w:rPr>
                <w:rFonts w:ascii="Times New Roman" w:hAnsi="Times New Roman"/>
                <w:sz w:val="20"/>
              </w:rPr>
              <w:t>0.9651</w:t>
            </w:r>
          </w:p>
        </w:tc>
        <w:tc>
          <w:tcPr>
            <w:tcW w:type="dxa" w:w="2160"/>
          </w:tcPr>
          <w:p>
            <w:pPr>
              <w:jc w:val="center"/>
            </w:pPr>
            <w:r>
              <w:rPr>
                <w:rFonts w:ascii="Times New Roman" w:hAnsi="Times New Roman"/>
                <w:sz w:val="20"/>
              </w:rPr>
              <w:t>+2.6M</w:t>
            </w:r>
          </w:p>
        </w:tc>
      </w:tr>
      <w:tr>
        <w:tc>
          <w:tcPr>
            <w:tcW w:type="dxa" w:w="2160"/>
          </w:tcPr>
          <w:p>
            <w:pPr>
              <w:jc w:val="center"/>
            </w:pPr>
            <w:r>
              <w:rPr>
                <w:rFonts w:ascii="Times New Roman" w:hAnsi="Times New Roman"/>
                <w:sz w:val="20"/>
              </w:rPr>
              <w:t>Simple average</w:t>
            </w:r>
          </w:p>
        </w:tc>
        <w:tc>
          <w:tcPr>
            <w:tcW w:type="dxa" w:w="2160"/>
          </w:tcPr>
          <w:p>
            <w:pPr>
              <w:jc w:val="center"/>
            </w:pPr>
            <w:r>
              <w:rPr>
                <w:rFonts w:ascii="Times New Roman" w:hAnsi="Times New Roman"/>
                <w:sz w:val="20"/>
              </w:rPr>
              <w:t>96.2%</w:t>
            </w:r>
          </w:p>
        </w:tc>
        <w:tc>
          <w:tcPr>
            <w:tcW w:type="dxa" w:w="2160"/>
          </w:tcPr>
          <w:p>
            <w:pPr>
              <w:jc w:val="center"/>
            </w:pPr>
            <w:r>
              <w:rPr>
                <w:rFonts w:ascii="Times New Roman" w:hAnsi="Times New Roman"/>
                <w:sz w:val="20"/>
              </w:rPr>
              <w:t>0.9591</w:t>
            </w:r>
          </w:p>
        </w:tc>
        <w:tc>
          <w:tcPr>
            <w:tcW w:type="dxa" w:w="2160"/>
          </w:tcPr>
          <w:p>
            <w:pPr>
              <w:jc w:val="center"/>
            </w:pPr>
            <w:r>
              <w:rPr>
                <w:rFonts w:ascii="Times New Roman" w:hAnsi="Times New Roman"/>
                <w:sz w:val="20"/>
              </w:rPr>
              <w:t>0</w:t>
            </w:r>
          </w:p>
        </w:tc>
      </w:tr>
      <w:tr>
        <w:tc>
          <w:tcPr>
            <w:tcW w:type="dxa" w:w="2160"/>
          </w:tcPr>
          <w:p>
            <w:pPr>
              <w:jc w:val="center"/>
            </w:pPr>
            <w:r>
              <w:rPr>
                <w:rFonts w:ascii="Times New Roman" w:hAnsi="Times New Roman"/>
                <w:sz w:val="20"/>
              </w:rPr>
              <w:t>Max pooling across scales</w:t>
            </w:r>
          </w:p>
        </w:tc>
        <w:tc>
          <w:tcPr>
            <w:tcW w:type="dxa" w:w="2160"/>
          </w:tcPr>
          <w:p>
            <w:pPr>
              <w:jc w:val="center"/>
            </w:pPr>
            <w:r>
              <w:rPr>
                <w:rFonts w:ascii="Times New Roman" w:hAnsi="Times New Roman"/>
                <w:sz w:val="20"/>
              </w:rPr>
              <w:t>95.9%</w:t>
            </w:r>
          </w:p>
        </w:tc>
        <w:tc>
          <w:tcPr>
            <w:tcW w:type="dxa" w:w="2160"/>
          </w:tcPr>
          <w:p>
            <w:pPr>
              <w:jc w:val="center"/>
            </w:pPr>
            <w:r>
              <w:rPr>
                <w:rFonts w:ascii="Times New Roman" w:hAnsi="Times New Roman"/>
                <w:sz w:val="20"/>
              </w:rPr>
              <w:t>0.9561</w:t>
            </w:r>
          </w:p>
        </w:tc>
        <w:tc>
          <w:tcPr>
            <w:tcW w:type="dxa" w:w="2160"/>
          </w:tcPr>
          <w:p>
            <w:pPr>
              <w:jc w:val="center"/>
            </w:pPr>
            <w:r>
              <w:rPr>
                <w:rFonts w:ascii="Times New Roman" w:hAnsi="Times New Roman"/>
                <w:sz w:val="20"/>
              </w:rPr>
              <w:t>0</w:t>
            </w:r>
          </w:p>
        </w:tc>
      </w:tr>
      <w:tr>
        <w:tc>
          <w:tcPr>
            <w:tcW w:type="dxa" w:w="2160"/>
          </w:tcPr>
          <w:p>
            <w:pPr>
              <w:jc w:val="center"/>
            </w:pPr>
            <w:r>
              <w:rPr>
                <w:rFonts w:ascii="Times New Roman" w:hAnsi="Times New Roman"/>
                <w:sz w:val="20"/>
              </w:rPr>
              <w:t>Learned weighted sum (ours)</w:t>
            </w:r>
          </w:p>
        </w:tc>
        <w:tc>
          <w:tcPr>
            <w:tcW w:type="dxa" w:w="2160"/>
          </w:tcPr>
          <w:p>
            <w:pPr>
              <w:jc w:val="center"/>
            </w:pPr>
            <w:r>
              <w:rPr>
                <w:rFonts w:ascii="Times New Roman" w:hAnsi="Times New Roman"/>
                <w:sz w:val="20"/>
              </w:rPr>
              <w:t>97.1%</w:t>
            </w:r>
          </w:p>
        </w:tc>
        <w:tc>
          <w:tcPr>
            <w:tcW w:type="dxa" w:w="2160"/>
          </w:tcPr>
          <w:p>
            <w:pPr>
              <w:jc w:val="center"/>
            </w:pPr>
            <w:r>
              <w:rPr>
                <w:rFonts w:ascii="Times New Roman" w:hAnsi="Times New Roman"/>
                <w:sz w:val="20"/>
              </w:rPr>
              <w:t>0.9698</w:t>
            </w:r>
          </w:p>
        </w:tc>
        <w:tc>
          <w:tcPr>
            <w:tcW w:type="dxa" w:w="2160"/>
          </w:tcPr>
          <w:p>
            <w:pPr>
              <w:jc w:val="center"/>
            </w:pPr>
            <w:r>
              <w:rPr>
                <w:rFonts w:ascii="Times New Roman" w:hAnsi="Times New Roman"/>
                <w:sz w:val="20"/>
              </w:rPr>
              <w:t>4</w:t>
            </w:r>
          </w:p>
        </w:tc>
      </w:tr>
    </w:tbl>
    <w:p>
      <w:pPr>
        <w:spacing w:after="160"/>
      </w:pPr>
    </w:p>
    <w:p>
      <w:pPr>
        <w:pStyle w:val="Heading1"/>
        <w:spacing w:before="240" w:after="120"/>
      </w:pPr>
      <w:r>
        <w:t>6. Discussion</w:t>
      </w:r>
    </w:p>
    <w:p>
      <w:pPr>
        <w:pStyle w:val="Heading2"/>
        <w:spacing w:before="240" w:after="120"/>
      </w:pPr>
      <w:r>
        <w:t>6.1 Clinical Interpretation</w:t>
      </w:r>
    </w:p>
    <w:p>
      <w:pPr>
        <w:spacing w:after="120" w:line="360" w:lineRule="exact"/>
        <w:jc w:val="both"/>
      </w:pPr>
      <w:r>
        <w:rPr>
          <w:rFonts w:ascii="Times New Roman" w:hAnsi="Times New Roman"/>
          <w:b w:val="0"/>
          <w:i w:val="0"/>
          <w:sz w:val="24"/>
        </w:rPr>
        <w:t>The scale importance results directly validate the clinical hypothesis motivating this work. The emergence of scale-size correlation from training data alone — without explicit supervision about tumor size — suggests the model has learned genuine size-discriminative features. This is consistent with how radiologists approach MRI: they mentally zoom in to examine fine details of small structures and zoom out to assess the overall mass effect of large tumors. The largest performance gain in meningioma (+2.5% F1) is clinically significant, as distinguishing meningioma from high-grade glioma has direct treatment implications.</w:t>
      </w:r>
    </w:p>
    <w:p>
      <w:pPr>
        <w:pStyle w:val="Heading2"/>
        <w:spacing w:before="240" w:after="120"/>
      </w:pPr>
      <w:r>
        <w:t>6.2 Generalizability</w:t>
      </w:r>
    </w:p>
    <w:p>
      <w:pPr>
        <w:spacing w:after="120" w:line="360" w:lineRule="exact"/>
        <w:jc w:val="both"/>
      </w:pPr>
      <w:r>
        <w:rPr>
          <w:rFonts w:ascii="Times New Roman" w:hAnsi="Times New Roman"/>
          <w:b w:val="0"/>
          <w:i w:val="0"/>
          <w:sz w:val="24"/>
        </w:rPr>
        <w:t>The multi-scale design is backbone-agnostic. While we use EfficientNet-B0 for its strong performance-efficiency tradeoff, the framework is directly applicable to any CNN backbone (ResNet, DenseNet, ViT). The weight-sharing design is critical: because all scales use the same encoder, the model is not prone to overfitting at low-data scales (e.g., 28×28).</w:t>
      </w:r>
    </w:p>
    <w:p>
      <w:pPr>
        <w:pStyle w:val="Heading2"/>
        <w:spacing w:before="240" w:after="120"/>
      </w:pPr>
      <w:r>
        <w:t>6.3 Limitations</w:t>
      </w:r>
    </w:p>
    <w:p>
      <w:pPr>
        <w:spacing w:after="120" w:line="360" w:lineRule="exact"/>
        <w:jc w:val="both"/>
      </w:pPr>
      <w:r>
        <w:rPr>
          <w:rFonts w:ascii="Times New Roman" w:hAnsi="Times New Roman"/>
          <w:b w:val="0"/>
          <w:i w:val="0"/>
          <w:sz w:val="24"/>
        </w:rPr>
        <w:t>Single dataset: All results are on the Kaggle dataset from a single acquisition protocol. Cross-dataset validation (BraTS, TCGA) is left for future work. 2D slices only: The model processes individual axial slices rather than full 3D volumetric MRI. No tumor grading: Classification does not address WHO Grade I–IV grading, a natural next step. Computational overhead: Four forward passes per image increase training time by ~3.2×, though inference latency is clinically acceptable (12ms vs. 4ms on GPU).</w:t>
      </w:r>
    </w:p>
    <w:p>
      <w:pPr>
        <w:pStyle w:val="Heading1"/>
        <w:spacing w:before="240" w:after="120"/>
      </w:pPr>
      <w:r>
        <w:t>7. Conclusion</w:t>
      </w:r>
    </w:p>
    <w:p>
      <w:pPr>
        <w:spacing w:after="120" w:line="360" w:lineRule="exact"/>
        <w:jc w:val="both"/>
      </w:pPr>
      <w:r>
        <w:rPr>
          <w:rFonts w:ascii="Times New Roman" w:hAnsi="Times New Roman"/>
          <w:b w:val="0"/>
          <w:i w:val="0"/>
          <w:sz w:val="24"/>
        </w:rPr>
        <w:t>We presented the Multi-Scale Feature Pyramid Network (MS-FPN) for brain tumor classification from MRI, motivated by the observation that different tumor types require different receptive fields. Our model processes each MRI at four scales using a shared EfficientNet-B0 encoder and fuses scale features through a lightweight learned weighted-sum module. On the Kaggle Brain Tumor Classification dataset, MS-FPN achieves 97.1% accuracy and 0.9698 macro-F1, outperforming the single-scale baseline by +1.9% with zero additional backbone parameters.</w:t>
      </w:r>
    </w:p>
    <w:p>
      <w:pPr>
        <w:spacing w:after="120" w:line="360" w:lineRule="exact"/>
        <w:jc w:val="both"/>
      </w:pPr>
      <w:r>
        <w:rPr>
          <w:rFonts w:ascii="Times New Roman" w:hAnsi="Times New Roman"/>
          <w:b w:val="0"/>
          <w:i w:val="0"/>
          <w:sz w:val="24"/>
        </w:rPr>
        <w:t>The scale importance analysis reveals a clinically meaningful pattern: pituitary tumors rely on fine-scale features while glioblastomas rely on coarse-scale features. This finding, which emerged from training data alone, validates the multi-scale design hypothesis and provides radiologically interpretable evidence. Scale-wise Grad-CAM enables clinicians to inspect activation patterns at each resolution, supporting trust and adoption in clinical settings.</w:t>
      </w:r>
    </w:p>
    <w:p>
      <w:pPr>
        <w:spacing w:after="120" w:line="360" w:lineRule="exact"/>
        <w:jc w:val="both"/>
      </w:pPr>
      <w:r>
        <w:rPr>
          <w:rFonts w:ascii="Times New Roman" w:hAnsi="Times New Roman"/>
          <w:b w:val="0"/>
          <w:i w:val="0"/>
          <w:sz w:val="24"/>
        </w:rPr>
        <w:t>Future directions include: (1) extension to 3D volumetric classification; (2) cross-dataset validation on BraTS and TCGA; (3) integration with survival prediction and IDH mutation status prediction; and (4) federated learning for privacy-preserving multi-institutional training.</w:t>
      </w:r>
    </w:p>
    <w:p>
      <w:pPr>
        <w:pStyle w:val="Heading1"/>
        <w:spacing w:before="240" w:after="120"/>
      </w:pPr>
      <w:r>
        <w:t>References</w:t>
      </w:r>
    </w:p>
    <w:p>
      <w:pPr>
        <w:spacing w:after="80"/>
        <w:ind w:left="576" w:hanging="576"/>
      </w:pPr>
      <w:r>
        <w:rPr>
          <w:rFonts w:ascii="Times New Roman" w:hAnsi="Times New Roman"/>
          <w:sz w:val="22"/>
        </w:rPr>
        <w:t>[1] Sung, H., et al. (2021). Global cancer statistics 2020. CA: A Cancer Journal for Clinicians, 71(3), 209–249.</w:t>
      </w:r>
    </w:p>
    <w:p>
      <w:pPr>
        <w:spacing w:after="80"/>
        <w:ind w:left="576" w:hanging="576"/>
      </w:pPr>
      <w:r>
        <w:rPr>
          <w:rFonts w:ascii="Times New Roman" w:hAnsi="Times New Roman"/>
          <w:sz w:val="22"/>
        </w:rPr>
        <w:t>[2] Akkus, Z., et al. (2017). Deep learning for brain MRI segmentation. Journal of Digital Imaging, 30(4), 449–459.</w:t>
      </w:r>
    </w:p>
    <w:p>
      <w:pPr>
        <w:spacing w:after="80"/>
        <w:ind w:left="576" w:hanging="576"/>
      </w:pPr>
      <w:r>
        <w:rPr>
          <w:rFonts w:ascii="Times New Roman" w:hAnsi="Times New Roman"/>
          <w:sz w:val="22"/>
        </w:rPr>
        <w:t>[3] American College of Radiology. (2022). Radiologist Workforce Report. ACR Data Science Institute.</w:t>
      </w:r>
    </w:p>
    <w:p>
      <w:pPr>
        <w:spacing w:after="80"/>
        <w:ind w:left="576" w:hanging="576"/>
      </w:pPr>
      <w:r>
        <w:rPr>
          <w:rFonts w:ascii="Times New Roman" w:hAnsi="Times New Roman"/>
          <w:sz w:val="22"/>
        </w:rPr>
        <w:t>[4] He, K., et al. (2016). Deep residual learning for image recognition. CVPR, 770–778.</w:t>
      </w:r>
    </w:p>
    <w:p>
      <w:pPr>
        <w:spacing w:after="80"/>
        <w:ind w:left="576" w:hanging="576"/>
      </w:pPr>
      <w:r>
        <w:rPr>
          <w:rFonts w:ascii="Times New Roman" w:hAnsi="Times New Roman"/>
          <w:sz w:val="22"/>
        </w:rPr>
        <w:t>[5] Simonyan, K., &amp; Zisserman, A. (2015). Very deep convolutional networks for large-scale image recognition. ICLR.</w:t>
      </w:r>
    </w:p>
    <w:p>
      <w:pPr>
        <w:spacing w:after="80"/>
        <w:ind w:left="576" w:hanging="576"/>
      </w:pPr>
      <w:r>
        <w:rPr>
          <w:rFonts w:ascii="Times New Roman" w:hAnsi="Times New Roman"/>
          <w:sz w:val="22"/>
        </w:rPr>
        <w:t>[6] Tan, M., &amp; Le, Q. V. (2019). EfficientNet: Rethinking model scaling for CNNs. ICML.</w:t>
      </w:r>
    </w:p>
    <w:p>
      <w:pPr>
        <w:spacing w:after="80"/>
        <w:ind w:left="576" w:hanging="576"/>
      </w:pPr>
      <w:r>
        <w:rPr>
          <w:rFonts w:ascii="Times New Roman" w:hAnsi="Times New Roman"/>
          <w:sz w:val="22"/>
        </w:rPr>
        <w:t>[7] Lin, T. Y., et al. (2017). Feature pyramid networks for object detection. CVPR, 2117–2125.</w:t>
      </w:r>
    </w:p>
    <w:p>
      <w:pPr>
        <w:spacing w:after="80"/>
        <w:ind w:left="576" w:hanging="576"/>
      </w:pPr>
      <w:r>
        <w:rPr>
          <w:rFonts w:ascii="Times New Roman" w:hAnsi="Times New Roman"/>
          <w:sz w:val="22"/>
        </w:rPr>
        <w:t>[8] Selvaraju, R. R., et al. (2017). Grad-CAM: Visual explanations via gradient-based localization. ICCV, 618–626.</w:t>
      </w:r>
    </w:p>
    <w:p>
      <w:pPr>
        <w:spacing w:after="80"/>
        <w:ind w:left="576" w:hanging="576"/>
      </w:pPr>
      <w:r>
        <w:rPr>
          <w:rFonts w:ascii="Times New Roman" w:hAnsi="Times New Roman"/>
          <w:sz w:val="22"/>
        </w:rPr>
        <w:t>[9] Abiwinanda, N., et al. (2019). Brain tumor classification using CNN. World Congress on Medical Physics, 183–189.</w:t>
      </w:r>
    </w:p>
    <w:p>
      <w:pPr>
        <w:spacing w:after="80"/>
        <w:ind w:left="576" w:hanging="576"/>
      </w:pPr>
      <w:r>
        <w:rPr>
          <w:rFonts w:ascii="Times New Roman" w:hAnsi="Times New Roman"/>
          <w:sz w:val="22"/>
        </w:rPr>
        <w:t>[10] Pashaei, A., et al. (2018). Brain tumor classification via CNN and extreme learning machines. BIBE, 339–344.</w:t>
      </w:r>
    </w:p>
    <w:p>
      <w:pPr>
        <w:spacing w:after="80"/>
        <w:ind w:left="576" w:hanging="576"/>
      </w:pPr>
      <w:r>
        <w:rPr>
          <w:rFonts w:ascii="Times New Roman" w:hAnsi="Times New Roman"/>
          <w:sz w:val="22"/>
        </w:rPr>
        <w:t>[11] Swati, Z. N. K., et al. (2019). Brain tumor classification using transfer learning. Computerized Medical Imaging and Graphics, 75, 34–46.</w:t>
      </w:r>
    </w:p>
    <w:p>
      <w:pPr>
        <w:spacing w:after="80"/>
        <w:ind w:left="576" w:hanging="576"/>
      </w:pPr>
      <w:r>
        <w:rPr>
          <w:rFonts w:ascii="Times New Roman" w:hAnsi="Times New Roman"/>
          <w:sz w:val="22"/>
        </w:rPr>
        <w:t>[12] Deepak, S., &amp; Ameer, P. M. (2019). Brain tumor classification using deep CNN features via transfer learning. Computers in Biology and Medicine, 111, 103345.</w:t>
      </w:r>
    </w:p>
    <w:p>
      <w:pPr>
        <w:spacing w:after="80"/>
        <w:ind w:left="576" w:hanging="576"/>
      </w:pPr>
      <w:r>
        <w:rPr>
          <w:rFonts w:ascii="Times New Roman" w:hAnsi="Times New Roman"/>
          <w:sz w:val="22"/>
        </w:rPr>
        <w:t>[13] Saeedi, S., et al. (2023). MRI brain tumor segmentation and survival prediction. Frontiers in Artificial Intelligence, 6.</w:t>
      </w:r>
    </w:p>
    <w:p>
      <w:pPr>
        <w:spacing w:after="80"/>
        <w:ind w:left="576" w:hanging="576"/>
      </w:pPr>
      <w:r>
        <w:rPr>
          <w:rFonts w:ascii="Times New Roman" w:hAnsi="Times New Roman"/>
          <w:sz w:val="22"/>
        </w:rPr>
        <w:t>[14] Rehman, A., et al. (2020). A deep learning-based framework for brain tumors classification. Circuits, Systems, and Signal Processing, 39(2), 757–775.</w:t>
      </w:r>
    </w:p>
    <w:p>
      <w:pPr>
        <w:spacing w:after="80"/>
        <w:ind w:left="576" w:hanging="576"/>
      </w:pPr>
      <w:r>
        <w:rPr>
          <w:rFonts w:ascii="Times New Roman" w:hAnsi="Times New Roman"/>
          <w:sz w:val="22"/>
        </w:rPr>
        <w:t>[15] He, K., et al. (2017). Mask R-CNN. ICCV, 2961–2969.</w:t>
      </w:r>
    </w:p>
    <w:p>
      <w:pPr>
        <w:spacing w:after="80"/>
        <w:ind w:left="576" w:hanging="576"/>
      </w:pPr>
      <w:r>
        <w:rPr>
          <w:rFonts w:ascii="Times New Roman" w:hAnsi="Times New Roman"/>
          <w:sz w:val="22"/>
        </w:rPr>
        <w:t>[16] Liu, Y., et al. (2019). Multi-scale chest X-ray feature pyramid network. Medical Physics, 46(5), 2043–2054.</w:t>
      </w:r>
    </w:p>
    <w:p>
      <w:pPr>
        <w:spacing w:after="80"/>
        <w:ind w:left="576" w:hanging="576"/>
      </w:pPr>
      <w:r>
        <w:rPr>
          <w:rFonts w:ascii="Times New Roman" w:hAnsi="Times New Roman"/>
          <w:sz w:val="22"/>
        </w:rPr>
        <w:t>[17] Fang, Y., et al. (2019). Selective feature aggregation for polyp segmentation. MICCAI, 302–310.</w:t>
      </w:r>
    </w:p>
    <w:p>
      <w:pPr>
        <w:spacing w:after="80"/>
        <w:ind w:left="576" w:hanging="576"/>
      </w:pPr>
      <w:r>
        <w:rPr>
          <w:rFonts w:ascii="Times New Roman" w:hAnsi="Times New Roman"/>
          <w:sz w:val="22"/>
        </w:rPr>
        <w:t>[18] Shen, W., et al. (2017). Multi-scale CNNs for lung nodule classification. IPMI, 588–599.</w:t>
      </w:r>
    </w:p>
    <w:p>
      <w:pPr>
        <w:spacing w:after="80"/>
        <w:ind w:left="576" w:hanging="576"/>
      </w:pPr>
      <w:r>
        <w:rPr>
          <w:rFonts w:ascii="Times New Roman" w:hAnsi="Times New Roman"/>
          <w:sz w:val="22"/>
        </w:rPr>
        <w:t>[19] Li, Y., et al. (2018). Multi-scale attention network for skin lesion classification. MIDL.</w:t>
      </w:r>
    </w:p>
    <w:p>
      <w:pPr>
        <w:spacing w:after="80"/>
        <w:ind w:left="576" w:hanging="576"/>
      </w:pPr>
      <w:r>
        <w:rPr>
          <w:rFonts w:ascii="Times New Roman" w:hAnsi="Times New Roman"/>
          <w:sz w:val="22"/>
        </w:rPr>
        <w:t>[20] Chattopadhay, A., et al. (2018). Grad-CAM++: Generalized gradient-based explanations. WACV, 839–847.</w:t>
      </w:r>
    </w:p>
    <w:p>
      <w:pPr>
        <w:spacing w:after="80"/>
        <w:ind w:left="576" w:hanging="576"/>
      </w:pPr>
      <w:r>
        <w:rPr>
          <w:rFonts w:ascii="Times New Roman" w:hAnsi="Times New Roman"/>
          <w:sz w:val="22"/>
        </w:rPr>
        <w:t>[21] Wang, H., et al. (2020). Score-CAM: Score-weighted visual explanations. CVPR Workshops.</w:t>
      </w:r>
    </w:p>
    <w:p>
      <w:pPr>
        <w:spacing w:after="80"/>
        <w:ind w:left="576" w:hanging="576"/>
      </w:pPr>
      <w:r>
        <w:rPr>
          <w:rFonts w:ascii="Times New Roman" w:hAnsi="Times New Roman"/>
          <w:sz w:val="22"/>
        </w:rPr>
        <w:t>[22] Ahmad, B., et al. (2021). Deep learning model for brain tumor detection with Grad-CAM. IEEE Access, 9, 120240–120253.</w:t>
      </w:r>
    </w:p>
    <w:p>
      <w:pPr>
        <w:spacing w:after="80"/>
        <w:ind w:left="576" w:hanging="576"/>
      </w:pPr>
      <w:r>
        <w:rPr>
          <w:rFonts w:ascii="Times New Roman" w:hAnsi="Times New Roman"/>
          <w:sz w:val="22"/>
        </w:rPr>
        <w:t>[23] Bhuvaji, S., et al. (2020). Brain Tumor Classification (MRI). Kaggle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53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