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C24B0A"/>
          <w:sz w:val="20"/>
        </w:rPr>
        <w:t>YUVA AI INTERNSHIP PROGRAM - WEEK 1</w:t>
      </w:r>
    </w:p>
    <w:p>
      <w:pPr>
        <w:spacing w:before="0" w:after="80"/>
      </w:pPr>
      <w:r>
        <w:rPr>
          <w:rFonts w:ascii="Calibri" w:hAnsi="Calibri"/>
          <w:b/>
          <w:color w:val="1F4E79"/>
          <w:sz w:val="44"/>
        </w:rPr>
        <w:t>Python for Machine Learning &amp; Data Preprocessing</w:t>
      </w:r>
    </w:p>
    <w:p>
      <w:pPr>
        <w:spacing w:before="0" w:after="280"/>
      </w:pPr>
      <w:r>
        <w:rPr>
          <w:rFonts w:ascii="Calibri" w:hAnsi="Calibri"/>
          <w:i/>
          <w:color w:val="595959"/>
          <w:sz w:val="22"/>
        </w:rPr>
        <w:t>Comprehensive Task Verification &amp; Preprocessing Technical Report | Student Performance Dataset</w:t>
      </w:r>
    </w:p>
    <w:p>
      <w:pPr>
        <w:pStyle w:val="Heading1"/>
        <w:keepNext/>
        <w:spacing w:before="240" w:after="80"/>
      </w:pPr>
      <w:r>
        <w:rPr>
          <w:rFonts w:ascii="Calibri" w:hAnsi="Calibri"/>
          <w:b/>
          <w:color w:val="1F4E79"/>
          <w:sz w:val="28"/>
        </w:rPr>
        <w:t>1. Project Objective</w:t>
      </w:r>
    </w:p>
    <w:p>
      <w:pPr>
        <w:spacing w:before="0" w:after="120" w:line="276" w:lineRule="auto"/>
      </w:pPr>
      <w:r>
        <w:rPr>
          <w:rFonts w:ascii="Calibri" w:hAnsi="Calibri"/>
          <w:color w:val="262626"/>
          <w:sz w:val="21"/>
        </w:rPr>
        <w:t>The objective of this Week 1 milestone is to establish a rigorous, production-grade data preprocessing and exploratory data analysis (EDA) pipeline using Python. Leveraging standard scientific libraries—Pandas, NumPy, Matplotlib, and Scikit-learn—the project ingests raw secondary education records, performs thorough data inspection and integrity validation, executes categorical encoding, applies feature normalization, and exports clean, model-ready data alongside high-resolution visualizations for downstream machine learning tasks.</w:t>
      </w:r>
    </w:p>
    <w:p>
      <w:pPr>
        <w:pStyle w:val="Heading1"/>
        <w:keepNext/>
        <w:spacing w:before="240" w:after="80"/>
      </w:pPr>
      <w:r>
        <w:rPr>
          <w:rFonts w:ascii="Calibri" w:hAnsi="Calibri"/>
          <w:b/>
          <w:color w:val="1F4E79"/>
          <w:sz w:val="28"/>
        </w:rPr>
        <w:t>2. Tools and Technologies</w:t>
      </w:r>
    </w:p>
    <w:p>
      <w:pPr>
        <w:pStyle w:val="ListBullet"/>
        <w:spacing w:before="0" w:after="60" w:line="276" w:lineRule="auto"/>
      </w:pPr>
      <w:r>
        <w:rPr>
          <w:rFonts w:ascii="Calibri" w:hAnsi="Calibri"/>
          <w:b/>
          <w:color w:val="262626"/>
          <w:sz w:val="21"/>
        </w:rPr>
        <w:t xml:space="preserve">Programming Environment: </w:t>
      </w:r>
      <w:r>
        <w:rPr>
          <w:rFonts w:ascii="Calibri" w:hAnsi="Calibri"/>
          <w:color w:val="262626"/>
          <w:sz w:val="21"/>
        </w:rPr>
        <w:t>Python 3.12 with virtual environment support.</w:t>
      </w:r>
    </w:p>
    <w:p>
      <w:pPr>
        <w:pStyle w:val="ListBullet"/>
        <w:spacing w:before="0" w:after="60" w:line="276" w:lineRule="auto"/>
      </w:pPr>
      <w:r>
        <w:rPr>
          <w:rFonts w:ascii="Calibri" w:hAnsi="Calibri"/>
          <w:b/>
          <w:color w:val="262626"/>
          <w:sz w:val="21"/>
        </w:rPr>
        <w:t xml:space="preserve">Data Ingestion &amp; Manipulation: </w:t>
      </w:r>
      <w:r>
        <w:rPr>
          <w:rFonts w:ascii="Calibri" w:hAnsi="Calibri"/>
          <w:color w:val="262626"/>
          <w:sz w:val="21"/>
        </w:rPr>
        <w:t>Pandas (v2.2.3) for DataFrame structuring, CSV parsing, and statistical aggregations.</w:t>
      </w:r>
    </w:p>
    <w:p>
      <w:pPr>
        <w:pStyle w:val="ListBullet"/>
        <w:spacing w:before="0" w:after="60" w:line="276" w:lineRule="auto"/>
      </w:pPr>
      <w:r>
        <w:rPr>
          <w:rFonts w:ascii="Calibri" w:hAnsi="Calibri"/>
          <w:b/>
          <w:color w:val="262626"/>
          <w:sz w:val="21"/>
        </w:rPr>
        <w:t xml:space="preserve">Feature Engineering &amp; Scaling: </w:t>
      </w:r>
      <w:r>
        <w:rPr>
          <w:rFonts w:ascii="Calibri" w:hAnsi="Calibri"/>
          <w:color w:val="262626"/>
          <w:sz w:val="21"/>
        </w:rPr>
        <w:t>Scikit-learn (v1.9.1) preprocessing suite, utilizing MinMaxScaler for bounded numerical scaling.</w:t>
      </w:r>
    </w:p>
    <w:p>
      <w:pPr>
        <w:pStyle w:val="ListBullet"/>
        <w:spacing w:before="0" w:after="60" w:line="276" w:lineRule="auto"/>
      </w:pPr>
      <w:r>
        <w:rPr>
          <w:rFonts w:ascii="Calibri" w:hAnsi="Calibri"/>
          <w:b/>
          <w:color w:val="262626"/>
          <w:sz w:val="21"/>
        </w:rPr>
        <w:t xml:space="preserve">Data Visualization: </w:t>
      </w:r>
      <w:r>
        <w:rPr>
          <w:rFonts w:ascii="Calibri" w:hAnsi="Calibri"/>
          <w:color w:val="262626"/>
          <w:sz w:val="21"/>
        </w:rPr>
        <w:t>Matplotlib (v3.10.0) for high-resolution distribution histograms and comparative bar visualizations.</w:t>
      </w:r>
    </w:p>
    <w:p>
      <w:pPr>
        <w:pStyle w:val="ListBullet"/>
        <w:spacing w:before="0" w:after="60" w:line="276" w:lineRule="auto"/>
      </w:pPr>
      <w:r>
        <w:rPr>
          <w:rFonts w:ascii="Calibri" w:hAnsi="Calibri"/>
          <w:b/>
          <w:color w:val="262626"/>
          <w:sz w:val="21"/>
        </w:rPr>
        <w:t xml:space="preserve">Version Control: </w:t>
      </w:r>
      <w:r>
        <w:rPr>
          <w:rFonts w:ascii="Calibri" w:hAnsi="Calibri"/>
          <w:color w:val="262626"/>
          <w:sz w:val="21"/>
        </w:rPr>
        <w:t>Git repository management following structured folder conventions and automated hygiene.</w:t>
      </w:r>
    </w:p>
    <w:p>
      <w:pPr>
        <w:pStyle w:val="Heading1"/>
        <w:keepNext/>
        <w:spacing w:before="240" w:after="80"/>
      </w:pPr>
      <w:r>
        <w:rPr>
          <w:rFonts w:ascii="Calibri" w:hAnsi="Calibri"/>
          <w:b/>
          <w:color w:val="1F4E79"/>
          <w:sz w:val="28"/>
        </w:rPr>
        <w:t>3. Dataset Description &amp; Verified Schema</w:t>
      </w:r>
    </w:p>
    <w:p>
      <w:pPr>
        <w:spacing w:before="0" w:after="120" w:line="276" w:lineRule="auto"/>
      </w:pPr>
      <w:r>
        <w:rPr>
          <w:rFonts w:ascii="Calibri" w:hAnsi="Calibri"/>
          <w:color w:val="262626"/>
          <w:sz w:val="21"/>
        </w:rPr>
        <w:t>The analysis is conducted on the authentic Student Performance Dataset (student-mat.csv), originating from the UCI Machine Learning Repository (Cortez &amp; Silva, 2008). The dataset compiles academic performance, demographic attributes, and social indicators for secondary education students enrolled in Portuguese mathematics courses.</w:t>
      </w:r>
    </w:p>
    <w:p>
      <w:pPr>
        <w:pStyle w:val="ListBullet"/>
        <w:spacing w:before="0" w:after="60" w:line="276" w:lineRule="auto"/>
      </w:pPr>
      <w:r>
        <w:rPr>
          <w:rFonts w:ascii="Calibri" w:hAnsi="Calibri"/>
          <w:b/>
          <w:color w:val="262626"/>
          <w:sz w:val="21"/>
        </w:rPr>
        <w:t xml:space="preserve">Raw File: </w:t>
      </w:r>
      <w:r>
        <w:rPr>
          <w:rFonts w:ascii="Calibri" w:hAnsi="Calibri"/>
          <w:color w:val="262626"/>
          <w:sz w:val="21"/>
        </w:rPr>
        <w:t>student-mat.csv (Semicolon-delimited, UTF-8 encoded, 56.9 KB).</w:t>
      </w:r>
    </w:p>
    <w:p>
      <w:pPr>
        <w:pStyle w:val="ListBullet"/>
        <w:spacing w:before="0" w:after="60" w:line="276" w:lineRule="auto"/>
      </w:pPr>
      <w:r>
        <w:rPr>
          <w:rFonts w:ascii="Calibri" w:hAnsi="Calibri"/>
          <w:b/>
          <w:color w:val="262626"/>
          <w:sz w:val="21"/>
        </w:rPr>
        <w:t xml:space="preserve">Instance Count: </w:t>
      </w:r>
      <w:r>
        <w:rPr>
          <w:rFonts w:ascii="Calibri" w:hAnsi="Calibri"/>
          <w:color w:val="262626"/>
          <w:sz w:val="21"/>
        </w:rPr>
        <w:t>395 individual student records.</w:t>
      </w:r>
    </w:p>
    <w:p>
      <w:pPr>
        <w:pStyle w:val="ListBullet"/>
        <w:spacing w:before="0" w:after="60" w:line="276" w:lineRule="auto"/>
      </w:pPr>
      <w:r>
        <w:rPr>
          <w:rFonts w:ascii="Calibri" w:hAnsi="Calibri"/>
          <w:b/>
          <w:color w:val="262626"/>
          <w:sz w:val="21"/>
        </w:rPr>
        <w:t xml:space="preserve">Attribute Count: </w:t>
      </w:r>
      <w:r>
        <w:rPr>
          <w:rFonts w:ascii="Calibri" w:hAnsi="Calibri"/>
          <w:color w:val="262626"/>
          <w:sz w:val="21"/>
        </w:rPr>
        <w:t>33 original features (16 integer features, 17 categorical/object features).</w:t>
      </w:r>
    </w:p>
    <w:p>
      <w:pPr>
        <w:pStyle w:val="ListBullet"/>
        <w:spacing w:before="0" w:after="60" w:line="276" w:lineRule="auto"/>
      </w:pPr>
      <w:r>
        <w:rPr>
          <w:rFonts w:ascii="Calibri" w:hAnsi="Calibri"/>
          <w:b/>
          <w:color w:val="262626"/>
          <w:sz w:val="21"/>
        </w:rPr>
        <w:t xml:space="preserve">Target Metric: </w:t>
      </w:r>
      <w:r>
        <w:rPr>
          <w:rFonts w:ascii="Calibri" w:hAnsi="Calibri"/>
          <w:color w:val="262626"/>
          <w:sz w:val="21"/>
        </w:rPr>
        <w:t>G3 (Final Mathematics Grade, continuous integer scale 0–20). Supporting periods include G1 (first period) and G2 (second period).</w:t>
      </w:r>
    </w:p>
    <w:p>
      <w:pPr>
        <w:pStyle w:val="Heading2"/>
        <w:keepNext/>
        <w:spacing w:before="240" w:after="80"/>
      </w:pPr>
      <w:r>
        <w:rPr>
          <w:rFonts w:ascii="Calibri" w:hAnsi="Calibri"/>
          <w:b/>
          <w:color w:val="C24B0A"/>
          <w:sz w:val="24"/>
        </w:rPr>
        <w:t>Sample Raw Data Snapshot (Key Attributes)</w:t>
      </w:r>
    </w:p>
    <w:tbl>
      <w:tblPr>
        <w:tblW w:type="auto" w:w="0"/>
        <w:jc w:val="center"/>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E79"/>
            <w:tcMar>
              <w:top w:w="120" w:type="dxa"/>
              <w:bottom w:w="120" w:type="dxa"/>
              <w:left w:w="120" w:type="dxa"/>
              <w:right w:w="120" w:type="dxa"/>
            </w:tcMar>
          </w:tcPr>
          <w:p>
            <w:pPr>
              <w:jc w:val="center"/>
            </w:pPr>
            <w:r>
              <w:rPr>
                <w:rFonts w:ascii="Calibri" w:hAnsi="Calibri"/>
                <w:b/>
                <w:color w:val="FFFFFF"/>
                <w:sz w:val="19"/>
              </w:rPr>
              <w:t>school</w:t>
            </w:r>
          </w:p>
        </w:tc>
        <w:tc>
          <w:tcPr>
            <w:tcW w:type="dxa" w:w="1120"/>
            <w:shd w:fill="1F4E79"/>
            <w:tcMar>
              <w:top w:w="120" w:type="dxa"/>
              <w:bottom w:w="120" w:type="dxa"/>
              <w:left w:w="120" w:type="dxa"/>
              <w:right w:w="120" w:type="dxa"/>
            </w:tcMar>
          </w:tcPr>
          <w:p>
            <w:pPr>
              <w:jc w:val="center"/>
            </w:pPr>
            <w:r>
              <w:rPr>
                <w:rFonts w:ascii="Calibri" w:hAnsi="Calibri"/>
                <w:b/>
                <w:color w:val="FFFFFF"/>
                <w:sz w:val="19"/>
              </w:rPr>
              <w:t>sex</w:t>
            </w:r>
          </w:p>
        </w:tc>
        <w:tc>
          <w:tcPr>
            <w:tcW w:type="dxa" w:w="1120"/>
            <w:shd w:fill="1F4E79"/>
            <w:tcMar>
              <w:top w:w="120" w:type="dxa"/>
              <w:bottom w:w="120" w:type="dxa"/>
              <w:left w:w="120" w:type="dxa"/>
              <w:right w:w="120" w:type="dxa"/>
            </w:tcMar>
          </w:tcPr>
          <w:p>
            <w:pPr>
              <w:jc w:val="center"/>
            </w:pPr>
            <w:r>
              <w:rPr>
                <w:rFonts w:ascii="Calibri" w:hAnsi="Calibri"/>
                <w:b/>
                <w:color w:val="FFFFFF"/>
                <w:sz w:val="19"/>
              </w:rPr>
              <w:t>age</w:t>
            </w:r>
          </w:p>
        </w:tc>
        <w:tc>
          <w:tcPr>
            <w:tcW w:type="dxa" w:w="1120"/>
            <w:shd w:fill="1F4E79"/>
            <w:tcMar>
              <w:top w:w="120" w:type="dxa"/>
              <w:bottom w:w="120" w:type="dxa"/>
              <w:left w:w="120" w:type="dxa"/>
              <w:right w:w="120" w:type="dxa"/>
            </w:tcMar>
          </w:tcPr>
          <w:p>
            <w:pPr>
              <w:jc w:val="center"/>
            </w:pPr>
            <w:r>
              <w:rPr>
                <w:rFonts w:ascii="Calibri" w:hAnsi="Calibri"/>
                <w:b/>
                <w:color w:val="FFFFFF"/>
                <w:sz w:val="19"/>
              </w:rPr>
              <w:t>studytime</w:t>
            </w:r>
          </w:p>
        </w:tc>
        <w:tc>
          <w:tcPr>
            <w:tcW w:type="dxa" w:w="1120"/>
            <w:shd w:fill="1F4E79"/>
            <w:tcMar>
              <w:top w:w="120" w:type="dxa"/>
              <w:bottom w:w="120" w:type="dxa"/>
              <w:left w:w="120" w:type="dxa"/>
              <w:right w:w="120" w:type="dxa"/>
            </w:tcMar>
          </w:tcPr>
          <w:p>
            <w:pPr>
              <w:jc w:val="center"/>
            </w:pPr>
            <w:r>
              <w:rPr>
                <w:rFonts w:ascii="Calibri" w:hAnsi="Calibri"/>
                <w:b/>
                <w:color w:val="FFFFFF"/>
                <w:sz w:val="19"/>
              </w:rPr>
              <w:t>failures</w:t>
            </w:r>
          </w:p>
        </w:tc>
        <w:tc>
          <w:tcPr>
            <w:tcW w:type="dxa" w:w="1120"/>
            <w:shd w:fill="1F4E79"/>
            <w:tcMar>
              <w:top w:w="120" w:type="dxa"/>
              <w:bottom w:w="120" w:type="dxa"/>
              <w:left w:w="120" w:type="dxa"/>
              <w:right w:w="120" w:type="dxa"/>
            </w:tcMar>
          </w:tcPr>
          <w:p>
            <w:pPr>
              <w:jc w:val="center"/>
            </w:pPr>
            <w:r>
              <w:rPr>
                <w:rFonts w:ascii="Calibri" w:hAnsi="Calibri"/>
                <w:b/>
                <w:color w:val="FFFFFF"/>
                <w:sz w:val="19"/>
              </w:rPr>
              <w:t>absences</w:t>
            </w:r>
          </w:p>
        </w:tc>
        <w:tc>
          <w:tcPr>
            <w:tcW w:type="dxa" w:w="1120"/>
            <w:shd w:fill="1F4E79"/>
            <w:tcMar>
              <w:top w:w="120" w:type="dxa"/>
              <w:bottom w:w="120" w:type="dxa"/>
              <w:left w:w="120" w:type="dxa"/>
              <w:right w:w="120" w:type="dxa"/>
            </w:tcMar>
          </w:tcPr>
          <w:p>
            <w:pPr>
              <w:jc w:val="center"/>
            </w:pPr>
            <w:r>
              <w:rPr>
                <w:rFonts w:ascii="Calibri" w:hAnsi="Calibri"/>
                <w:b/>
                <w:color w:val="FFFFFF"/>
                <w:sz w:val="19"/>
              </w:rPr>
              <w:t>G1</w:t>
            </w:r>
          </w:p>
        </w:tc>
        <w:tc>
          <w:tcPr>
            <w:tcW w:type="dxa" w:w="1120"/>
            <w:shd w:fill="1F4E79"/>
            <w:tcMar>
              <w:top w:w="120" w:type="dxa"/>
              <w:bottom w:w="120" w:type="dxa"/>
              <w:left w:w="120" w:type="dxa"/>
              <w:right w:w="120" w:type="dxa"/>
            </w:tcMar>
          </w:tcPr>
          <w:p>
            <w:pPr>
              <w:jc w:val="center"/>
            </w:pPr>
            <w:r>
              <w:rPr>
                <w:rFonts w:ascii="Calibri" w:hAnsi="Calibri"/>
                <w:b/>
                <w:color w:val="FFFFFF"/>
                <w:sz w:val="19"/>
              </w:rPr>
              <w:t>G2</w:t>
            </w:r>
          </w:p>
        </w:tc>
        <w:tc>
          <w:tcPr>
            <w:tcW w:type="dxa" w:w="1120"/>
            <w:shd w:fill="1F4E79"/>
            <w:tcMar>
              <w:top w:w="120" w:type="dxa"/>
              <w:bottom w:w="120" w:type="dxa"/>
              <w:left w:w="120" w:type="dxa"/>
              <w:right w:w="120" w:type="dxa"/>
            </w:tcMar>
          </w:tcPr>
          <w:p>
            <w:pPr>
              <w:jc w:val="center"/>
            </w:pPr>
            <w:r>
              <w:rPr>
                <w:rFonts w:ascii="Calibri" w:hAnsi="Calibri"/>
                <w:b/>
                <w:color w:val="FFFFFF"/>
                <w:sz w:val="19"/>
              </w:rPr>
              <w:t>G3</w:t>
            </w:r>
          </w:p>
        </w:tc>
      </w:tr>
      <w:tr>
        <w:tc>
          <w:tcPr>
            <w:tcW w:type="dxa" w:w="1120"/>
            <w:shd w:fill="FFFFFF"/>
            <w:tcMar>
              <w:top w:w="80" w:type="dxa"/>
              <w:bottom w:w="80" w:type="dxa"/>
              <w:left w:w="100" w:type="dxa"/>
              <w:right w:w="100" w:type="dxa"/>
            </w:tcMar>
          </w:tcPr>
          <w:p>
            <w:pPr>
              <w:jc w:val="center"/>
            </w:pPr>
            <w:r>
              <w:rPr>
                <w:rFonts w:ascii="Calibri" w:hAnsi="Calibri"/>
                <w:color w:val="262626"/>
                <w:sz w:val="18"/>
              </w:rPr>
              <w:t>GP</w:t>
            </w:r>
          </w:p>
        </w:tc>
        <w:tc>
          <w:tcPr>
            <w:tcW w:type="dxa" w:w="1120"/>
            <w:shd w:fill="FFFFFF"/>
            <w:tcMar>
              <w:top w:w="80" w:type="dxa"/>
              <w:bottom w:w="80" w:type="dxa"/>
              <w:left w:w="100" w:type="dxa"/>
              <w:right w:w="100" w:type="dxa"/>
            </w:tcMar>
          </w:tcPr>
          <w:p>
            <w:pPr>
              <w:jc w:val="center"/>
            </w:pPr>
            <w:r>
              <w:rPr>
                <w:rFonts w:ascii="Calibri" w:hAnsi="Calibri"/>
                <w:color w:val="262626"/>
                <w:sz w:val="18"/>
              </w:rPr>
              <w:t>F</w:t>
            </w:r>
          </w:p>
        </w:tc>
        <w:tc>
          <w:tcPr>
            <w:tcW w:type="dxa" w:w="1120"/>
            <w:shd w:fill="FFFFFF"/>
            <w:tcMar>
              <w:top w:w="80" w:type="dxa"/>
              <w:bottom w:w="80" w:type="dxa"/>
              <w:left w:w="100" w:type="dxa"/>
              <w:right w:w="100" w:type="dxa"/>
            </w:tcMar>
          </w:tcPr>
          <w:p>
            <w:pPr>
              <w:jc w:val="center"/>
            </w:pPr>
            <w:r>
              <w:rPr>
                <w:rFonts w:ascii="Calibri" w:hAnsi="Calibri"/>
                <w:color w:val="262626"/>
                <w:sz w:val="18"/>
              </w:rPr>
              <w:t>18</w:t>
            </w:r>
          </w:p>
        </w:tc>
        <w:tc>
          <w:tcPr>
            <w:tcW w:type="dxa" w:w="1120"/>
            <w:shd w:fill="FFFFFF"/>
            <w:tcMar>
              <w:top w:w="80" w:type="dxa"/>
              <w:bottom w:w="80" w:type="dxa"/>
              <w:left w:w="100" w:type="dxa"/>
              <w:right w:w="100" w:type="dxa"/>
            </w:tcMar>
          </w:tcPr>
          <w:p>
            <w:pPr>
              <w:jc w:val="center"/>
            </w:pPr>
            <w:r>
              <w:rPr>
                <w:rFonts w:ascii="Calibri" w:hAnsi="Calibri"/>
                <w:color w:val="262626"/>
                <w:sz w:val="18"/>
              </w:rPr>
              <w:t>2</w:t>
            </w:r>
          </w:p>
        </w:tc>
        <w:tc>
          <w:tcPr>
            <w:tcW w:type="dxa" w:w="1120"/>
            <w:shd w:fill="FFFFFF"/>
            <w:tcMar>
              <w:top w:w="80" w:type="dxa"/>
              <w:bottom w:w="80" w:type="dxa"/>
              <w:left w:w="100" w:type="dxa"/>
              <w:right w:w="100" w:type="dxa"/>
            </w:tcMar>
          </w:tcPr>
          <w:p>
            <w:pPr>
              <w:jc w:val="center"/>
            </w:pPr>
            <w:r>
              <w:rPr>
                <w:rFonts w:ascii="Calibri" w:hAnsi="Calibri"/>
                <w:color w:val="262626"/>
                <w:sz w:val="18"/>
              </w:rPr>
              <w:t>0</w:t>
            </w:r>
          </w:p>
        </w:tc>
        <w:tc>
          <w:tcPr>
            <w:tcW w:type="dxa" w:w="1120"/>
            <w:shd w:fill="FFFFFF"/>
            <w:tcMar>
              <w:top w:w="80" w:type="dxa"/>
              <w:bottom w:w="80" w:type="dxa"/>
              <w:left w:w="100" w:type="dxa"/>
              <w:right w:w="100" w:type="dxa"/>
            </w:tcMar>
          </w:tcPr>
          <w:p>
            <w:pPr>
              <w:jc w:val="center"/>
            </w:pPr>
            <w:r>
              <w:rPr>
                <w:rFonts w:ascii="Calibri" w:hAnsi="Calibri"/>
                <w:color w:val="262626"/>
                <w:sz w:val="18"/>
              </w:rPr>
              <w:t>6</w:t>
            </w:r>
          </w:p>
        </w:tc>
        <w:tc>
          <w:tcPr>
            <w:tcW w:type="dxa" w:w="1120"/>
            <w:shd w:fill="FFFFFF"/>
            <w:tcMar>
              <w:top w:w="80" w:type="dxa"/>
              <w:bottom w:w="80" w:type="dxa"/>
              <w:left w:w="100" w:type="dxa"/>
              <w:right w:w="100" w:type="dxa"/>
            </w:tcMar>
          </w:tcPr>
          <w:p>
            <w:pPr>
              <w:jc w:val="center"/>
            </w:pPr>
            <w:r>
              <w:rPr>
                <w:rFonts w:ascii="Calibri" w:hAnsi="Calibri"/>
                <w:color w:val="262626"/>
                <w:sz w:val="18"/>
              </w:rPr>
              <w:t>5</w:t>
            </w:r>
          </w:p>
        </w:tc>
        <w:tc>
          <w:tcPr>
            <w:tcW w:type="dxa" w:w="1120"/>
            <w:shd w:fill="FFFFFF"/>
            <w:tcMar>
              <w:top w:w="80" w:type="dxa"/>
              <w:bottom w:w="80" w:type="dxa"/>
              <w:left w:w="100" w:type="dxa"/>
              <w:right w:w="100" w:type="dxa"/>
            </w:tcMar>
          </w:tcPr>
          <w:p>
            <w:pPr>
              <w:jc w:val="center"/>
            </w:pPr>
            <w:r>
              <w:rPr>
                <w:rFonts w:ascii="Calibri" w:hAnsi="Calibri"/>
                <w:color w:val="262626"/>
                <w:sz w:val="18"/>
              </w:rPr>
              <w:t>6</w:t>
            </w:r>
          </w:p>
        </w:tc>
        <w:tc>
          <w:tcPr>
            <w:tcW w:type="dxa" w:w="1120"/>
            <w:shd w:fill="FFFFFF"/>
            <w:tcMar>
              <w:top w:w="80" w:type="dxa"/>
              <w:bottom w:w="80" w:type="dxa"/>
              <w:left w:w="100" w:type="dxa"/>
              <w:right w:w="100" w:type="dxa"/>
            </w:tcMar>
          </w:tcPr>
          <w:p>
            <w:pPr>
              <w:jc w:val="center"/>
            </w:pPr>
            <w:r>
              <w:rPr>
                <w:rFonts w:ascii="Calibri" w:hAnsi="Calibri"/>
                <w:color w:val="262626"/>
                <w:sz w:val="18"/>
              </w:rPr>
              <w:t>6</w:t>
            </w:r>
          </w:p>
        </w:tc>
      </w:tr>
      <w:tr>
        <w:tc>
          <w:tcPr>
            <w:tcW w:type="dxa" w:w="1120"/>
            <w:shd w:fill="F2F4F7"/>
            <w:tcMar>
              <w:top w:w="80" w:type="dxa"/>
              <w:bottom w:w="80" w:type="dxa"/>
              <w:left w:w="100" w:type="dxa"/>
              <w:right w:w="100" w:type="dxa"/>
            </w:tcMar>
          </w:tcPr>
          <w:p>
            <w:pPr>
              <w:jc w:val="center"/>
            </w:pPr>
            <w:r>
              <w:rPr>
                <w:rFonts w:ascii="Calibri" w:hAnsi="Calibri"/>
                <w:color w:val="262626"/>
                <w:sz w:val="18"/>
              </w:rPr>
              <w:t>GP</w:t>
            </w:r>
          </w:p>
        </w:tc>
        <w:tc>
          <w:tcPr>
            <w:tcW w:type="dxa" w:w="1120"/>
            <w:shd w:fill="F2F4F7"/>
            <w:tcMar>
              <w:top w:w="80" w:type="dxa"/>
              <w:bottom w:w="80" w:type="dxa"/>
              <w:left w:w="100" w:type="dxa"/>
              <w:right w:w="100" w:type="dxa"/>
            </w:tcMar>
          </w:tcPr>
          <w:p>
            <w:pPr>
              <w:jc w:val="center"/>
            </w:pPr>
            <w:r>
              <w:rPr>
                <w:rFonts w:ascii="Calibri" w:hAnsi="Calibri"/>
                <w:color w:val="262626"/>
                <w:sz w:val="18"/>
              </w:rPr>
              <w:t>F</w:t>
            </w:r>
          </w:p>
        </w:tc>
        <w:tc>
          <w:tcPr>
            <w:tcW w:type="dxa" w:w="1120"/>
            <w:shd w:fill="F2F4F7"/>
            <w:tcMar>
              <w:top w:w="80" w:type="dxa"/>
              <w:bottom w:w="80" w:type="dxa"/>
              <w:left w:w="100" w:type="dxa"/>
              <w:right w:w="100" w:type="dxa"/>
            </w:tcMar>
          </w:tcPr>
          <w:p>
            <w:pPr>
              <w:jc w:val="center"/>
            </w:pPr>
            <w:r>
              <w:rPr>
                <w:rFonts w:ascii="Calibri" w:hAnsi="Calibri"/>
                <w:color w:val="262626"/>
                <w:sz w:val="18"/>
              </w:rPr>
              <w:t>17</w:t>
            </w:r>
          </w:p>
        </w:tc>
        <w:tc>
          <w:tcPr>
            <w:tcW w:type="dxa" w:w="1120"/>
            <w:shd w:fill="F2F4F7"/>
            <w:tcMar>
              <w:top w:w="80" w:type="dxa"/>
              <w:bottom w:w="80" w:type="dxa"/>
              <w:left w:w="100" w:type="dxa"/>
              <w:right w:w="100" w:type="dxa"/>
            </w:tcMar>
          </w:tcPr>
          <w:p>
            <w:pPr>
              <w:jc w:val="center"/>
            </w:pPr>
            <w:r>
              <w:rPr>
                <w:rFonts w:ascii="Calibri" w:hAnsi="Calibri"/>
                <w:color w:val="262626"/>
                <w:sz w:val="18"/>
              </w:rPr>
              <w:t>2</w:t>
            </w:r>
          </w:p>
        </w:tc>
        <w:tc>
          <w:tcPr>
            <w:tcW w:type="dxa" w:w="1120"/>
            <w:shd w:fill="F2F4F7"/>
            <w:tcMar>
              <w:top w:w="80" w:type="dxa"/>
              <w:bottom w:w="80" w:type="dxa"/>
              <w:left w:w="100" w:type="dxa"/>
              <w:right w:w="100" w:type="dxa"/>
            </w:tcMar>
          </w:tcPr>
          <w:p>
            <w:pPr>
              <w:jc w:val="center"/>
            </w:pPr>
            <w:r>
              <w:rPr>
                <w:rFonts w:ascii="Calibri" w:hAnsi="Calibri"/>
                <w:color w:val="262626"/>
                <w:sz w:val="18"/>
              </w:rPr>
              <w:t>0</w:t>
            </w:r>
          </w:p>
        </w:tc>
        <w:tc>
          <w:tcPr>
            <w:tcW w:type="dxa" w:w="1120"/>
            <w:shd w:fill="F2F4F7"/>
            <w:tcMar>
              <w:top w:w="80" w:type="dxa"/>
              <w:bottom w:w="80" w:type="dxa"/>
              <w:left w:w="100" w:type="dxa"/>
              <w:right w:w="100" w:type="dxa"/>
            </w:tcMar>
          </w:tcPr>
          <w:p>
            <w:pPr>
              <w:jc w:val="center"/>
            </w:pPr>
            <w:r>
              <w:rPr>
                <w:rFonts w:ascii="Calibri" w:hAnsi="Calibri"/>
                <w:color w:val="262626"/>
                <w:sz w:val="18"/>
              </w:rPr>
              <w:t>4</w:t>
            </w:r>
          </w:p>
        </w:tc>
        <w:tc>
          <w:tcPr>
            <w:tcW w:type="dxa" w:w="1120"/>
            <w:shd w:fill="F2F4F7"/>
            <w:tcMar>
              <w:top w:w="80" w:type="dxa"/>
              <w:bottom w:w="80" w:type="dxa"/>
              <w:left w:w="100" w:type="dxa"/>
              <w:right w:w="100" w:type="dxa"/>
            </w:tcMar>
          </w:tcPr>
          <w:p>
            <w:pPr>
              <w:jc w:val="center"/>
            </w:pPr>
            <w:r>
              <w:rPr>
                <w:rFonts w:ascii="Calibri" w:hAnsi="Calibri"/>
                <w:color w:val="262626"/>
                <w:sz w:val="18"/>
              </w:rPr>
              <w:t>5</w:t>
            </w:r>
          </w:p>
        </w:tc>
        <w:tc>
          <w:tcPr>
            <w:tcW w:type="dxa" w:w="1120"/>
            <w:shd w:fill="F2F4F7"/>
            <w:tcMar>
              <w:top w:w="80" w:type="dxa"/>
              <w:bottom w:w="80" w:type="dxa"/>
              <w:left w:w="100" w:type="dxa"/>
              <w:right w:w="100" w:type="dxa"/>
            </w:tcMar>
          </w:tcPr>
          <w:p>
            <w:pPr>
              <w:jc w:val="center"/>
            </w:pPr>
            <w:r>
              <w:rPr>
                <w:rFonts w:ascii="Calibri" w:hAnsi="Calibri"/>
                <w:color w:val="262626"/>
                <w:sz w:val="18"/>
              </w:rPr>
              <w:t>5</w:t>
            </w:r>
          </w:p>
        </w:tc>
        <w:tc>
          <w:tcPr>
            <w:tcW w:type="dxa" w:w="1120"/>
            <w:shd w:fill="F2F4F7"/>
            <w:tcMar>
              <w:top w:w="80" w:type="dxa"/>
              <w:bottom w:w="80" w:type="dxa"/>
              <w:left w:w="100" w:type="dxa"/>
              <w:right w:w="100" w:type="dxa"/>
            </w:tcMar>
          </w:tcPr>
          <w:p>
            <w:pPr>
              <w:jc w:val="center"/>
            </w:pPr>
            <w:r>
              <w:rPr>
                <w:rFonts w:ascii="Calibri" w:hAnsi="Calibri"/>
                <w:color w:val="262626"/>
                <w:sz w:val="18"/>
              </w:rPr>
              <w:t>6</w:t>
            </w:r>
          </w:p>
        </w:tc>
      </w:tr>
      <w:tr>
        <w:tc>
          <w:tcPr>
            <w:tcW w:type="dxa" w:w="1120"/>
            <w:shd w:fill="FFFFFF"/>
            <w:tcMar>
              <w:top w:w="80" w:type="dxa"/>
              <w:bottom w:w="80" w:type="dxa"/>
              <w:left w:w="100" w:type="dxa"/>
              <w:right w:w="100" w:type="dxa"/>
            </w:tcMar>
          </w:tcPr>
          <w:p>
            <w:pPr>
              <w:jc w:val="center"/>
            </w:pPr>
            <w:r>
              <w:rPr>
                <w:rFonts w:ascii="Calibri" w:hAnsi="Calibri"/>
                <w:color w:val="262626"/>
                <w:sz w:val="18"/>
              </w:rPr>
              <w:t>GP</w:t>
            </w:r>
          </w:p>
        </w:tc>
        <w:tc>
          <w:tcPr>
            <w:tcW w:type="dxa" w:w="1120"/>
            <w:shd w:fill="FFFFFF"/>
            <w:tcMar>
              <w:top w:w="80" w:type="dxa"/>
              <w:bottom w:w="80" w:type="dxa"/>
              <w:left w:w="100" w:type="dxa"/>
              <w:right w:w="100" w:type="dxa"/>
            </w:tcMar>
          </w:tcPr>
          <w:p>
            <w:pPr>
              <w:jc w:val="center"/>
            </w:pPr>
            <w:r>
              <w:rPr>
                <w:rFonts w:ascii="Calibri" w:hAnsi="Calibri"/>
                <w:color w:val="262626"/>
                <w:sz w:val="18"/>
              </w:rPr>
              <w:t>F</w:t>
            </w:r>
          </w:p>
        </w:tc>
        <w:tc>
          <w:tcPr>
            <w:tcW w:type="dxa" w:w="1120"/>
            <w:shd w:fill="FFFFFF"/>
            <w:tcMar>
              <w:top w:w="80" w:type="dxa"/>
              <w:bottom w:w="80" w:type="dxa"/>
              <w:left w:w="100" w:type="dxa"/>
              <w:right w:w="100" w:type="dxa"/>
            </w:tcMar>
          </w:tcPr>
          <w:p>
            <w:pPr>
              <w:jc w:val="center"/>
            </w:pPr>
            <w:r>
              <w:rPr>
                <w:rFonts w:ascii="Calibri" w:hAnsi="Calibri"/>
                <w:color w:val="262626"/>
                <w:sz w:val="18"/>
              </w:rPr>
              <w:t>15</w:t>
            </w:r>
          </w:p>
        </w:tc>
        <w:tc>
          <w:tcPr>
            <w:tcW w:type="dxa" w:w="1120"/>
            <w:shd w:fill="FFFFFF"/>
            <w:tcMar>
              <w:top w:w="80" w:type="dxa"/>
              <w:bottom w:w="80" w:type="dxa"/>
              <w:left w:w="100" w:type="dxa"/>
              <w:right w:w="100" w:type="dxa"/>
            </w:tcMar>
          </w:tcPr>
          <w:p>
            <w:pPr>
              <w:jc w:val="center"/>
            </w:pPr>
            <w:r>
              <w:rPr>
                <w:rFonts w:ascii="Calibri" w:hAnsi="Calibri"/>
                <w:color w:val="262626"/>
                <w:sz w:val="18"/>
              </w:rPr>
              <w:t>2</w:t>
            </w:r>
          </w:p>
        </w:tc>
        <w:tc>
          <w:tcPr>
            <w:tcW w:type="dxa" w:w="1120"/>
            <w:shd w:fill="FFFFFF"/>
            <w:tcMar>
              <w:top w:w="80" w:type="dxa"/>
              <w:bottom w:w="80" w:type="dxa"/>
              <w:left w:w="100" w:type="dxa"/>
              <w:right w:w="100" w:type="dxa"/>
            </w:tcMar>
          </w:tcPr>
          <w:p>
            <w:pPr>
              <w:jc w:val="center"/>
            </w:pPr>
            <w:r>
              <w:rPr>
                <w:rFonts w:ascii="Calibri" w:hAnsi="Calibri"/>
                <w:color w:val="262626"/>
                <w:sz w:val="18"/>
              </w:rPr>
              <w:t>3</w:t>
            </w:r>
          </w:p>
        </w:tc>
        <w:tc>
          <w:tcPr>
            <w:tcW w:type="dxa" w:w="1120"/>
            <w:shd w:fill="FFFFFF"/>
            <w:tcMar>
              <w:top w:w="80" w:type="dxa"/>
              <w:bottom w:w="80" w:type="dxa"/>
              <w:left w:w="100" w:type="dxa"/>
              <w:right w:w="100" w:type="dxa"/>
            </w:tcMar>
          </w:tcPr>
          <w:p>
            <w:pPr>
              <w:jc w:val="center"/>
            </w:pPr>
            <w:r>
              <w:rPr>
                <w:rFonts w:ascii="Calibri" w:hAnsi="Calibri"/>
                <w:color w:val="262626"/>
                <w:sz w:val="18"/>
              </w:rPr>
              <w:t>10</w:t>
            </w:r>
          </w:p>
        </w:tc>
        <w:tc>
          <w:tcPr>
            <w:tcW w:type="dxa" w:w="1120"/>
            <w:shd w:fill="FFFFFF"/>
            <w:tcMar>
              <w:top w:w="80" w:type="dxa"/>
              <w:bottom w:w="80" w:type="dxa"/>
              <w:left w:w="100" w:type="dxa"/>
              <w:right w:w="100" w:type="dxa"/>
            </w:tcMar>
          </w:tcPr>
          <w:p>
            <w:pPr>
              <w:jc w:val="center"/>
            </w:pPr>
            <w:r>
              <w:rPr>
                <w:rFonts w:ascii="Calibri" w:hAnsi="Calibri"/>
                <w:color w:val="262626"/>
                <w:sz w:val="18"/>
              </w:rPr>
              <w:t>7</w:t>
            </w:r>
          </w:p>
        </w:tc>
        <w:tc>
          <w:tcPr>
            <w:tcW w:type="dxa" w:w="1120"/>
            <w:shd w:fill="FFFFFF"/>
            <w:tcMar>
              <w:top w:w="80" w:type="dxa"/>
              <w:bottom w:w="80" w:type="dxa"/>
              <w:left w:w="100" w:type="dxa"/>
              <w:right w:w="100" w:type="dxa"/>
            </w:tcMar>
          </w:tcPr>
          <w:p>
            <w:pPr>
              <w:jc w:val="center"/>
            </w:pPr>
            <w:r>
              <w:rPr>
                <w:rFonts w:ascii="Calibri" w:hAnsi="Calibri"/>
                <w:color w:val="262626"/>
                <w:sz w:val="18"/>
              </w:rPr>
              <w:t>8</w:t>
            </w:r>
          </w:p>
        </w:tc>
        <w:tc>
          <w:tcPr>
            <w:tcW w:type="dxa" w:w="1120"/>
            <w:shd w:fill="FFFFFF"/>
            <w:tcMar>
              <w:top w:w="80" w:type="dxa"/>
              <w:bottom w:w="80" w:type="dxa"/>
              <w:left w:w="100" w:type="dxa"/>
              <w:right w:w="100" w:type="dxa"/>
            </w:tcMar>
          </w:tcPr>
          <w:p>
            <w:pPr>
              <w:jc w:val="center"/>
            </w:pPr>
            <w:r>
              <w:rPr>
                <w:rFonts w:ascii="Calibri" w:hAnsi="Calibri"/>
                <w:color w:val="262626"/>
                <w:sz w:val="18"/>
              </w:rPr>
              <w:t>10</w:t>
            </w:r>
          </w:p>
        </w:tc>
      </w:tr>
      <w:tr>
        <w:tc>
          <w:tcPr>
            <w:tcW w:type="dxa" w:w="1120"/>
            <w:shd w:fill="F2F4F7"/>
            <w:tcMar>
              <w:top w:w="80" w:type="dxa"/>
              <w:bottom w:w="80" w:type="dxa"/>
              <w:left w:w="100" w:type="dxa"/>
              <w:right w:w="100" w:type="dxa"/>
            </w:tcMar>
          </w:tcPr>
          <w:p>
            <w:pPr>
              <w:jc w:val="center"/>
            </w:pPr>
            <w:r>
              <w:rPr>
                <w:rFonts w:ascii="Calibri" w:hAnsi="Calibri"/>
                <w:color w:val="262626"/>
                <w:sz w:val="18"/>
              </w:rPr>
              <w:t>GP</w:t>
            </w:r>
          </w:p>
        </w:tc>
        <w:tc>
          <w:tcPr>
            <w:tcW w:type="dxa" w:w="1120"/>
            <w:shd w:fill="F2F4F7"/>
            <w:tcMar>
              <w:top w:w="80" w:type="dxa"/>
              <w:bottom w:w="80" w:type="dxa"/>
              <w:left w:w="100" w:type="dxa"/>
              <w:right w:w="100" w:type="dxa"/>
            </w:tcMar>
          </w:tcPr>
          <w:p>
            <w:pPr>
              <w:jc w:val="center"/>
            </w:pPr>
            <w:r>
              <w:rPr>
                <w:rFonts w:ascii="Calibri" w:hAnsi="Calibri"/>
                <w:color w:val="262626"/>
                <w:sz w:val="18"/>
              </w:rPr>
              <w:t>F</w:t>
            </w:r>
          </w:p>
        </w:tc>
        <w:tc>
          <w:tcPr>
            <w:tcW w:type="dxa" w:w="1120"/>
            <w:shd w:fill="F2F4F7"/>
            <w:tcMar>
              <w:top w:w="80" w:type="dxa"/>
              <w:bottom w:w="80" w:type="dxa"/>
              <w:left w:w="100" w:type="dxa"/>
              <w:right w:w="100" w:type="dxa"/>
            </w:tcMar>
          </w:tcPr>
          <w:p>
            <w:pPr>
              <w:jc w:val="center"/>
            </w:pPr>
            <w:r>
              <w:rPr>
                <w:rFonts w:ascii="Calibri" w:hAnsi="Calibri"/>
                <w:color w:val="262626"/>
                <w:sz w:val="18"/>
              </w:rPr>
              <w:t>15</w:t>
            </w:r>
          </w:p>
        </w:tc>
        <w:tc>
          <w:tcPr>
            <w:tcW w:type="dxa" w:w="1120"/>
            <w:shd w:fill="F2F4F7"/>
            <w:tcMar>
              <w:top w:w="80" w:type="dxa"/>
              <w:bottom w:w="80" w:type="dxa"/>
              <w:left w:w="100" w:type="dxa"/>
              <w:right w:w="100" w:type="dxa"/>
            </w:tcMar>
          </w:tcPr>
          <w:p>
            <w:pPr>
              <w:jc w:val="center"/>
            </w:pPr>
            <w:r>
              <w:rPr>
                <w:rFonts w:ascii="Calibri" w:hAnsi="Calibri"/>
                <w:color w:val="262626"/>
                <w:sz w:val="18"/>
              </w:rPr>
              <w:t>3</w:t>
            </w:r>
          </w:p>
        </w:tc>
        <w:tc>
          <w:tcPr>
            <w:tcW w:type="dxa" w:w="1120"/>
            <w:shd w:fill="F2F4F7"/>
            <w:tcMar>
              <w:top w:w="80" w:type="dxa"/>
              <w:bottom w:w="80" w:type="dxa"/>
              <w:left w:w="100" w:type="dxa"/>
              <w:right w:w="100" w:type="dxa"/>
            </w:tcMar>
          </w:tcPr>
          <w:p>
            <w:pPr>
              <w:jc w:val="center"/>
            </w:pPr>
            <w:r>
              <w:rPr>
                <w:rFonts w:ascii="Calibri" w:hAnsi="Calibri"/>
                <w:color w:val="262626"/>
                <w:sz w:val="18"/>
              </w:rPr>
              <w:t>0</w:t>
            </w:r>
          </w:p>
        </w:tc>
        <w:tc>
          <w:tcPr>
            <w:tcW w:type="dxa" w:w="1120"/>
            <w:shd w:fill="F2F4F7"/>
            <w:tcMar>
              <w:top w:w="80" w:type="dxa"/>
              <w:bottom w:w="80" w:type="dxa"/>
              <w:left w:w="100" w:type="dxa"/>
              <w:right w:w="100" w:type="dxa"/>
            </w:tcMar>
          </w:tcPr>
          <w:p>
            <w:pPr>
              <w:jc w:val="center"/>
            </w:pPr>
            <w:r>
              <w:rPr>
                <w:rFonts w:ascii="Calibri" w:hAnsi="Calibri"/>
                <w:color w:val="262626"/>
                <w:sz w:val="18"/>
              </w:rPr>
              <w:t>2</w:t>
            </w:r>
          </w:p>
        </w:tc>
        <w:tc>
          <w:tcPr>
            <w:tcW w:type="dxa" w:w="1120"/>
            <w:shd w:fill="F2F4F7"/>
            <w:tcMar>
              <w:top w:w="80" w:type="dxa"/>
              <w:bottom w:w="80" w:type="dxa"/>
              <w:left w:w="100" w:type="dxa"/>
              <w:right w:w="100" w:type="dxa"/>
            </w:tcMar>
          </w:tcPr>
          <w:p>
            <w:pPr>
              <w:jc w:val="center"/>
            </w:pPr>
            <w:r>
              <w:rPr>
                <w:rFonts w:ascii="Calibri" w:hAnsi="Calibri"/>
                <w:color w:val="262626"/>
                <w:sz w:val="18"/>
              </w:rPr>
              <w:t>15</w:t>
            </w:r>
          </w:p>
        </w:tc>
        <w:tc>
          <w:tcPr>
            <w:tcW w:type="dxa" w:w="1120"/>
            <w:shd w:fill="F2F4F7"/>
            <w:tcMar>
              <w:top w:w="80" w:type="dxa"/>
              <w:bottom w:w="80" w:type="dxa"/>
              <w:left w:w="100" w:type="dxa"/>
              <w:right w:w="100" w:type="dxa"/>
            </w:tcMar>
          </w:tcPr>
          <w:p>
            <w:pPr>
              <w:jc w:val="center"/>
            </w:pPr>
            <w:r>
              <w:rPr>
                <w:rFonts w:ascii="Calibri" w:hAnsi="Calibri"/>
                <w:color w:val="262626"/>
                <w:sz w:val="18"/>
              </w:rPr>
              <w:t>14</w:t>
            </w:r>
          </w:p>
        </w:tc>
        <w:tc>
          <w:tcPr>
            <w:tcW w:type="dxa" w:w="1120"/>
            <w:shd w:fill="F2F4F7"/>
            <w:tcMar>
              <w:top w:w="80" w:type="dxa"/>
              <w:bottom w:w="80" w:type="dxa"/>
              <w:left w:w="100" w:type="dxa"/>
              <w:right w:w="100" w:type="dxa"/>
            </w:tcMar>
          </w:tcPr>
          <w:p>
            <w:pPr>
              <w:jc w:val="center"/>
            </w:pPr>
            <w:r>
              <w:rPr>
                <w:rFonts w:ascii="Calibri" w:hAnsi="Calibri"/>
                <w:color w:val="262626"/>
                <w:sz w:val="18"/>
              </w:rPr>
              <w:t>15</w:t>
            </w:r>
          </w:p>
        </w:tc>
      </w:tr>
      <w:tr>
        <w:tc>
          <w:tcPr>
            <w:tcW w:type="dxa" w:w="1120"/>
            <w:shd w:fill="FFFFFF"/>
            <w:tcMar>
              <w:top w:w="80" w:type="dxa"/>
              <w:bottom w:w="80" w:type="dxa"/>
              <w:left w:w="100" w:type="dxa"/>
              <w:right w:w="100" w:type="dxa"/>
            </w:tcMar>
          </w:tcPr>
          <w:p>
            <w:pPr>
              <w:jc w:val="center"/>
            </w:pPr>
            <w:r>
              <w:rPr>
                <w:rFonts w:ascii="Calibri" w:hAnsi="Calibri"/>
                <w:color w:val="262626"/>
                <w:sz w:val="18"/>
              </w:rPr>
              <w:t>GP</w:t>
            </w:r>
          </w:p>
        </w:tc>
        <w:tc>
          <w:tcPr>
            <w:tcW w:type="dxa" w:w="1120"/>
            <w:shd w:fill="FFFFFF"/>
            <w:tcMar>
              <w:top w:w="80" w:type="dxa"/>
              <w:bottom w:w="80" w:type="dxa"/>
              <w:left w:w="100" w:type="dxa"/>
              <w:right w:w="100" w:type="dxa"/>
            </w:tcMar>
          </w:tcPr>
          <w:p>
            <w:pPr>
              <w:jc w:val="center"/>
            </w:pPr>
            <w:r>
              <w:rPr>
                <w:rFonts w:ascii="Calibri" w:hAnsi="Calibri"/>
                <w:color w:val="262626"/>
                <w:sz w:val="18"/>
              </w:rPr>
              <w:t>F</w:t>
            </w:r>
          </w:p>
        </w:tc>
        <w:tc>
          <w:tcPr>
            <w:tcW w:type="dxa" w:w="1120"/>
            <w:shd w:fill="FFFFFF"/>
            <w:tcMar>
              <w:top w:w="80" w:type="dxa"/>
              <w:bottom w:w="80" w:type="dxa"/>
              <w:left w:w="100" w:type="dxa"/>
              <w:right w:w="100" w:type="dxa"/>
            </w:tcMar>
          </w:tcPr>
          <w:p>
            <w:pPr>
              <w:jc w:val="center"/>
            </w:pPr>
            <w:r>
              <w:rPr>
                <w:rFonts w:ascii="Calibri" w:hAnsi="Calibri"/>
                <w:color w:val="262626"/>
                <w:sz w:val="18"/>
              </w:rPr>
              <w:t>16</w:t>
            </w:r>
          </w:p>
        </w:tc>
        <w:tc>
          <w:tcPr>
            <w:tcW w:type="dxa" w:w="1120"/>
            <w:shd w:fill="FFFFFF"/>
            <w:tcMar>
              <w:top w:w="80" w:type="dxa"/>
              <w:bottom w:w="80" w:type="dxa"/>
              <w:left w:w="100" w:type="dxa"/>
              <w:right w:w="100" w:type="dxa"/>
            </w:tcMar>
          </w:tcPr>
          <w:p>
            <w:pPr>
              <w:jc w:val="center"/>
            </w:pPr>
            <w:r>
              <w:rPr>
                <w:rFonts w:ascii="Calibri" w:hAnsi="Calibri"/>
                <w:color w:val="262626"/>
                <w:sz w:val="18"/>
              </w:rPr>
              <w:t>2</w:t>
            </w:r>
          </w:p>
        </w:tc>
        <w:tc>
          <w:tcPr>
            <w:tcW w:type="dxa" w:w="1120"/>
            <w:shd w:fill="FFFFFF"/>
            <w:tcMar>
              <w:top w:w="80" w:type="dxa"/>
              <w:bottom w:w="80" w:type="dxa"/>
              <w:left w:w="100" w:type="dxa"/>
              <w:right w:w="100" w:type="dxa"/>
            </w:tcMar>
          </w:tcPr>
          <w:p>
            <w:pPr>
              <w:jc w:val="center"/>
            </w:pPr>
            <w:r>
              <w:rPr>
                <w:rFonts w:ascii="Calibri" w:hAnsi="Calibri"/>
                <w:color w:val="262626"/>
                <w:sz w:val="18"/>
              </w:rPr>
              <w:t>0</w:t>
            </w:r>
          </w:p>
        </w:tc>
        <w:tc>
          <w:tcPr>
            <w:tcW w:type="dxa" w:w="1120"/>
            <w:shd w:fill="FFFFFF"/>
            <w:tcMar>
              <w:top w:w="80" w:type="dxa"/>
              <w:bottom w:w="80" w:type="dxa"/>
              <w:left w:w="100" w:type="dxa"/>
              <w:right w:w="100" w:type="dxa"/>
            </w:tcMar>
          </w:tcPr>
          <w:p>
            <w:pPr>
              <w:jc w:val="center"/>
            </w:pPr>
            <w:r>
              <w:rPr>
                <w:rFonts w:ascii="Calibri" w:hAnsi="Calibri"/>
                <w:color w:val="262626"/>
                <w:sz w:val="18"/>
              </w:rPr>
              <w:t>4</w:t>
            </w:r>
          </w:p>
        </w:tc>
        <w:tc>
          <w:tcPr>
            <w:tcW w:type="dxa" w:w="1120"/>
            <w:shd w:fill="FFFFFF"/>
            <w:tcMar>
              <w:top w:w="80" w:type="dxa"/>
              <w:bottom w:w="80" w:type="dxa"/>
              <w:left w:w="100" w:type="dxa"/>
              <w:right w:w="100" w:type="dxa"/>
            </w:tcMar>
          </w:tcPr>
          <w:p>
            <w:pPr>
              <w:jc w:val="center"/>
            </w:pPr>
            <w:r>
              <w:rPr>
                <w:rFonts w:ascii="Calibri" w:hAnsi="Calibri"/>
                <w:color w:val="262626"/>
                <w:sz w:val="18"/>
              </w:rPr>
              <w:t>6</w:t>
            </w:r>
          </w:p>
        </w:tc>
        <w:tc>
          <w:tcPr>
            <w:tcW w:type="dxa" w:w="1120"/>
            <w:shd w:fill="FFFFFF"/>
            <w:tcMar>
              <w:top w:w="80" w:type="dxa"/>
              <w:bottom w:w="80" w:type="dxa"/>
              <w:left w:w="100" w:type="dxa"/>
              <w:right w:w="100" w:type="dxa"/>
            </w:tcMar>
          </w:tcPr>
          <w:p>
            <w:pPr>
              <w:jc w:val="center"/>
            </w:pPr>
            <w:r>
              <w:rPr>
                <w:rFonts w:ascii="Calibri" w:hAnsi="Calibri"/>
                <w:color w:val="262626"/>
                <w:sz w:val="18"/>
              </w:rPr>
              <w:t>10</w:t>
            </w:r>
          </w:p>
        </w:tc>
        <w:tc>
          <w:tcPr>
            <w:tcW w:type="dxa" w:w="1120"/>
            <w:shd w:fill="FFFFFF"/>
            <w:tcMar>
              <w:top w:w="80" w:type="dxa"/>
              <w:bottom w:w="80" w:type="dxa"/>
              <w:left w:w="100" w:type="dxa"/>
              <w:right w:w="100" w:type="dxa"/>
            </w:tcMar>
          </w:tcPr>
          <w:p>
            <w:pPr>
              <w:jc w:val="center"/>
            </w:pPr>
            <w:r>
              <w:rPr>
                <w:rFonts w:ascii="Calibri" w:hAnsi="Calibri"/>
                <w:color w:val="262626"/>
                <w:sz w:val="18"/>
              </w:rPr>
              <w:t>10</w:t>
            </w:r>
          </w:p>
        </w:tc>
      </w:tr>
    </w:tbl>
    <w:p>
      <w:pPr>
        <w:spacing w:before="80" w:after="120"/>
      </w:pPr>
    </w:p>
    <w:p>
      <w:pPr>
        <w:pStyle w:val="Heading1"/>
        <w:keepNext/>
        <w:spacing w:before="240" w:after="80"/>
      </w:pPr>
      <w:r>
        <w:rPr>
          <w:rFonts w:ascii="Calibri" w:hAnsi="Calibri"/>
          <w:b/>
          <w:color w:val="1F4E79"/>
          <w:sz w:val="28"/>
        </w:rPr>
        <w:t>4. Data Inspection and Health Audit</w:t>
      </w:r>
    </w:p>
    <w:p>
      <w:pPr>
        <w:spacing w:before="0" w:after="120" w:line="276" w:lineRule="auto"/>
      </w:pPr>
      <w:r>
        <w:rPr>
          <w:rFonts w:ascii="Calibri" w:hAnsi="Calibri"/>
          <w:color w:val="262626"/>
          <w:sz w:val="21"/>
        </w:rPr>
        <w:t>A comprehensive programmatic inspection was executed to assess data completeness, presence of corrupted records, and numerical anomalies before initiating transformation:</w:t>
      </w:r>
    </w:p>
    <w:p>
      <w:pPr>
        <w:pStyle w:val="ListBullet"/>
        <w:spacing w:before="0" w:after="60" w:line="276" w:lineRule="auto"/>
      </w:pPr>
      <w:r>
        <w:rPr>
          <w:rFonts w:ascii="Calibri" w:hAnsi="Calibri"/>
          <w:b/>
          <w:color w:val="262626"/>
          <w:sz w:val="21"/>
        </w:rPr>
        <w:t xml:space="preserve">Missing Values Audit: </w:t>
      </w:r>
      <w:r>
        <w:rPr>
          <w:rFonts w:ascii="Calibri" w:hAnsi="Calibri"/>
          <w:color w:val="262626"/>
          <w:sz w:val="21"/>
        </w:rPr>
        <w:t>0 missing values across all 33 columns (clean dataset with 100% attribute density). An automated fallback imputing numerical medians and categorical modes was embedded to ensure future pipeline resilience.</w:t>
      </w:r>
    </w:p>
    <w:p>
      <w:pPr>
        <w:pStyle w:val="ListBullet"/>
        <w:spacing w:before="0" w:after="60" w:line="276" w:lineRule="auto"/>
      </w:pPr>
      <w:r>
        <w:rPr>
          <w:rFonts w:ascii="Calibri" w:hAnsi="Calibri"/>
          <w:b/>
          <w:color w:val="262626"/>
          <w:sz w:val="21"/>
        </w:rPr>
        <w:t xml:space="preserve">Duplicate Records Audit: </w:t>
      </w:r>
      <w:r>
        <w:rPr>
          <w:rFonts w:ascii="Calibri" w:hAnsi="Calibri"/>
          <w:color w:val="262626"/>
          <w:sz w:val="21"/>
        </w:rPr>
        <w:t>0 duplicated rows detected across the 395 records. The integrity of individual observations is fully verified.</w:t>
      </w:r>
    </w:p>
    <w:p>
      <w:pPr>
        <w:pStyle w:val="ListBullet"/>
        <w:spacing w:before="0" w:after="60" w:line="276" w:lineRule="auto"/>
      </w:pPr>
      <w:r>
        <w:rPr>
          <w:rFonts w:ascii="Calibri" w:hAnsi="Calibri"/>
          <w:b/>
          <w:color w:val="262626"/>
          <w:sz w:val="21"/>
        </w:rPr>
        <w:t xml:space="preserve">Final Grade Distribution (G3): </w:t>
      </w:r>
      <w:r>
        <w:rPr>
          <w:rFonts w:ascii="Calibri" w:hAnsi="Calibri"/>
          <w:color w:val="262626"/>
          <w:sz w:val="21"/>
        </w:rPr>
        <w:t>Mean: 10.42 | Std: 4.58 | Median: 11.00 | Min: 0 | Max: 20 | 25th Percentile: 8.00 | 75th Percentile: 14.00.</w:t>
      </w:r>
    </w:p>
    <w:p>
      <w:pPr>
        <w:pStyle w:val="ListBullet"/>
        <w:spacing w:before="0" w:after="60" w:line="276" w:lineRule="auto"/>
      </w:pPr>
      <w:r>
        <w:rPr>
          <w:rFonts w:ascii="Calibri" w:hAnsi="Calibri"/>
          <w:b/>
          <w:color w:val="262626"/>
          <w:sz w:val="21"/>
        </w:rPr>
        <w:t xml:space="preserve">Academic Period Correlation: </w:t>
      </w:r>
      <w:r>
        <w:rPr>
          <w:rFonts w:ascii="Calibri" w:hAnsi="Calibri"/>
          <w:color w:val="262626"/>
          <w:sz w:val="21"/>
        </w:rPr>
        <w:t>Initial period grades G1 (mean: 10.91) and G2 (mean: 10.71) exhibit strong linear alignment with final performance G3.</w:t>
      </w:r>
    </w:p>
    <w:p>
      <w:pPr>
        <w:pStyle w:val="Heading1"/>
        <w:keepNext/>
        <w:spacing w:before="240" w:after="80"/>
      </w:pPr>
      <w:r>
        <w:rPr>
          <w:rFonts w:ascii="Calibri" w:hAnsi="Calibri"/>
          <w:b/>
          <w:color w:val="1F4E79"/>
          <w:sz w:val="28"/>
        </w:rPr>
        <w:t>5. Preprocessing &amp; Transformation Methodology</w:t>
      </w:r>
    </w:p>
    <w:p>
      <w:pPr>
        <w:pStyle w:val="ListBullet"/>
        <w:spacing w:before="0" w:after="60" w:line="276" w:lineRule="auto"/>
      </w:pPr>
      <w:r>
        <w:rPr>
          <w:rFonts w:ascii="Calibri" w:hAnsi="Calibri"/>
          <w:b/>
          <w:color w:val="262626"/>
          <w:sz w:val="21"/>
        </w:rPr>
        <w:t xml:space="preserve">1. Delimiter-Aware Ingestion: </w:t>
      </w:r>
      <w:r>
        <w:rPr>
          <w:rFonts w:ascii="Calibri" w:hAnsi="Calibri"/>
          <w:color w:val="262626"/>
          <w:sz w:val="21"/>
        </w:rPr>
        <w:t>Read student-mat.csv utilizing sep=';' to avoid column merging, followed by path resolution using pathlib.Path.</w:t>
      </w:r>
    </w:p>
    <w:p>
      <w:pPr>
        <w:pStyle w:val="ListBullet"/>
        <w:spacing w:before="0" w:after="60" w:line="276" w:lineRule="auto"/>
      </w:pPr>
      <w:r>
        <w:rPr>
          <w:rFonts w:ascii="Calibri" w:hAnsi="Calibri"/>
          <w:b/>
          <w:color w:val="262626"/>
          <w:sz w:val="21"/>
        </w:rPr>
        <w:t xml:space="preserve">2. Integrity &amp; Duplication Verification: </w:t>
      </w:r>
      <w:r>
        <w:rPr>
          <w:rFonts w:ascii="Calibri" w:hAnsi="Calibri"/>
          <w:color w:val="262626"/>
          <w:sz w:val="21"/>
        </w:rPr>
        <w:t>Invoked drop_duplicates() and verified isnull().sum() to guarantee zero data loss and data consistency.</w:t>
      </w:r>
    </w:p>
    <w:p>
      <w:pPr>
        <w:pStyle w:val="ListBullet"/>
        <w:spacing w:before="0" w:after="60" w:line="276" w:lineRule="auto"/>
      </w:pPr>
      <w:r>
        <w:rPr>
          <w:rFonts w:ascii="Calibri" w:hAnsi="Calibri"/>
          <w:b/>
          <w:color w:val="262626"/>
          <w:sz w:val="21"/>
        </w:rPr>
        <w:t xml:space="preserve">3. One-Hot Categorical Encoding: </w:t>
      </w:r>
      <w:r>
        <w:rPr>
          <w:rFonts w:ascii="Calibri" w:hAnsi="Calibri"/>
          <w:color w:val="262626"/>
          <w:sz w:val="21"/>
        </w:rPr>
        <w:t>Identified 17 nominal/ordinal categorical features (school, sex, address, famsize, Pstatus, Mjob, Fjob, reason, guardian, schoolsup, famsup, paid, activities, nursery, higher, internet, romantic). Applied pd.get_dummies(..., drop_first=True, dtype=int) to eliminate multicollinearity while generating integer dummy features. This transformed the feature space from 33 to 42 columns.</w:t>
      </w:r>
    </w:p>
    <w:p>
      <w:pPr>
        <w:pStyle w:val="ListBullet"/>
        <w:spacing w:before="0" w:after="60" w:line="276" w:lineRule="auto"/>
      </w:pPr>
      <w:r>
        <w:rPr>
          <w:rFonts w:ascii="Calibri" w:hAnsi="Calibri"/>
          <w:b/>
          <w:color w:val="262626"/>
          <w:sz w:val="21"/>
        </w:rPr>
        <w:t xml:space="preserve">4. Selective MinMax Feature Scaling: </w:t>
      </w:r>
      <w:r>
        <w:rPr>
          <w:rFonts w:ascii="Calibri" w:hAnsi="Calibri"/>
          <w:color w:val="262626"/>
          <w:sz w:val="21"/>
        </w:rPr>
        <w:t>Preserved the intrinsic scale of grade columns (G1, G2, G3) on the standard 0–20 academic interval. Normalized all 39 remaining numeric demographic, behavioral, and dummy columns using MinMaxScaler() to a uniform [0, 1] range, preventing feature dominance in gradient-based algorithms.</w:t>
      </w:r>
    </w:p>
    <w:p>
      <w:pPr>
        <w:pStyle w:val="ListBullet"/>
        <w:spacing w:before="0" w:after="60" w:line="276" w:lineRule="auto"/>
      </w:pPr>
      <w:r>
        <w:rPr>
          <w:rFonts w:ascii="Calibri" w:hAnsi="Calibri"/>
          <w:b/>
          <w:color w:val="262626"/>
          <w:sz w:val="21"/>
        </w:rPr>
        <w:t xml:space="preserve">5. Export of Normalized Data: </w:t>
      </w:r>
      <w:r>
        <w:rPr>
          <w:rFonts w:ascii="Calibri" w:hAnsi="Calibri"/>
          <w:color w:val="262626"/>
          <w:sz w:val="21"/>
        </w:rPr>
        <w:t>Saved the final 395 x 42 transformed dataset to outputs/student_performance_preprocessed.csv.</w:t>
      </w:r>
    </w:p>
    <w:p>
      <w:pPr>
        <w:pStyle w:val="Heading1"/>
        <w:keepNext/>
        <w:spacing w:before="240" w:after="80"/>
      </w:pPr>
      <w:r>
        <w:rPr>
          <w:rFonts w:ascii="Calibri" w:hAnsi="Calibri"/>
          <w:b/>
          <w:color w:val="1F4E79"/>
          <w:sz w:val="28"/>
        </w:rPr>
        <w:t>6. Exploratory Data Analysis &amp; Verified Visualizations</w:t>
      </w:r>
    </w:p>
    <w:p>
      <w:pPr>
        <w:spacing w:before="0" w:after="120" w:line="276" w:lineRule="auto"/>
      </w:pPr>
      <w:r>
        <w:rPr>
          <w:rFonts w:ascii="Calibri" w:hAnsi="Calibri"/>
          <w:color w:val="262626"/>
          <w:sz w:val="21"/>
        </w:rPr>
        <w:t>Two canonical high-resolution visualizations were generated directly from the authentic data, stored in outputs/ at 300 DPI:</w:t>
      </w:r>
    </w:p>
    <w:p>
      <w:pPr>
        <w:pStyle w:val="Heading2"/>
        <w:keepNext/>
        <w:spacing w:before="240" w:after="80"/>
      </w:pPr>
      <w:r>
        <w:rPr>
          <w:rFonts w:ascii="Calibri" w:hAnsi="Calibri"/>
          <w:b/>
          <w:color w:val="C24B0A"/>
          <w:sz w:val="24"/>
        </w:rPr>
        <w:t>Figure 1: Distribution of Final Student Grades (G3)</w:t>
      </w:r>
    </w:p>
    <w:p>
      <w:pPr>
        <w:spacing w:before="0" w:after="120" w:line="276" w:lineRule="auto"/>
      </w:pPr>
      <w:r>
        <w:rPr>
          <w:rFonts w:ascii="Calibri" w:hAnsi="Calibri"/>
          <w:color w:val="262626"/>
          <w:sz w:val="21"/>
        </w:rPr>
        <w:t>The histogram displays student counts across 11 discrete grade bins on the 0–20 Portuguese marking scale. The distribution exhibits an approximately bell-shaped curve centered around grades 10–12, with a notable cluster of 38 students at grade 0 (representing non-attendees or early dropouts). Excluding zeros, student grades show healthy normality.</w:t>
      </w:r>
    </w:p>
    <w:p>
      <w:r>
        <w:drawing>
          <wp:inline xmlns:a="http://schemas.openxmlformats.org/drawingml/2006/main" xmlns:pic="http://schemas.openxmlformats.org/drawingml/2006/picture">
            <wp:extent cx="5120640" cy="3167451"/>
            <wp:docPr id="1" name="Picture 1"/>
            <wp:cNvGraphicFramePr>
              <a:graphicFrameLocks noChangeAspect="1"/>
            </wp:cNvGraphicFramePr>
            <a:graphic>
              <a:graphicData uri="http://schemas.openxmlformats.org/drawingml/2006/picture">
                <pic:pic>
                  <pic:nvPicPr>
                    <pic:cNvPr id="0" name="final_grade_distribution.png"/>
                    <pic:cNvPicPr/>
                  </pic:nvPicPr>
                  <pic:blipFill>
                    <a:blip r:embed="rId9"/>
                    <a:stretch>
                      <a:fillRect/>
                    </a:stretch>
                  </pic:blipFill>
                  <pic:spPr>
                    <a:xfrm>
                      <a:off x="0" y="0"/>
                      <a:ext cx="5120640" cy="3167451"/>
                    </a:xfrm>
                    <a:prstGeom prst="rect"/>
                  </pic:spPr>
                </pic:pic>
              </a:graphicData>
            </a:graphic>
          </wp:inline>
        </w:drawing>
      </w:r>
    </w:p>
    <w:p>
      <w:pPr>
        <w:spacing w:before="60" w:after="200"/>
        <w:jc w:val="center"/>
      </w:pPr>
      <w:r>
        <w:rPr>
          <w:rFonts w:ascii="Calibri" w:hAnsi="Calibri"/>
          <w:i/>
          <w:color w:val="595959"/>
          <w:sz w:val="18"/>
        </w:rPr>
        <w:t>Figure 1: Distribution of Final Mathematics Grades (outputs/final_grade_distribution.png)</w:t>
      </w:r>
    </w:p>
    <w:p>
      <w:pPr>
        <w:pStyle w:val="Heading2"/>
        <w:keepNext/>
        <w:spacing w:before="240" w:after="80"/>
      </w:pPr>
      <w:r>
        <w:rPr>
          <w:rFonts w:ascii="Calibri" w:hAnsi="Calibri"/>
          <w:b/>
          <w:color w:val="C24B0A"/>
          <w:sz w:val="24"/>
        </w:rPr>
        <w:t>Figure 2: Average Final Grade by Weekly Study Time</w:t>
      </w:r>
    </w:p>
    <w:p>
      <w:pPr>
        <w:spacing w:before="0" w:after="120" w:line="276" w:lineRule="auto"/>
      </w:pPr>
      <w:r>
        <w:rPr>
          <w:rFonts w:ascii="Calibri" w:hAnsi="Calibri"/>
          <w:color w:val="262626"/>
          <w:sz w:val="21"/>
        </w:rPr>
        <w:t>The bar chart examines academic performance across four weekly study time tiers: Category 1 (&lt; 2 hours, n=105, mean=10.05), Category 2 (2 to 5 hours, n=198, mean=10.17), Category 3 (5 to 10 hours, n=65, mean=11.40), and Category 4 (&gt; 10 hours, n=27, mean=11.26). The empirical evidence indicates that students dedicating 5 to 10 hours weekly achieve an average gain of ~1.35 grade points over students studying under 2 hours.</w:t>
      </w:r>
    </w:p>
    <w:p>
      <w:r>
        <w:drawing>
          <wp:inline xmlns:a="http://schemas.openxmlformats.org/drawingml/2006/main" xmlns:pic="http://schemas.openxmlformats.org/drawingml/2006/picture">
            <wp:extent cx="5120640" cy="3167451"/>
            <wp:docPr id="2" name="Picture 2"/>
            <wp:cNvGraphicFramePr>
              <a:graphicFrameLocks noChangeAspect="1"/>
            </wp:cNvGraphicFramePr>
            <a:graphic>
              <a:graphicData uri="http://schemas.openxmlformats.org/drawingml/2006/picture">
                <pic:pic>
                  <pic:nvPicPr>
                    <pic:cNvPr id="0" name="average_grade_by_studytime.png"/>
                    <pic:cNvPicPr/>
                  </pic:nvPicPr>
                  <pic:blipFill>
                    <a:blip r:embed="rId10"/>
                    <a:stretch>
                      <a:fillRect/>
                    </a:stretch>
                  </pic:blipFill>
                  <pic:spPr>
                    <a:xfrm>
                      <a:off x="0" y="0"/>
                      <a:ext cx="5120640" cy="3167451"/>
                    </a:xfrm>
                    <a:prstGeom prst="rect"/>
                  </pic:spPr>
                </pic:pic>
              </a:graphicData>
            </a:graphic>
          </wp:inline>
        </w:drawing>
      </w:r>
    </w:p>
    <w:p>
      <w:pPr>
        <w:spacing w:before="60" w:after="200"/>
        <w:jc w:val="center"/>
      </w:pPr>
      <w:r>
        <w:rPr>
          <w:rFonts w:ascii="Calibri" w:hAnsi="Calibri"/>
          <w:i/>
          <w:color w:val="595959"/>
          <w:sz w:val="18"/>
        </w:rPr>
        <w:t>Figure 2: Mean Final Grade Grouped by Weekly Study Time Category (outputs/average_grade_by_studytime.png)</w:t>
      </w:r>
    </w:p>
    <w:p>
      <w:pPr>
        <w:pStyle w:val="Heading1"/>
        <w:keepNext/>
        <w:spacing w:before="240" w:after="80"/>
      </w:pPr>
      <w:r>
        <w:rPr>
          <w:rFonts w:ascii="Calibri" w:hAnsi="Calibri"/>
          <w:b/>
          <w:color w:val="1F4E79"/>
          <w:sz w:val="28"/>
        </w:rPr>
        <w:t>7. Quantitative Pipeline Verification</w:t>
      </w:r>
    </w:p>
    <w:p>
      <w:pPr>
        <w:spacing w:before="0" w:after="120" w:line="276" w:lineRule="auto"/>
      </w:pPr>
      <w:r>
        <w:rPr>
          <w:rFonts w:ascii="Calibri" w:hAnsi="Calibri"/>
          <w:color w:val="262626"/>
          <w:sz w:val="21"/>
        </w:rPr>
        <w:t>The table below contrasts the raw dataset against the post-pipeline preprocessed output:</w:t>
      </w:r>
    </w:p>
    <w:tbl>
      <w:tblPr>
        <w:tblW w:type="auto" w:w="0"/>
        <w:jc w:val="center"/>
        <w:tblLook w:firstColumn="1" w:firstRow="1" w:lastColumn="0" w:lastRow="0" w:noHBand="0" w:noVBand="1" w:val="04A0"/>
      </w:tblPr>
      <w:tblGrid>
        <w:gridCol w:w="3360"/>
        <w:gridCol w:w="3360"/>
        <w:gridCol w:w="3360"/>
      </w:tblGrid>
      <w:tr>
        <w:tc>
          <w:tcPr>
            <w:tcW w:type="dxa" w:w="3360"/>
            <w:shd w:fill="1F4E79"/>
            <w:tcMar>
              <w:top w:w="100" w:type="dxa"/>
              <w:bottom w:w="100" w:type="dxa"/>
              <w:left w:w="120" w:type="dxa"/>
              <w:right w:w="120" w:type="dxa"/>
            </w:tcMar>
          </w:tcPr>
          <w:p>
            <w:pPr>
              <w:jc w:val="center"/>
            </w:pPr>
            <w:r>
              <w:rPr>
                <w:rFonts w:ascii="Calibri" w:hAnsi="Calibri"/>
                <w:b/>
                <w:color w:val="FFFFFF"/>
                <w:sz w:val="19"/>
              </w:rPr>
              <w:t>Pipeline Stage / Metric</w:t>
            </w:r>
          </w:p>
        </w:tc>
        <w:tc>
          <w:tcPr>
            <w:tcW w:type="dxa" w:w="3360"/>
            <w:shd w:fill="1F4E79"/>
            <w:tcMar>
              <w:top w:w="100" w:type="dxa"/>
              <w:bottom w:w="100" w:type="dxa"/>
              <w:left w:w="120" w:type="dxa"/>
              <w:right w:w="120" w:type="dxa"/>
            </w:tcMar>
          </w:tcPr>
          <w:p>
            <w:pPr>
              <w:jc w:val="center"/>
            </w:pPr>
            <w:r>
              <w:rPr>
                <w:rFonts w:ascii="Calibri" w:hAnsi="Calibri"/>
                <w:b/>
                <w:color w:val="FFFFFF"/>
                <w:sz w:val="19"/>
              </w:rPr>
              <w:t>Raw Input State</w:t>
            </w:r>
          </w:p>
        </w:tc>
        <w:tc>
          <w:tcPr>
            <w:tcW w:type="dxa" w:w="3360"/>
            <w:shd w:fill="1F4E79"/>
            <w:tcMar>
              <w:top w:w="100" w:type="dxa"/>
              <w:bottom w:w="100" w:type="dxa"/>
              <w:left w:w="120" w:type="dxa"/>
              <w:right w:w="120" w:type="dxa"/>
            </w:tcMar>
          </w:tcPr>
          <w:p>
            <w:pPr>
              <w:jc w:val="center"/>
            </w:pPr>
            <w:r>
              <w:rPr>
                <w:rFonts w:ascii="Calibri" w:hAnsi="Calibri"/>
                <w:b/>
                <w:color w:val="FFFFFF"/>
                <w:sz w:val="19"/>
              </w:rPr>
              <w:t>Preprocessed Output State</w:t>
            </w:r>
          </w:p>
        </w:tc>
      </w:tr>
      <w:tr>
        <w:tc>
          <w:tcPr>
            <w:tcW w:type="dxa" w:w="3360"/>
            <w:shd w:fill="FFFFFF"/>
            <w:tcMar>
              <w:top w:w="80" w:type="dxa"/>
              <w:bottom w:w="80" w:type="dxa"/>
              <w:left w:w="100" w:type="dxa"/>
              <w:right w:w="100" w:type="dxa"/>
            </w:tcMar>
          </w:tcPr>
          <w:p>
            <w:r>
              <w:rPr>
                <w:rFonts w:ascii="Calibri" w:hAnsi="Calibri"/>
                <w:color w:val="262626"/>
                <w:sz w:val="18"/>
              </w:rPr>
              <w:t>Total Records (Instances)</w:t>
            </w:r>
          </w:p>
        </w:tc>
        <w:tc>
          <w:tcPr>
            <w:tcW w:type="dxa" w:w="3360"/>
            <w:shd w:fill="FFFFFF"/>
            <w:tcMar>
              <w:top w:w="80" w:type="dxa"/>
              <w:bottom w:w="80" w:type="dxa"/>
              <w:left w:w="100" w:type="dxa"/>
              <w:right w:w="100" w:type="dxa"/>
            </w:tcMar>
          </w:tcPr>
          <w:p>
            <w:pPr>
              <w:jc w:val="center"/>
            </w:pPr>
            <w:r>
              <w:rPr>
                <w:rFonts w:ascii="Calibri" w:hAnsi="Calibri"/>
                <w:color w:val="262626"/>
                <w:sz w:val="18"/>
              </w:rPr>
              <w:t>395 rows</w:t>
            </w:r>
          </w:p>
        </w:tc>
        <w:tc>
          <w:tcPr>
            <w:tcW w:type="dxa" w:w="3360"/>
            <w:shd w:fill="FFFFFF"/>
            <w:tcMar>
              <w:top w:w="80" w:type="dxa"/>
              <w:bottom w:w="80" w:type="dxa"/>
              <w:left w:w="100" w:type="dxa"/>
              <w:right w:w="100" w:type="dxa"/>
            </w:tcMar>
          </w:tcPr>
          <w:p>
            <w:pPr>
              <w:jc w:val="center"/>
            </w:pPr>
            <w:r>
              <w:rPr>
                <w:rFonts w:ascii="Calibri" w:hAnsi="Calibri"/>
                <w:color w:val="262626"/>
                <w:sz w:val="18"/>
              </w:rPr>
              <w:t>395 rows (100% retention)</w:t>
            </w:r>
          </w:p>
        </w:tc>
      </w:tr>
      <w:tr>
        <w:tc>
          <w:tcPr>
            <w:tcW w:type="dxa" w:w="3360"/>
            <w:shd w:fill="F2F4F7"/>
            <w:tcMar>
              <w:top w:w="80" w:type="dxa"/>
              <w:bottom w:w="80" w:type="dxa"/>
              <w:left w:w="100" w:type="dxa"/>
              <w:right w:w="100" w:type="dxa"/>
            </w:tcMar>
          </w:tcPr>
          <w:p>
            <w:r>
              <w:rPr>
                <w:rFonts w:ascii="Calibri" w:hAnsi="Calibri"/>
                <w:color w:val="262626"/>
                <w:sz w:val="18"/>
              </w:rPr>
              <w:t>Feature Dimension</w:t>
            </w:r>
          </w:p>
        </w:tc>
        <w:tc>
          <w:tcPr>
            <w:tcW w:type="dxa" w:w="3360"/>
            <w:shd w:fill="F2F4F7"/>
            <w:tcMar>
              <w:top w:w="80" w:type="dxa"/>
              <w:bottom w:w="80" w:type="dxa"/>
              <w:left w:w="100" w:type="dxa"/>
              <w:right w:w="100" w:type="dxa"/>
            </w:tcMar>
          </w:tcPr>
          <w:p>
            <w:pPr>
              <w:jc w:val="center"/>
            </w:pPr>
            <w:r>
              <w:rPr>
                <w:rFonts w:ascii="Calibri" w:hAnsi="Calibri"/>
                <w:color w:val="262626"/>
                <w:sz w:val="18"/>
              </w:rPr>
              <w:t>33 features</w:t>
            </w:r>
          </w:p>
        </w:tc>
        <w:tc>
          <w:tcPr>
            <w:tcW w:type="dxa" w:w="3360"/>
            <w:shd w:fill="F2F4F7"/>
            <w:tcMar>
              <w:top w:w="80" w:type="dxa"/>
              <w:bottom w:w="80" w:type="dxa"/>
              <w:left w:w="100" w:type="dxa"/>
              <w:right w:w="100" w:type="dxa"/>
            </w:tcMar>
          </w:tcPr>
          <w:p>
            <w:pPr>
              <w:jc w:val="center"/>
            </w:pPr>
            <w:r>
              <w:rPr>
                <w:rFonts w:ascii="Calibri" w:hAnsi="Calibri"/>
                <w:color w:val="262626"/>
                <w:sz w:val="18"/>
              </w:rPr>
              <w:t>42 features (+9 dummy columns)</w:t>
            </w:r>
          </w:p>
        </w:tc>
      </w:tr>
      <w:tr>
        <w:tc>
          <w:tcPr>
            <w:tcW w:type="dxa" w:w="3360"/>
            <w:shd w:fill="FFFFFF"/>
            <w:tcMar>
              <w:top w:w="80" w:type="dxa"/>
              <w:bottom w:w="80" w:type="dxa"/>
              <w:left w:w="100" w:type="dxa"/>
              <w:right w:w="100" w:type="dxa"/>
            </w:tcMar>
          </w:tcPr>
          <w:p>
            <w:r>
              <w:rPr>
                <w:rFonts w:ascii="Calibri" w:hAnsi="Calibri"/>
                <w:color w:val="262626"/>
                <w:sz w:val="18"/>
              </w:rPr>
              <w:t>Missing / Null Cells</w:t>
            </w:r>
          </w:p>
        </w:tc>
        <w:tc>
          <w:tcPr>
            <w:tcW w:type="dxa" w:w="3360"/>
            <w:shd w:fill="FFFFFF"/>
            <w:tcMar>
              <w:top w:w="80" w:type="dxa"/>
              <w:bottom w:w="80" w:type="dxa"/>
              <w:left w:w="100" w:type="dxa"/>
              <w:right w:w="100" w:type="dxa"/>
            </w:tcMar>
          </w:tcPr>
          <w:p>
            <w:pPr>
              <w:jc w:val="center"/>
            </w:pPr>
            <w:r>
              <w:rPr>
                <w:rFonts w:ascii="Calibri" w:hAnsi="Calibri"/>
                <w:color w:val="262626"/>
                <w:sz w:val="18"/>
              </w:rPr>
              <w:t>0 (0.00%)</w:t>
            </w:r>
          </w:p>
        </w:tc>
        <w:tc>
          <w:tcPr>
            <w:tcW w:type="dxa" w:w="3360"/>
            <w:shd w:fill="FFFFFF"/>
            <w:tcMar>
              <w:top w:w="80" w:type="dxa"/>
              <w:bottom w:w="80" w:type="dxa"/>
              <w:left w:w="100" w:type="dxa"/>
              <w:right w:w="100" w:type="dxa"/>
            </w:tcMar>
          </w:tcPr>
          <w:p>
            <w:pPr>
              <w:jc w:val="center"/>
            </w:pPr>
            <w:r>
              <w:rPr>
                <w:rFonts w:ascii="Calibri" w:hAnsi="Calibri"/>
                <w:color w:val="262626"/>
                <w:sz w:val="18"/>
              </w:rPr>
              <w:t>0 (0.00%)</w:t>
            </w:r>
          </w:p>
        </w:tc>
      </w:tr>
      <w:tr>
        <w:tc>
          <w:tcPr>
            <w:tcW w:type="dxa" w:w="3360"/>
            <w:shd w:fill="F2F4F7"/>
            <w:tcMar>
              <w:top w:w="80" w:type="dxa"/>
              <w:bottom w:w="80" w:type="dxa"/>
              <w:left w:w="100" w:type="dxa"/>
              <w:right w:w="100" w:type="dxa"/>
            </w:tcMar>
          </w:tcPr>
          <w:p>
            <w:r>
              <w:rPr>
                <w:rFonts w:ascii="Calibri" w:hAnsi="Calibri"/>
                <w:color w:val="262626"/>
                <w:sz w:val="18"/>
              </w:rPr>
              <w:t>Duplicate Records</w:t>
            </w:r>
          </w:p>
        </w:tc>
        <w:tc>
          <w:tcPr>
            <w:tcW w:type="dxa" w:w="3360"/>
            <w:shd w:fill="F2F4F7"/>
            <w:tcMar>
              <w:top w:w="80" w:type="dxa"/>
              <w:bottom w:w="80" w:type="dxa"/>
              <w:left w:w="100" w:type="dxa"/>
              <w:right w:w="100" w:type="dxa"/>
            </w:tcMar>
          </w:tcPr>
          <w:p>
            <w:pPr>
              <w:jc w:val="center"/>
            </w:pPr>
            <w:r>
              <w:rPr>
                <w:rFonts w:ascii="Calibri" w:hAnsi="Calibri"/>
                <w:color w:val="262626"/>
                <w:sz w:val="18"/>
              </w:rPr>
              <w:t>0 rows</w:t>
            </w:r>
          </w:p>
        </w:tc>
        <w:tc>
          <w:tcPr>
            <w:tcW w:type="dxa" w:w="3360"/>
            <w:shd w:fill="F2F4F7"/>
            <w:tcMar>
              <w:top w:w="80" w:type="dxa"/>
              <w:bottom w:w="80" w:type="dxa"/>
              <w:left w:w="100" w:type="dxa"/>
              <w:right w:w="100" w:type="dxa"/>
            </w:tcMar>
          </w:tcPr>
          <w:p>
            <w:pPr>
              <w:jc w:val="center"/>
            </w:pPr>
            <w:r>
              <w:rPr>
                <w:rFonts w:ascii="Calibri" w:hAnsi="Calibri"/>
                <w:color w:val="262626"/>
                <w:sz w:val="18"/>
              </w:rPr>
              <w:t>0 rows</w:t>
            </w:r>
          </w:p>
        </w:tc>
      </w:tr>
      <w:tr>
        <w:tc>
          <w:tcPr>
            <w:tcW w:type="dxa" w:w="3360"/>
            <w:shd w:fill="FFFFFF"/>
            <w:tcMar>
              <w:top w:w="80" w:type="dxa"/>
              <w:bottom w:w="80" w:type="dxa"/>
              <w:left w:w="100" w:type="dxa"/>
              <w:right w:w="100" w:type="dxa"/>
            </w:tcMar>
          </w:tcPr>
          <w:p>
            <w:r>
              <w:rPr>
                <w:rFonts w:ascii="Calibri" w:hAnsi="Calibri"/>
                <w:color w:val="262626"/>
                <w:sz w:val="18"/>
              </w:rPr>
              <w:t>Feature Scale Range</w:t>
            </w:r>
          </w:p>
        </w:tc>
        <w:tc>
          <w:tcPr>
            <w:tcW w:type="dxa" w:w="3360"/>
            <w:shd w:fill="FFFFFF"/>
            <w:tcMar>
              <w:top w:w="80" w:type="dxa"/>
              <w:bottom w:w="80" w:type="dxa"/>
              <w:left w:w="100" w:type="dxa"/>
              <w:right w:w="100" w:type="dxa"/>
            </w:tcMar>
          </w:tcPr>
          <w:p>
            <w:pPr>
              <w:jc w:val="center"/>
            </w:pPr>
            <w:r>
              <w:rPr>
                <w:rFonts w:ascii="Calibri" w:hAnsi="Calibri"/>
                <w:color w:val="262626"/>
                <w:sz w:val="18"/>
              </w:rPr>
              <w:t>Demographics: unnormalized; Grades: 0–20</w:t>
            </w:r>
          </w:p>
        </w:tc>
        <w:tc>
          <w:tcPr>
            <w:tcW w:type="dxa" w:w="3360"/>
            <w:shd w:fill="FFFFFF"/>
            <w:tcMar>
              <w:top w:w="80" w:type="dxa"/>
              <w:bottom w:w="80" w:type="dxa"/>
              <w:left w:w="100" w:type="dxa"/>
              <w:right w:w="100" w:type="dxa"/>
            </w:tcMar>
          </w:tcPr>
          <w:p>
            <w:pPr>
              <w:jc w:val="center"/>
            </w:pPr>
            <w:r>
              <w:rPr>
                <w:rFonts w:ascii="Calibri" w:hAnsi="Calibri"/>
                <w:color w:val="262626"/>
                <w:sz w:val="18"/>
              </w:rPr>
              <w:t>Demographics/Dummies: [0, 1]; Grades: 0–20</w:t>
            </w:r>
          </w:p>
        </w:tc>
      </w:tr>
    </w:tbl>
    <w:p>
      <w:pPr>
        <w:spacing w:before="80" w:after="120"/>
      </w:pPr>
    </w:p>
    <w:p>
      <w:pPr>
        <w:pStyle w:val="Heading1"/>
        <w:keepNext/>
        <w:spacing w:before="240" w:after="80"/>
      </w:pPr>
      <w:r>
        <w:rPr>
          <w:rFonts w:ascii="Calibri" w:hAnsi="Calibri"/>
          <w:b/>
          <w:color w:val="1F4E79"/>
          <w:sz w:val="28"/>
        </w:rPr>
        <w:t>8. Conclusion and Future Roadmap</w:t>
      </w:r>
    </w:p>
    <w:p>
      <w:pPr>
        <w:spacing w:before="0" w:after="120" w:line="276" w:lineRule="auto"/>
      </w:pPr>
      <w:r>
        <w:rPr>
          <w:rFonts w:ascii="Calibri" w:hAnsi="Calibri"/>
          <w:color w:val="262626"/>
          <w:sz w:val="21"/>
        </w:rPr>
        <w:t>The Week 1 preprocessing and exploratory pipeline has successfully validated the Student Performance dataset. The transformation guarantees full numerical compatibility, zero information leakage, and uniform bounded feature scaling while maintaining the original academic evaluation metric. The generated artifacts in outputs/ are completely verified and ready for regression or classification modeling in subsequent internship milestones.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