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1A5C" w14:textId="77777777" w:rsidR="00C5076B" w:rsidRDefault="00C5076B" w:rsidP="008F351C">
      <w:pPr>
        <w:pStyle w:val="NormalWeb"/>
      </w:pPr>
    </w:p>
    <w:p w14:paraId="6B3393B7" w14:textId="1D0D3BBC" w:rsidR="00C5076B" w:rsidRPr="00C5076B" w:rsidRDefault="00C5076B" w:rsidP="008F351C">
      <w:pPr>
        <w:pStyle w:val="NormalWeb"/>
        <w:rPr>
          <w:b/>
          <w:bCs/>
        </w:rPr>
      </w:pPr>
      <w:r w:rsidRPr="00C5076B">
        <w:rPr>
          <w:b/>
          <w:bCs/>
        </w:rPr>
        <w:t xml:space="preserve">OVERALL ANALYSIS AND RECOMMENDATIONS </w:t>
      </w:r>
    </w:p>
    <w:p w14:paraId="5796C20C" w14:textId="2F22F591" w:rsidR="00730C78" w:rsidRDefault="00730C78" w:rsidP="00F06216">
      <w:pPr>
        <w:pStyle w:val="NormalWeb"/>
        <w:jc w:val="both"/>
      </w:pPr>
      <w:r>
        <w:t>When combining insights from the Employee Salary, Leavers, and Attrition Rate dashboards, the organization shows strong overall stability with a 91.44% retention rate and an 8.56% attrition rate across 911 employees. However, the real issue is not general turnover but specific, predictable problem areas affecting senior leaders, key departments, and long-tenured staff.</w:t>
      </w:r>
    </w:p>
    <w:p w14:paraId="4D9F3687" w14:textId="77777777" w:rsidR="00730C78" w:rsidRDefault="00730C78" w:rsidP="008F351C">
      <w:pPr>
        <w:pStyle w:val="NormalWeb"/>
      </w:pPr>
      <w:r w:rsidRPr="008F351C">
        <w:rPr>
          <w:b/>
          <w:bCs/>
        </w:rPr>
        <w:t>Story 1: Executive Brain Drain</w:t>
      </w:r>
      <w:r>
        <w:br/>
        <w:t>The company is losing experienced leaders, especially Directors and Senior Managers, who average about 4.8 years of service. A major driver is the bonus structure, where 45 of 78 leavers received no bonus. Employees with even a low bonus are far less likely to leave, showing that lack of financial recognition is pushing out senior talent.</w:t>
      </w:r>
    </w:p>
    <w:p w14:paraId="6FFBAFA8" w14:textId="77777777" w:rsidR="00730C78" w:rsidRDefault="00730C78" w:rsidP="008F351C">
      <w:pPr>
        <w:pStyle w:val="NormalWeb"/>
      </w:pPr>
      <w:r>
        <w:t>In simple terms, experienced leaders are leaving because incentives are too binary or absent, making them feel undervalued.</w:t>
      </w:r>
    </w:p>
    <w:p w14:paraId="258EBF56" w14:textId="77777777" w:rsidR="00730C78" w:rsidRDefault="00730C78" w:rsidP="008F351C">
      <w:pPr>
        <w:pStyle w:val="NormalWeb"/>
      </w:pPr>
      <w:r w:rsidRPr="008F351C">
        <w:rPr>
          <w:b/>
          <w:bCs/>
        </w:rPr>
        <w:t>Story 2: Core Department Strain</w:t>
      </w:r>
      <w:r>
        <w:br/>
        <w:t>Engineering, Marketing, and R&amp;D are the most affected areas despite heavy investment. IT performs well with high retention, but Engineering (89%) and Marketing (87%) lag behind, while Marketing and Engineering also show the highest attrition rates. R&amp;D alone accounts for a large share of total exits.</w:t>
      </w:r>
    </w:p>
    <w:p w14:paraId="704F1118" w14:textId="77777777" w:rsidR="00730C78" w:rsidRDefault="00730C78" w:rsidP="008F351C">
      <w:pPr>
        <w:pStyle w:val="NormalWeb"/>
      </w:pPr>
      <w:r>
        <w:t>This means the company’s key growth and innovation teams are under pressure, likely due to workload, structure, or cultural issues, causing talent loss even in heavily funded areas.</w:t>
      </w:r>
    </w:p>
    <w:p w14:paraId="244FB12B" w14:textId="77777777" w:rsidR="00730C78" w:rsidRDefault="00730C78" w:rsidP="008F351C">
      <w:pPr>
        <w:pStyle w:val="NormalWeb"/>
      </w:pPr>
      <w:r w:rsidRPr="008F351C">
        <w:rPr>
          <w:b/>
          <w:bCs/>
        </w:rPr>
        <w:t>Story 3: Mid-Career Pay Inequity</w:t>
      </w:r>
      <w:r>
        <w:br/>
        <w:t>Long-serving employees see salary declines over time, with pay dropping significantly after 20+ years of service. In some cases, veteran employees earn less than newer hires. At the same time, mid-level salary groups show the highest attrition, while top executives are far more stable.</w:t>
      </w:r>
    </w:p>
    <w:p w14:paraId="204C843B" w14:textId="77777777" w:rsidR="00730C78" w:rsidRDefault="00730C78" w:rsidP="008F351C">
      <w:pPr>
        <w:pStyle w:val="NormalWeb"/>
      </w:pPr>
      <w:r>
        <w:t>This creates a fairness issue where experienced employees feel undervalued, leading them to leave at critical career stages.</w:t>
      </w:r>
    </w:p>
    <w:p w14:paraId="32799B75" w14:textId="77777777" w:rsidR="00730C78" w:rsidRDefault="00730C78" w:rsidP="008F351C">
      <w:pPr>
        <w:pStyle w:val="NormalWeb"/>
      </w:pPr>
      <w:r w:rsidRPr="008F351C">
        <w:rPr>
          <w:b/>
          <w:bCs/>
        </w:rPr>
        <w:t>Overall Summary</w:t>
      </w:r>
      <w:r>
        <w:br/>
        <w:t>The organization is stable overall, but losing talent in three key areas: senior leadership due to weak bonus incentives, core departments due to operational strain, and long-tenured employees due to salary compression and pay inequity.</w:t>
      </w:r>
    </w:p>
    <w:p w14:paraId="48B1F67F" w14:textId="77777777" w:rsidR="00230068" w:rsidRDefault="00230068" w:rsidP="008F351C"/>
    <w:p w14:paraId="47CB2DEF" w14:textId="77777777" w:rsidR="009819BC" w:rsidRDefault="009819BC" w:rsidP="008F351C"/>
    <w:p w14:paraId="674CA0BB" w14:textId="77777777" w:rsidR="00405104" w:rsidRDefault="00405104" w:rsidP="008F351C"/>
    <w:p w14:paraId="1A63BE34" w14:textId="77777777" w:rsidR="00405104" w:rsidRDefault="00405104" w:rsidP="008F351C"/>
    <w:p w14:paraId="24B2FABF" w14:textId="345EDD40" w:rsidR="009819BC" w:rsidRDefault="009819BC" w:rsidP="008F351C">
      <w:pPr>
        <w:rPr>
          <w:b/>
          <w:bCs/>
        </w:rPr>
      </w:pPr>
      <w:r>
        <w:rPr>
          <w:b/>
          <w:bCs/>
        </w:rPr>
        <w:lastRenderedPageBreak/>
        <w:t>RECOMMENDATIONS</w:t>
      </w:r>
    </w:p>
    <w:p w14:paraId="38617C39" w14:textId="1975794E" w:rsidR="00660849" w:rsidRPr="00660849" w:rsidRDefault="00660849" w:rsidP="00F06216">
      <w:pPr>
        <w:rPr>
          <w:b/>
          <w:bCs/>
        </w:rPr>
      </w:pPr>
      <w:r w:rsidRPr="00660849">
        <w:rPr>
          <w:b/>
          <w:bCs/>
        </w:rPr>
        <w:t>Leadership and Executive Retention</w:t>
      </w:r>
    </w:p>
    <w:p w14:paraId="14D90DDD" w14:textId="3AC89D98" w:rsidR="00660849" w:rsidRDefault="00660849" w:rsidP="008F351C">
      <w:pPr>
        <w:pStyle w:val="ListParagraph"/>
        <w:numPr>
          <w:ilvl w:val="0"/>
          <w:numId w:val="1"/>
        </w:numPr>
        <w:ind w:hanging="720"/>
      </w:pPr>
      <w:r>
        <w:t>Introduce a baseline bonus system so no eligible senior employee receives zero bonus.</w:t>
      </w:r>
    </w:p>
    <w:p w14:paraId="4C035D55" w14:textId="6F06C804" w:rsidR="00660849" w:rsidRDefault="00660849" w:rsidP="008F351C">
      <w:pPr>
        <w:pStyle w:val="ListParagraph"/>
        <w:numPr>
          <w:ilvl w:val="0"/>
          <w:numId w:val="1"/>
        </w:numPr>
        <w:ind w:hanging="720"/>
      </w:pPr>
      <w:r>
        <w:t>Strengthen incentive structures for Directors and Senior Managers</w:t>
      </w:r>
    </w:p>
    <w:p w14:paraId="66365F01" w14:textId="011BC3DD" w:rsidR="00660849" w:rsidRDefault="00660849" w:rsidP="008F351C">
      <w:pPr>
        <w:pStyle w:val="ListParagraph"/>
        <w:numPr>
          <w:ilvl w:val="0"/>
          <w:numId w:val="1"/>
        </w:numPr>
        <w:ind w:hanging="720"/>
      </w:pPr>
      <w:r>
        <w:t>Conduct regular stay interviews for leaders around the 3–</w:t>
      </w:r>
      <w:proofErr w:type="gramStart"/>
      <w:r>
        <w:t>5 year</w:t>
      </w:r>
      <w:proofErr w:type="gramEnd"/>
      <w:r>
        <w:t xml:space="preserve"> tenure mark.</w:t>
      </w:r>
    </w:p>
    <w:p w14:paraId="71080405" w14:textId="39EB785E" w:rsidR="00660849" w:rsidRDefault="00660849" w:rsidP="008F351C">
      <w:pPr>
        <w:pStyle w:val="ListParagraph"/>
        <w:numPr>
          <w:ilvl w:val="0"/>
          <w:numId w:val="1"/>
        </w:numPr>
        <w:ind w:hanging="720"/>
      </w:pPr>
      <w:r>
        <w:t>Review compensation and equity packages to prevent mid-career executive exits.</w:t>
      </w:r>
    </w:p>
    <w:p w14:paraId="7721639A" w14:textId="77777777" w:rsidR="000A5E89" w:rsidRDefault="000A5E89" w:rsidP="008F351C">
      <w:pPr>
        <w:pStyle w:val="ListParagraph"/>
      </w:pPr>
    </w:p>
    <w:p w14:paraId="5B8F2508" w14:textId="77777777" w:rsidR="00660849" w:rsidRPr="000A5E89" w:rsidRDefault="00660849" w:rsidP="008F351C">
      <w:pPr>
        <w:rPr>
          <w:b/>
          <w:bCs/>
        </w:rPr>
      </w:pPr>
      <w:r w:rsidRPr="000A5E89">
        <w:rPr>
          <w:b/>
          <w:bCs/>
        </w:rPr>
        <w:t>Core Department Stability (Engineering, Marketing, and R&amp;D)</w:t>
      </w:r>
    </w:p>
    <w:p w14:paraId="1D8C8F6E" w14:textId="77777777" w:rsidR="00660849" w:rsidRDefault="00660849" w:rsidP="008F351C">
      <w:r>
        <w:t>5. Investigate workload, burnout, and cultural issues in Engineering, Marketing, and R&amp;D.</w:t>
      </w:r>
    </w:p>
    <w:p w14:paraId="34673B8A" w14:textId="77777777" w:rsidR="00660849" w:rsidRDefault="00660849" w:rsidP="008F351C">
      <w:r>
        <w:t>6. Reduce pressure on teams through better resource allocation or temporary staffing support.</w:t>
      </w:r>
    </w:p>
    <w:p w14:paraId="7763E908" w14:textId="77777777" w:rsidR="00660849" w:rsidRDefault="00660849" w:rsidP="008F351C">
      <w:r>
        <w:t>7. Strengthen retention incentives for high-impact technical and marketing roles.</w:t>
      </w:r>
    </w:p>
    <w:p w14:paraId="4EEFD82F" w14:textId="77777777" w:rsidR="00660849" w:rsidRDefault="00660849" w:rsidP="008F351C">
      <w:r>
        <w:t>8. Align compensation more closely with market standards in underperforming departments.</w:t>
      </w:r>
    </w:p>
    <w:p w14:paraId="62455BB6" w14:textId="77777777" w:rsidR="00660849" w:rsidRDefault="00660849" w:rsidP="008F351C"/>
    <w:p w14:paraId="19DC50C0" w14:textId="77777777" w:rsidR="00660849" w:rsidRPr="00660849" w:rsidRDefault="00660849" w:rsidP="008F351C">
      <w:pPr>
        <w:rPr>
          <w:b/>
          <w:bCs/>
        </w:rPr>
      </w:pPr>
      <w:r w:rsidRPr="00660849">
        <w:rPr>
          <w:b/>
          <w:bCs/>
        </w:rPr>
        <w:t>Mid-Career Pay Equity and Salary Structure</w:t>
      </w:r>
    </w:p>
    <w:p w14:paraId="3412A45A" w14:textId="77777777" w:rsidR="00660849" w:rsidRDefault="00660849" w:rsidP="008F351C">
      <w:r>
        <w:t>9. Conduct a full salary audit for long-tenured employees (15–30+ years).</w:t>
      </w:r>
    </w:p>
    <w:p w14:paraId="4A37D8ED" w14:textId="77777777" w:rsidR="00660849" w:rsidRDefault="00660849" w:rsidP="008F351C">
      <w:r>
        <w:t>10. Correct salary compression where experienced staff earn below market or new-hire levels.</w:t>
      </w:r>
    </w:p>
    <w:p w14:paraId="5B89D9D5" w14:textId="77777777" w:rsidR="00660849" w:rsidRDefault="00660849" w:rsidP="008F351C">
      <w:r>
        <w:t>11. Introduce structured pay progression tied to tenure and performance.</w:t>
      </w:r>
    </w:p>
    <w:p w14:paraId="5276A322" w14:textId="77777777" w:rsidR="00660849" w:rsidRDefault="00660849" w:rsidP="008F351C">
      <w:r>
        <w:t>12. Ensure mid-level employees do not stagnate in compensation or career growth.</w:t>
      </w:r>
    </w:p>
    <w:p w14:paraId="2C5D38A1" w14:textId="77777777" w:rsidR="00660849" w:rsidRDefault="00660849" w:rsidP="008F351C"/>
    <w:p w14:paraId="0F5233D6" w14:textId="77777777" w:rsidR="00660849" w:rsidRPr="00660849" w:rsidRDefault="00660849" w:rsidP="008F351C">
      <w:pPr>
        <w:rPr>
          <w:b/>
          <w:bCs/>
        </w:rPr>
      </w:pPr>
      <w:r w:rsidRPr="00660849">
        <w:rPr>
          <w:b/>
          <w:bCs/>
        </w:rPr>
        <w:t>Organization-Wide Retention Strategy</w:t>
      </w:r>
    </w:p>
    <w:p w14:paraId="5F9B46D2" w14:textId="77777777" w:rsidR="00660849" w:rsidRDefault="00660849" w:rsidP="008F351C">
      <w:r>
        <w:t>13. Improve bonus fairness and consistency across all levels.</w:t>
      </w:r>
    </w:p>
    <w:p w14:paraId="62F8DB53" w14:textId="77777777" w:rsidR="00660849" w:rsidRDefault="00660849" w:rsidP="008F351C">
      <w:r>
        <w:t>14. Focus retention efforts on mid-career professionals and critical departments.</w:t>
      </w:r>
    </w:p>
    <w:p w14:paraId="0002F4B8" w14:textId="77777777" w:rsidR="00660849" w:rsidRPr="009819BC" w:rsidRDefault="00660849" w:rsidP="008F351C">
      <w:r>
        <w:t>15. Balance compensation strategy to better reward experience, loyalty, and high-impact roles.</w:t>
      </w:r>
    </w:p>
    <w:p w14:paraId="51B60C20" w14:textId="77777777" w:rsidR="009819BC" w:rsidRPr="009819BC" w:rsidRDefault="009819BC" w:rsidP="008F351C">
      <w:pPr>
        <w:rPr>
          <w:b/>
          <w:bCs/>
        </w:rPr>
      </w:pPr>
    </w:p>
    <w:sectPr w:rsidR="009819BC" w:rsidRPr="0098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F1D51"/>
    <w:multiLevelType w:val="hybridMultilevel"/>
    <w:tmpl w:val="6AD25C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68"/>
    <w:rsid w:val="000A5E89"/>
    <w:rsid w:val="00230068"/>
    <w:rsid w:val="00405104"/>
    <w:rsid w:val="005230AC"/>
    <w:rsid w:val="00660849"/>
    <w:rsid w:val="00730C78"/>
    <w:rsid w:val="008F351C"/>
    <w:rsid w:val="009819BC"/>
    <w:rsid w:val="00A60BAB"/>
    <w:rsid w:val="00C5076B"/>
    <w:rsid w:val="00F0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D80A"/>
  <w15:chartTrackingRefBased/>
  <w15:docId w15:val="{FC5186A9-435C-084F-850E-ED8E629B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00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oyeyiola ayanfe</dc:creator>
  <cp:keywords/>
  <dc:description/>
  <cp:lastModifiedBy>OREOLUWA</cp:lastModifiedBy>
  <cp:revision>3</cp:revision>
  <dcterms:created xsi:type="dcterms:W3CDTF">2026-05-28T20:17:00Z</dcterms:created>
  <dcterms:modified xsi:type="dcterms:W3CDTF">2026-05-29T00:55:00Z</dcterms:modified>
</cp:coreProperties>
</file>