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Tata Technologies Limited</w:t>
      </w:r>
    </w:p>
    <w:p>
      <w:r>
        <w:t>Initiating Coverage | NSE: TATATECH | Engineering R&amp;D Services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shd w:fill="B42318"/>
          </w:tcPr>
          <w:p>
            <w:pPr>
              <w:jc w:val="center"/>
            </w:pPr>
            <w:r>
              <w:rPr>
                <w:b/>
                <w:color w:val="FFFFFF"/>
              </w:rPr>
              <w:t>REDUCE</w:t>
            </w:r>
          </w:p>
        </w:tc>
        <w:tc>
          <w:tcPr>
            <w:tcW w:type="dxa" w:w="250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₹520</w:t>
            </w:r>
          </w:p>
        </w:tc>
        <w:tc>
          <w:tcPr>
            <w:tcW w:type="dxa" w:w="250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₹718.55</w:t>
            </w:r>
          </w:p>
        </w:tc>
        <w:tc>
          <w:tcPr>
            <w:tcW w:type="dxa" w:w="2509"/>
            <w:shd w:fill="B42318"/>
          </w:tcPr>
          <w:p>
            <w:pPr>
              <w:jc w:val="center"/>
            </w:pPr>
            <w:r>
              <w:rPr>
                <w:b/>
                <w:color w:val="FFFFFF"/>
              </w:rPr>
              <w:t>-27.6%</w:t>
            </w:r>
          </w:p>
        </w:tc>
      </w:tr>
      <w:tr>
        <w:tc>
          <w:tcPr>
            <w:tcW w:type="dxa" w:w="2509"/>
            <w:shd w:fill="B42318"/>
          </w:tcPr>
          <w:p>
            <w:pPr>
              <w:jc w:val="center"/>
            </w:pPr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250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Blended target</w:t>
            </w:r>
          </w:p>
        </w:tc>
        <w:tc>
          <w:tcPr>
            <w:tcW w:type="dxa" w:w="2509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Current price</w:t>
            </w:r>
          </w:p>
        </w:tc>
        <w:tc>
          <w:tcPr>
            <w:tcW w:type="dxa" w:w="2509"/>
            <w:shd w:fill="B42318"/>
          </w:tcPr>
          <w:p>
            <w:pPr>
              <w:jc w:val="center"/>
            </w:pPr>
            <w:r>
              <w:rPr>
                <w:b/>
                <w:color w:val="FFFFFF"/>
              </w:rPr>
              <w:t>Implied return</w:t>
            </w:r>
          </w:p>
        </w:tc>
      </w:tr>
    </w:tbl>
    <w:p>
      <w:pPr>
        <w:pStyle w:val="Heading1"/>
      </w:pPr>
      <w:r>
        <w:t>Investment view</w:t>
      </w:r>
    </w:p>
    <w:p>
      <w:r>
        <w:t>Strategic positioning is attractive, but FY2026 exposed the tension between revenue growth and earnings quality: revenue rose 6.5%, while EBITDA fell 8.7% and PAT declined 19.3%. The current price appears to discount a fast margin recovery.</w:t>
      </w:r>
    </w:p>
    <w:p>
      <w:pPr>
        <w:pStyle w:val="Heading2"/>
      </w:pPr>
      <w:r>
        <w:t>Core thesis</w:t>
      </w:r>
    </w:p>
    <w:p>
      <w:pPr>
        <w:pStyle w:val="ListBullet"/>
      </w:pPr>
      <w:r>
        <w:t>Global OEM outsourcing and software-defined vehicles expand the addressable market.</w:t>
      </w:r>
    </w:p>
    <w:p>
      <w:pPr>
        <w:pStyle w:val="ListBullet"/>
      </w:pPr>
      <w:r>
        <w:t>BMW TechWorks strengthens credentials but execution and utilisation determine earnings conversion.</w:t>
      </w:r>
    </w:p>
    <w:p>
      <w:pPr>
        <w:pStyle w:val="ListBullet"/>
      </w:pPr>
      <w:r>
        <w:t>A 50/50 blend of FCFF DCF (₹331) and 32x FY2028E EPS (₹709) supports a rounded ₹520 target.</w:t>
      </w:r>
    </w:p>
    <w:p>
      <w:pPr>
        <w:pStyle w:val="Heading2"/>
      </w:pPr>
      <w:r>
        <w:t>Financial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2088"/>
            <w:shd w:fill="1F4E78"/>
          </w:tcPr>
          <w:p>
            <w:r>
              <w:rPr>
                <w:b/>
                <w:color w:val="FFFFFF"/>
                <w:sz w:val="15"/>
              </w:rPr>
              <w:t>₹ crore</w:t>
            </w:r>
          </w:p>
        </w:tc>
        <w:tc>
          <w:tcPr>
            <w:tcW w:type="dxa" w:w="1123"/>
            <w:shd w:fill="1F4E78"/>
          </w:tcPr>
          <w:p>
            <w:r>
              <w:rPr>
                <w:b/>
                <w:color w:val="FFFFFF"/>
                <w:sz w:val="15"/>
              </w:rPr>
              <w:t>FY24A</w:t>
            </w:r>
          </w:p>
        </w:tc>
        <w:tc>
          <w:tcPr>
            <w:tcW w:type="dxa" w:w="1123"/>
            <w:shd w:fill="1F4E78"/>
          </w:tcPr>
          <w:p>
            <w:r>
              <w:rPr>
                <w:b/>
                <w:color w:val="FFFFFF"/>
                <w:sz w:val="15"/>
              </w:rPr>
              <w:t>FY25A</w:t>
            </w:r>
          </w:p>
        </w:tc>
        <w:tc>
          <w:tcPr>
            <w:tcW w:type="dxa" w:w="1123"/>
            <w:shd w:fill="1F4E78"/>
          </w:tcPr>
          <w:p>
            <w:r>
              <w:rPr>
                <w:b/>
                <w:color w:val="FFFFFF"/>
                <w:sz w:val="15"/>
              </w:rPr>
              <w:t>FY26A</w:t>
            </w:r>
          </w:p>
        </w:tc>
        <w:tc>
          <w:tcPr>
            <w:tcW w:type="dxa" w:w="1123"/>
            <w:shd w:fill="1F4E78"/>
          </w:tcPr>
          <w:p>
            <w:r>
              <w:rPr>
                <w:b/>
                <w:color w:val="FFFFFF"/>
                <w:sz w:val="15"/>
              </w:rPr>
              <w:t>FY27E</w:t>
            </w:r>
          </w:p>
        </w:tc>
        <w:tc>
          <w:tcPr>
            <w:tcW w:type="dxa" w:w="1123"/>
            <w:shd w:fill="1F4E78"/>
          </w:tcPr>
          <w:p>
            <w:r>
              <w:rPr>
                <w:b/>
                <w:color w:val="FFFFFF"/>
                <w:sz w:val="15"/>
              </w:rPr>
              <w:t>FY28E</w:t>
            </w:r>
          </w:p>
        </w:tc>
      </w:tr>
      <w:tr>
        <w:tc>
          <w:tcPr>
            <w:tcW w:type="dxa" w:w="208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Revenue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5,117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5,168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5,506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6,056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6,782</w:t>
            </w:r>
          </w:p>
        </w:tc>
      </w:tr>
      <w:tr>
        <w:tc>
          <w:tcPr>
            <w:tcW w:type="dxa" w:w="208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EBITDA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941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934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853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999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1,167</w:t>
            </w:r>
          </w:p>
        </w:tc>
      </w:tr>
      <w:tr>
        <w:tc>
          <w:tcPr>
            <w:tcW w:type="dxa" w:w="208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EBITDA margin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18.4%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18.1%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15.5%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16.5%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17.2%</w:t>
            </w:r>
          </w:p>
        </w:tc>
      </w:tr>
      <w:tr>
        <w:tc>
          <w:tcPr>
            <w:tcW w:type="dxa" w:w="208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PAT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679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677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547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767</w:t>
            </w:r>
          </w:p>
        </w:tc>
        <w:tc>
          <w:tcPr>
            <w:tcW w:type="dxa" w:w="1123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889</w:t>
            </w:r>
          </w:p>
        </w:tc>
      </w:tr>
      <w:tr>
        <w:tc>
          <w:tcPr>
            <w:tcW w:type="dxa" w:w="208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EPS (₹)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16.7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16.7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13.5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18.9</w:t>
            </w:r>
          </w:p>
        </w:tc>
        <w:tc>
          <w:tcPr>
            <w:tcW w:type="dxa" w:w="1123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21.9</w:t>
            </w:r>
          </w:p>
        </w:tc>
      </w:tr>
    </w:tbl>
    <w:p>
      <w:r>
        <w:br w:type="page"/>
      </w:r>
    </w:p>
    <w:p>
      <w:pPr>
        <w:pStyle w:val="Heading1"/>
      </w:pPr>
      <w:r>
        <w:t>Company &amp; industry positioning</w:t>
      </w:r>
    </w:p>
    <w:p>
      <w:r>
        <w:t>Tata Technologies is a specialist engineering-services and digital transformation partner. Automotive product-development heritage differentiates it from broader IT services peers.</w:t>
      </w:r>
    </w:p>
    <w:p>
      <w:pPr>
        <w:pStyle w:val="Heading2"/>
      </w:pPr>
      <w:r>
        <w:t>Business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944"/>
            <w:shd w:fill="1F4E78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600"/>
            <w:shd w:fill="1F4E78"/>
          </w:tcPr>
          <w:p>
            <w:r>
              <w:rPr>
                <w:b/>
                <w:color w:val="FFFFFF"/>
                <w:sz w:val="15"/>
              </w:rPr>
              <w:t>Investment relevance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Services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Engineering, embedded software and digital manufacturing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Higher-margin primary earnings driver</w:t>
            </w:r>
          </w:p>
        </w:tc>
      </w:tr>
      <w:tr>
        <w:tc>
          <w:tcPr>
            <w:tcW w:type="dxa" w:w="194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Technology solutions</w:t>
            </w:r>
          </w:p>
        </w:tc>
        <w:tc>
          <w:tcPr>
            <w:tcW w:type="dxa" w:w="360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PLM software, reselling and education solutions</w:t>
            </w:r>
          </w:p>
        </w:tc>
        <w:tc>
          <w:tcPr>
            <w:tcW w:type="dxa" w:w="360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Adds scale; lower margin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Automotive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Core domain across ICE and EV platforms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Strong credentials; concentration risk</w:t>
            </w:r>
          </w:p>
        </w:tc>
      </w:tr>
      <w:tr>
        <w:tc>
          <w:tcPr>
            <w:tcW w:type="dxa" w:w="194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Aerospace &amp; IHM</w:t>
            </w:r>
          </w:p>
        </w:tc>
        <w:tc>
          <w:tcPr>
            <w:tcW w:type="dxa" w:w="360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Diversification adjacencies</w:t>
            </w:r>
          </w:p>
        </w:tc>
        <w:tc>
          <w:tcPr>
            <w:tcW w:type="dxa" w:w="360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Longer cycles; growth option</w:t>
            </w:r>
          </w:p>
        </w:tc>
      </w:tr>
      <w:tr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BMW TechWorks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50:50 software and business-IT JV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SDV proof point</w:t>
            </w:r>
          </w:p>
        </w:tc>
      </w:tr>
    </w:tbl>
    <w:p>
      <w:pPr>
        <w:pStyle w:val="Heading2"/>
      </w:pPr>
      <w:r>
        <w:t>Competitive advantages</w:t>
      </w:r>
    </w:p>
    <w:p>
      <w:pPr>
        <w:pStyle w:val="ListBullet"/>
      </w:pPr>
      <w:r>
        <w:t>Automotive domain depth across the product lifecycle.</w:t>
      </w:r>
    </w:p>
    <w:p>
      <w:pPr>
        <w:pStyle w:val="ListBullet"/>
      </w:pPr>
      <w:r>
        <w:t>India-centred engineering talent and global delivery.</w:t>
      </w:r>
    </w:p>
    <w:p>
      <w:pPr>
        <w:pStyle w:val="ListBullet"/>
      </w:pPr>
      <w:r>
        <w:t>Tata brand and anchor relationships.</w:t>
      </w:r>
    </w:p>
    <w:p>
      <w:pPr>
        <w:pStyle w:val="ListBullet"/>
      </w:pPr>
      <w:r>
        <w:t>Mechanical, electronics and software integration.</w:t>
      </w:r>
    </w:p>
    <w:p>
      <w:pPr>
        <w:pStyle w:val="Heading2"/>
      </w:pPr>
      <w:r>
        <w:t>Structural drivers</w:t>
      </w:r>
    </w:p>
    <w:p>
      <w:pPr>
        <w:pStyle w:val="ListBullet"/>
      </w:pPr>
      <w:r>
        <w:t>Rising software content per vehicle.</w:t>
      </w:r>
    </w:p>
    <w:p>
      <w:pPr>
        <w:pStyle w:val="ListBullet"/>
      </w:pPr>
      <w:r>
        <w:t>OEM need to shorten development cycles.</w:t>
      </w:r>
    </w:p>
    <w:p>
      <w:pPr>
        <w:pStyle w:val="ListBullet"/>
      </w:pPr>
      <w:r>
        <w:t>Electrification, connected products and digital twins.</w:t>
      </w:r>
    </w:p>
    <w:p>
      <w:pPr>
        <w:pStyle w:val="ListBullet"/>
      </w:pPr>
      <w:r>
        <w:t>Aerospace localisation and industrial automation.</w:t>
      </w:r>
    </w:p>
    <w:p>
      <w:r>
        <w:br w:type="page"/>
      </w:r>
    </w:p>
    <w:p>
      <w:pPr>
        <w:pStyle w:val="Heading1"/>
      </w:pPr>
      <w:r>
        <w:t>Financial performance &amp; forecast</w:t>
      </w:r>
    </w:p>
    <w:p>
      <w:r>
        <w:t>FY2026 revenue reached ₹5,506 crore, but EBITDA declined to ₹853 crore and PAT to ₹547 crore. The base case assumes gradual, not immediate, margin recovery.</w:t>
      </w:r>
    </w:p>
    <w:p>
      <w:pPr>
        <w:pStyle w:val="Heading2"/>
      </w:pPr>
      <w:r>
        <w:t>Forecast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5"/>
        <w:gridCol w:w="1115"/>
        <w:gridCol w:w="1115"/>
        <w:gridCol w:w="1115"/>
        <w:gridCol w:w="1115"/>
        <w:gridCol w:w="1115"/>
        <w:gridCol w:w="1115"/>
        <w:gridCol w:w="1115"/>
        <w:gridCol w:w="1115"/>
      </w:tblGrid>
      <w:tr>
        <w:tc>
          <w:tcPr>
            <w:tcW w:type="dxa" w:w="1584"/>
            <w:shd w:fill="1F4E78"/>
          </w:tcPr>
          <w:p>
            <w:r>
              <w:rPr>
                <w:b/>
                <w:color w:val="FFFFFF"/>
                <w:sz w:val="15"/>
              </w:rPr>
              <w:t>₹ crore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FY24A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FY25A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FY26A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FY27E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FY28E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FY29E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FY30E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5"/>
              </w:rPr>
              <w:t>FY31E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Revenue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5,117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5,168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5,506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6,056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6,782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7,596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8,432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9,275</w:t>
            </w:r>
          </w:p>
        </w:tc>
      </w:tr>
      <w:tr>
        <w:tc>
          <w:tcPr>
            <w:tcW w:type="dxa" w:w="158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EBITDA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941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934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853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999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1,167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1,352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1,535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1,716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Margin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18.4%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18.1%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15.5%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16.5%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17.2%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17.8%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18.2%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18.5%</w:t>
            </w:r>
          </w:p>
        </w:tc>
      </w:tr>
      <w:tr>
        <w:tc>
          <w:tcPr>
            <w:tcW w:type="dxa" w:w="158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PAT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679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677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547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767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889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1,019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1,150</w:t>
            </w:r>
          </w:p>
        </w:tc>
        <w:tc>
          <w:tcPr>
            <w:tcW w:type="dxa" w:w="93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1,278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FCFF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—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—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—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613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708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830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930</w:t>
            </w:r>
          </w:p>
        </w:tc>
        <w:tc>
          <w:tcPr>
            <w:tcW w:type="dxa" w:w="93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1,063</w:t>
            </w:r>
          </w:p>
        </w:tc>
      </w:tr>
    </w:tbl>
    <w:p>
      <w:pPr>
        <w:pStyle w:val="Heading2"/>
      </w:pPr>
      <w:r>
        <w:t>Forecast framework</w:t>
      </w:r>
    </w:p>
    <w:p>
      <w:pPr>
        <w:pStyle w:val="ListBullet"/>
      </w:pPr>
      <w:r>
        <w:t>Revenue growth of 10-12% through FY2029, moderating thereafter.</w:t>
      </w:r>
    </w:p>
    <w:p>
      <w:pPr>
        <w:pStyle w:val="ListBullet"/>
      </w:pPr>
      <w:r>
        <w:t>EBITDA margin recovers to 18.5% by FY2031.</w:t>
      </w:r>
    </w:p>
    <w:p>
      <w:pPr>
        <w:pStyle w:val="ListBullet"/>
      </w:pPr>
      <w:r>
        <w:t>Tax normalises to 25.5%; capex stays near 2.2% of revenue.</w:t>
      </w:r>
    </w:p>
    <w:p>
      <w:pPr>
        <w:pStyle w:val="ListBullet"/>
      </w:pPr>
      <w:r>
        <w:t>Working-capital intensity improves gradually.</w:t>
      </w:r>
    </w:p>
    <w:p>
      <w:pPr>
        <w:pStyle w:val="Heading2"/>
      </w:pPr>
      <w:r>
        <w:t>Watchpoints</w:t>
      </w:r>
    </w:p>
    <w:p>
      <w:pPr>
        <w:pStyle w:val="ListBullet"/>
      </w:pPr>
      <w:r>
        <w:t>Organic versus acquired growth.</w:t>
      </w:r>
    </w:p>
    <w:p>
      <w:pPr>
        <w:pStyle w:val="ListBullet"/>
      </w:pPr>
      <w:r>
        <w:t>Employee cost and utilisation.</w:t>
      </w:r>
    </w:p>
    <w:p>
      <w:pPr>
        <w:pStyle w:val="ListBullet"/>
      </w:pPr>
      <w:r>
        <w:t>Operating cash conversion and DSO.</w:t>
      </w:r>
    </w:p>
    <w:p>
      <w:pPr>
        <w:pStyle w:val="ListBullet"/>
      </w:pPr>
      <w:r>
        <w:t>Non-automotive diversification.</w:t>
      </w:r>
    </w:p>
    <w:p>
      <w:r>
        <w:br w:type="page"/>
      </w:r>
    </w:p>
    <w:p>
      <w:pPr>
        <w:pStyle w:val="Heading1"/>
      </w:pPr>
      <w:r>
        <w:t>Valuation</w:t>
      </w:r>
    </w:p>
    <w:p>
      <w:r>
        <w:t>A blended framework balances DCF cash economics with the market convention of valuing specialist engineering-services companies on forward earnings.</w:t>
      </w:r>
    </w:p>
    <w:p>
      <w:pPr>
        <w:pStyle w:val="Heading2"/>
      </w:pPr>
      <w:r>
        <w:t>FCFF DCF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032"/>
            <w:shd w:fill="1F4E78"/>
          </w:tcPr>
          <w:p>
            <w:r>
              <w:rPr>
                <w:b/>
                <w:color w:val="FFFFFF"/>
                <w:sz w:val="15"/>
              </w:rPr>
              <w:t>Assumption / output</w:t>
            </w:r>
          </w:p>
        </w:tc>
        <w:tc>
          <w:tcPr>
            <w:tcW w:type="dxa" w:w="3168"/>
            <w:shd w:fill="1F4E78"/>
          </w:tcPr>
          <w:p>
            <w:r>
              <w:rPr>
                <w:b/>
                <w:color w:val="FFFFFF"/>
                <w:sz w:val="15"/>
              </w:rPr>
              <w:t>Base case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WACC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11.5%</w:t>
            </w:r>
          </w:p>
        </w:tc>
      </w:tr>
      <w:tr>
        <w:tc>
          <w:tcPr>
            <w:tcW w:type="dxa" w:w="403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Terminal growth</w:t>
            </w:r>
          </w:p>
        </w:tc>
        <w:tc>
          <w:tcPr>
            <w:tcW w:type="dxa" w:w="316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5.0%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PV forecast FCFF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₹2,936 crore</w:t>
            </w:r>
          </w:p>
        </w:tc>
      </w:tr>
      <w:tr>
        <w:tc>
          <w:tcPr>
            <w:tcW w:type="dxa" w:w="403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PV terminal value</w:t>
            </w:r>
          </w:p>
        </w:tc>
        <w:tc>
          <w:tcPr>
            <w:tcW w:type="dxa" w:w="316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₹9,965 crore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Enterprise value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₹12,902 crore</w:t>
            </w:r>
          </w:p>
        </w:tc>
      </w:tr>
      <w:tr>
        <w:tc>
          <w:tcPr>
            <w:tcW w:type="dxa" w:w="403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Equity value</w:t>
            </w:r>
          </w:p>
        </w:tc>
        <w:tc>
          <w:tcPr>
            <w:tcW w:type="dxa" w:w="316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₹13,444 crore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DCF / share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₹331</w:t>
            </w:r>
          </w:p>
        </w:tc>
      </w:tr>
    </w:tbl>
    <w:p>
      <w:pPr>
        <w:pStyle w:val="Heading2"/>
      </w:pPr>
      <w:r>
        <w:t>Blended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5"/>
              </w:rPr>
              <w:t>Weight</w:t>
            </w:r>
          </w:p>
        </w:tc>
        <w:tc>
          <w:tcPr>
            <w:tcW w:type="dxa" w:w="1944"/>
            <w:shd w:fill="1F4E78"/>
          </w:tcPr>
          <w:p>
            <w:r>
              <w:rPr>
                <w:b/>
                <w:color w:val="FFFFFF"/>
                <w:sz w:val="15"/>
              </w:rPr>
              <w:t>Value / share</w:t>
            </w:r>
          </w:p>
        </w:tc>
        <w:tc>
          <w:tcPr>
            <w:tcW w:type="dxa" w:w="1944"/>
            <w:shd w:fill="1F4E78"/>
          </w:tcPr>
          <w:p>
            <w:r>
              <w:rPr>
                <w:b/>
                <w:color w:val="FFFFFF"/>
                <w:sz w:val="15"/>
              </w:rPr>
              <w:t>Contribution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FCFF DCF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50%</w:t>
            </w:r>
          </w:p>
        </w:tc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₹331</w:t>
            </w:r>
          </w:p>
        </w:tc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₹166</w:t>
            </w:r>
          </w:p>
        </w:tc>
      </w:tr>
      <w:tr>
        <w:tc>
          <w:tcPr>
            <w:tcW w:type="dxa" w:w="288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FY2028E P/E (32x)</w:t>
            </w:r>
          </w:p>
        </w:tc>
        <w:tc>
          <w:tcPr>
            <w:tcW w:type="dxa" w:w="144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50%</w:t>
            </w:r>
          </w:p>
        </w:tc>
        <w:tc>
          <w:tcPr>
            <w:tcW w:type="dxa" w:w="194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₹709</w:t>
            </w:r>
          </w:p>
        </w:tc>
        <w:tc>
          <w:tcPr>
            <w:tcW w:type="dxa" w:w="1944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₹355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Rounded target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100%</w:t>
            </w:r>
          </w:p>
        </w:tc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₹520</w:t>
            </w:r>
          </w:p>
        </w:tc>
        <w:tc>
          <w:tcPr>
            <w:tcW w:type="dxa" w:w="1944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₹520</w:t>
            </w:r>
          </w:p>
        </w:tc>
      </w:tr>
    </w:tbl>
    <w:p>
      <w:pPr>
        <w:pStyle w:val="Heading2"/>
      </w:pPr>
      <w:r>
        <w:t>DCF sensitivity (₹ / share)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872"/>
            <w:shd w:fill="1F4E78"/>
          </w:tcPr>
          <w:p>
            <w:r>
              <w:rPr>
                <w:b/>
                <w:color w:val="FFFFFF"/>
                <w:sz w:val="15"/>
              </w:rPr>
              <w:t>WACC / TGR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5"/>
              </w:rPr>
              <w:t>4.0%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5"/>
              </w:rPr>
              <w:t>4.5%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5"/>
              </w:rPr>
              <w:t>5.0%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5"/>
              </w:rPr>
              <w:t>5.5%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5"/>
              </w:rPr>
              <w:t>6.0%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10.5%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342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365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391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423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462</w:t>
            </w:r>
          </w:p>
        </w:tc>
      </w:tr>
      <w:tr>
        <w:tc>
          <w:tcPr>
            <w:tcW w:type="dxa" w:w="187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11.0%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318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337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359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385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416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11.5%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296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313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331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353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379</w:t>
            </w:r>
          </w:p>
        </w:tc>
      </w:tr>
      <w:tr>
        <w:tc>
          <w:tcPr>
            <w:tcW w:type="dxa" w:w="187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12.0%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278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292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308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326</w:t>
            </w:r>
          </w:p>
        </w:tc>
        <w:tc>
          <w:tcPr>
            <w:tcW w:type="dxa" w:w="1296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347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12.5%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262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274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287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303</w:t>
            </w:r>
          </w:p>
        </w:tc>
        <w:tc>
          <w:tcPr>
            <w:tcW w:type="dxa" w:w="1296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321</w:t>
            </w:r>
          </w:p>
        </w:tc>
      </w:tr>
    </w:tbl>
    <w:p>
      <w:r>
        <w:br w:type="page"/>
      </w:r>
    </w:p>
    <w:p>
      <w:pPr>
        <w:pStyle w:val="Heading1"/>
      </w:pPr>
      <w:r>
        <w:t>Catalysts, risks &amp; scenarios</w:t>
      </w:r>
    </w:p>
    <w:p>
      <w:r>
        <w:t>The stock’s payoff is asymmetric because expectations are high. Evidence of margin recovery can support the premium; modest execution misses can compress both estimates and the multiple.</w:t>
      </w:r>
    </w:p>
    <w:p>
      <w:pPr>
        <w:pStyle w:val="Heading2"/>
      </w:pPr>
      <w:r>
        <w:t>Catalysts</w:t>
      </w:r>
    </w:p>
    <w:p>
      <w:pPr>
        <w:pStyle w:val="ListBullet"/>
      </w:pPr>
      <w:r>
        <w:t>BMW TechWorks scales faster than expected.</w:t>
      </w:r>
    </w:p>
    <w:p>
      <w:pPr>
        <w:pStyle w:val="ListBullet"/>
      </w:pPr>
      <w:r>
        <w:t>Aerospace and IHM wins reduce concentration.</w:t>
      </w:r>
    </w:p>
    <w:p>
      <w:pPr>
        <w:pStyle w:val="ListBullet"/>
      </w:pPr>
      <w:r>
        <w:t>Utilisation and acquisition synergies lift margins.</w:t>
      </w:r>
    </w:p>
    <w:p>
      <w:pPr>
        <w:pStyle w:val="ListBullet"/>
      </w:pPr>
      <w:r>
        <w:t>Cash conversion supports distributions.</w:t>
      </w:r>
    </w:p>
    <w:p>
      <w:pPr>
        <w:pStyle w:val="Heading2"/>
      </w:pPr>
      <w:r>
        <w:t>Risks</w:t>
      </w:r>
    </w:p>
    <w:p>
      <w:pPr>
        <w:pStyle w:val="ListBullet"/>
      </w:pPr>
      <w:r>
        <w:t>OEM programme delays or pricing pressure.</w:t>
      </w:r>
    </w:p>
    <w:p>
      <w:pPr>
        <w:pStyle w:val="ListBullet"/>
      </w:pPr>
      <w:r>
        <w:t>Wage inflation and lower utilisation.</w:t>
      </w:r>
    </w:p>
    <w:p>
      <w:pPr>
        <w:pStyle w:val="ListBullet"/>
      </w:pPr>
      <w:r>
        <w:t>Acquisition integration and amortisation.</w:t>
      </w:r>
    </w:p>
    <w:p>
      <w:pPr>
        <w:pStyle w:val="ListBullet"/>
      </w:pPr>
      <w:r>
        <w:t>Client concentration.</w:t>
      </w:r>
    </w:p>
    <w:p>
      <w:pPr>
        <w:pStyle w:val="ListBullet"/>
      </w:pPr>
      <w:r>
        <w:t>High starting valuation.</w:t>
      </w:r>
    </w:p>
    <w:p>
      <w:pPr>
        <w:pStyle w:val="Heading2"/>
      </w:pPr>
      <w:r>
        <w:t>Scenario framing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440"/>
            <w:shd w:fill="1F4E78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472"/>
            <w:shd w:fill="1F4E78"/>
          </w:tcPr>
          <w:p>
            <w:r>
              <w:rPr>
                <w:b/>
                <w:color w:val="FFFFFF"/>
                <w:sz w:val="15"/>
              </w:rPr>
              <w:t>Operating assumptions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  <w:color w:val="FFFFFF"/>
                <w:sz w:val="15"/>
              </w:rPr>
              <w:t>Indicative value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Bull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13-15% growth; 19% terminal margin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₹600-700</w:t>
            </w:r>
          </w:p>
        </w:tc>
      </w:tr>
      <w:tr>
        <w:tc>
          <w:tcPr>
            <w:tcW w:type="dxa" w:w="1440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Base</w:t>
            </w:r>
          </w:p>
        </w:tc>
        <w:tc>
          <w:tcPr>
            <w:tcW w:type="dxa" w:w="547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10-12% growth; 18.5% FY31 margin</w:t>
            </w:r>
          </w:p>
        </w:tc>
        <w:tc>
          <w:tcPr>
            <w:tcW w:type="dxa" w:w="187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₹520 blended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Bear</w:t>
            </w:r>
          </w:p>
        </w:tc>
        <w:tc>
          <w:tcPr>
            <w:tcW w:type="dxa" w:w="54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6-8% growth; margin near 16%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₹300-380</w:t>
            </w:r>
          </w:p>
        </w:tc>
      </w:tr>
    </w:tbl>
    <w:p>
      <w:pPr>
        <w:pStyle w:val="Heading2"/>
      </w:pPr>
      <w:r>
        <w:t>Monitoring checklist</w:t>
      </w:r>
    </w:p>
    <w:p>
      <w:pPr>
        <w:pStyle w:val="ListBullet"/>
      </w:pPr>
      <w:r>
        <w:t>Services constant-currency growth.</w:t>
      </w:r>
    </w:p>
    <w:p>
      <w:pPr>
        <w:pStyle w:val="ListBullet"/>
      </w:pPr>
      <w:r>
        <w:t>EBITDA margin before exceptional items.</w:t>
      </w:r>
    </w:p>
    <w:p>
      <w:pPr>
        <w:pStyle w:val="ListBullet"/>
      </w:pPr>
      <w:r>
        <w:t>Top-client contribution and new logos.</w:t>
      </w:r>
    </w:p>
    <w:p>
      <w:pPr>
        <w:pStyle w:val="ListBullet"/>
      </w:pPr>
      <w:r>
        <w:t>Headcount, utilisation and attrition.</w:t>
      </w:r>
    </w:p>
    <w:p>
      <w:pPr>
        <w:pStyle w:val="ListBullet"/>
      </w:pPr>
      <w:r>
        <w:t>Operating cash flow and DSO.</w:t>
      </w:r>
    </w:p>
    <w:p>
      <w:r>
        <w:br w:type="page"/>
      </w:r>
    </w:p>
    <w:p>
      <w:pPr>
        <w:pStyle w:val="Heading1"/>
      </w:pPr>
      <w:r>
        <w:t>Appendix: methodology, sources &amp; disclosure</w:t>
      </w:r>
    </w:p>
    <w:p>
      <w:r>
        <w:t>Historical figures use audited consolidated statements. Forecasts are independent estimates from the linked three-statement model. FCFF equals NOPAT plus D&amp;A less capex and change in NWC.</w:t>
      </w:r>
    </w:p>
    <w:p>
      <w:pPr>
        <w:pStyle w:val="Heading2"/>
      </w:pPr>
      <w:r>
        <w:t>Primary sources</w:t>
      </w:r>
    </w:p>
    <w:p>
      <w:r>
        <w:t>Tata Technologies Annual Report FY2025-26: https://ttlwebassets.tatatechnologies.com/app/uploads/2026/06/Annual-Report-FY-2025-26.pdf</w:t>
        <w:br/>
        <w:br/>
        <w:t>Tata Technologies Annual Report FY2024-25: https://ttlwebassets.tatatechnologies.com/app/uploads/2025/05/Annual-Report-FY-2024-25.pdf</w:t>
        <w:br/>
        <w:br/>
        <w:t>Market price: https://www.indmoney.com/stocks/tata-technologies-ltd-share-price</w:t>
        <w:br/>
        <w:br/>
        <w:t>India 10Y yield: https://www.investing.com/rates-bonds/india-10-year-bond-yield-historical-data</w:t>
        <w:br/>
        <w:br/>
        <w:t>ERP reference: https://pages.stern.nyu.edu/~adamodar/pdfiles/country/val2dayDubai2026.pdf</w:t>
      </w:r>
    </w:p>
    <w:p>
      <w:pPr>
        <w:pStyle w:val="Heading2"/>
      </w:pPr>
      <w:r>
        <w:t>Model linkage</w:t>
      </w:r>
    </w:p>
    <w:p>
      <w:r>
        <w:t>Supporting workbook tabs: Cover, Assumptions, 3 Statement Model, DCF, Checks, and Sources &amp; Audit. Editable assumptions are blue; the final model-status check is OK.</w:t>
      </w:r>
    </w:p>
    <w:p>
      <w:pPr>
        <w:pStyle w:val="Heading2"/>
      </w:pPr>
      <w:r>
        <w:t>Disclosure</w:t>
      </w:r>
    </w:p>
    <w:p>
      <w:r>
        <w:t>Independent educational portfolio project prepared by Ayan Kumar Garg. Not investment advice, an offer, or a solicitation. Public information and prices may change after the valuation date.</w:t>
      </w:r>
    </w:p>
    <w:p>
      <w:pPr>
        <w:pStyle w:val="Heading2"/>
      </w:pPr>
      <w:r>
        <w:t>Rating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728"/>
            <w:shd w:fill="1F4E78"/>
          </w:tcPr>
          <w:p>
            <w:r>
              <w:rPr>
                <w:b/>
                <w:color w:val="FFFFFF"/>
                <w:sz w:val="15"/>
              </w:rPr>
              <w:t>Rating</w:t>
            </w:r>
          </w:p>
        </w:tc>
        <w:tc>
          <w:tcPr>
            <w:tcW w:type="dxa" w:w="6912"/>
            <w:shd w:fill="1F4E78"/>
          </w:tcPr>
          <w:p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BUY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Expected 12-month return above +15%</w:t>
            </w:r>
          </w:p>
        </w:tc>
      </w:tr>
      <w:tr>
        <w:tc>
          <w:tcPr>
            <w:tcW w:type="dxa" w:w="1728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HOLD</w:t>
            </w:r>
          </w:p>
        </w:tc>
        <w:tc>
          <w:tcPr>
            <w:tcW w:type="dxa" w:w="6912"/>
            <w:shd w:fill="F3F6F8"/>
          </w:tcPr>
          <w:p>
            <w:r>
              <w:rPr>
                <w:rFonts w:ascii="Arial" w:hAnsi="Arial"/>
                <w:color w:val="17212B"/>
                <w:sz w:val="15"/>
              </w:rPr>
              <w:t>Expected return between -10% and +15%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REDUCE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7212B"/>
                <w:sz w:val="15"/>
              </w:rPr>
              <w:t>Expected return below -10%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Independent portfolio research | 11 July 2026 | Educational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AYAN KUMAR GARG  |  EQUITY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