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2E4F8A"/>
          <w:sz w:val="72"/>
          <w:szCs w:val="72"/>
        </w:rPr>
        <w:t xml:space="preserve">SUPERSTORE</w:t>
      </w:r>
    </w:p>
    <w:p>
      <w:pPr>
        <w:spacing w:after="80" w:before="0"/>
        <w:jc w:val="center"/>
      </w:pPr>
      <w:r>
        <w:rPr>
          <w:rFonts w:ascii="Arial" w:cs="Arial" w:eastAsia="Arial" w:hAnsi="Arial"/>
          <w:b/>
          <w:bCs/>
          <w:color w:val="1F3A6E"/>
          <w:sz w:val="40"/>
          <w:szCs w:val="40"/>
        </w:rPr>
        <w:t xml:space="preserve">Sales &amp; Performance Analysis Report</w:t>
      </w:r>
    </w:p>
    <w:p>
      <w:pPr>
        <w:pBdr>
          <w:bottom w:val="single" w:color="2E4F8A" w:sz="6" w:space="4"/>
        </w:pBdr>
        <w:spacing w:after="40" w:before="40"/>
        <w:jc w:val="center"/>
      </w:pPr>
      <w:r>
        <w:rPr>
          <w:rFonts w:ascii="Arial" w:cs="Arial" w:eastAsia="Arial" w:hAnsi="Arial"/>
          <w:color w:val="666666"/>
          <w:sz w:val="24"/>
          <w:szCs w:val="24"/>
        </w:rPr>
        <w:t xml:space="preserve">Fiscal Years 2016 – 2019</w:t>
      </w:r>
    </w:p>
    <w:p>
      <w:pPr>
        <w:spacing w:after="480" w:before="120"/>
        <w:jc w:val="center"/>
      </w:pPr>
      <w:r>
        <w:rPr>
          <w:rFonts w:ascii="Arial" w:cs="Arial" w:eastAsia="Arial" w:hAnsi="Arial"/>
          <w:i/>
          <w:iCs/>
          <w:color w:val="999999"/>
          <w:sz w:val="20"/>
          <w:szCs w:val="20"/>
        </w:rPr>
        <w:t xml:space="preserve">Prepared from Sample Superstore Dataset</w:t>
      </w:r>
    </w:p>
    <w:p>
      <w:pPr>
        <w:pStyle w:val="Heading1"/>
        <w:pBdr>
          <w:bottom w:val="single" w:color="2E4F8A" w:sz="8" w:space="4"/>
        </w:pBdr>
        <w:spacing w:after="160" w:before="360"/>
      </w:pPr>
      <w:r>
        <w:rPr>
          <w:rFonts w:ascii="Arial" w:cs="Arial" w:eastAsia="Arial" w:hAnsi="Arial"/>
          <w:b/>
          <w:bCs/>
          <w:color w:val="2E4F8A"/>
          <w:sz w:val="36"/>
          <w:szCs w:val="36"/>
        </w:rPr>
        <w:t xml:space="preserve">1. Executive Summary</w:t>
      </w:r>
    </w:p>
    <w:p>
      <w:pPr>
        <w:spacing w:after="100" w:before="60"/>
      </w:pPr>
      <w:r>
        <w:rPr>
          <w:rFonts w:ascii="Arial" w:cs="Arial" w:eastAsia="Arial" w:hAnsi="Arial"/>
          <w:color w:val="333333"/>
          <w:sz w:val="22"/>
          <w:szCs w:val="22"/>
        </w:rPr>
        <w:t xml:space="preserve">This report presents a comprehensive analysis of the Sample Superstore dataset, covering four years of retail transactions from January 2016 through December 2019. The dataset contains 9,994 order line items across 5,009 unique orders, spanning three product categories, four geographic regions, and three customer segments.</w:t>
      </w:r>
    </w:p>
    <w:p>
      <w:pPr>
        <w:spacing w:after="100" w:before="60"/>
      </w:pPr>
      <w:r>
        <w:rPr>
          <w:rFonts w:ascii="Arial" w:cs="Arial" w:eastAsia="Arial" w:hAnsi="Arial"/>
          <w:color w:val="333333"/>
          <w:sz w:val="22"/>
          <w:szCs w:val="22"/>
        </w:rPr>
        <w:t xml:space="preserve">Over the reporting period, total sales reached $2,297,200.86 with a net profit of $286,397.02, reflecting an overall profit margin of 12.5%. Sales grew consistently year over year, with a 51.4% increase from 2016 to 2019. The West region and Technology category emerged as top performers, while the Furniture category and specific states such as Texas and Pennsylvania pose ongoing profitability challenges.</w:t>
      </w:r>
    </w:p>
    <w:p>
      <w:pPr>
        <w:spacing w:after="200"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F8A" w:sz="6"/>
              <w:left w:val="single" w:color="CCCCCC" w:sz="1"/>
              <w:bottom w:val="single" w:color="2E4F8A" w:sz="6"/>
              <w:right w:val="single" w:color="CCCCCC" w:sz="1"/>
            </w:tcBorders>
            <w:shd w:fill="EEF3FB" w:val="clear"/>
            <w:tcMar>
              <w:top w:type="dxa" w:w="160"/>
              <w:left w:type="dxa" w:w="160"/>
              <w:bottom w:type="dxa" w:w="160"/>
              <w:right w:type="dxa" w:w="160"/>
            </w:tcMar>
          </w:tcPr>
          <w:p>
            <w:pPr>
              <w:jc w:val="center"/>
            </w:pPr>
            <w:r>
              <w:rPr>
                <w:rFonts w:ascii="Arial" w:cs="Arial" w:eastAsia="Arial" w:hAnsi="Arial"/>
                <w:b/>
                <w:bCs/>
                <w:color w:val="2E4F8A"/>
                <w:sz w:val="36"/>
                <w:szCs w:val="36"/>
              </w:rPr>
              <w:t xml:space="preserve">$2.30M</w:t>
            </w:r>
          </w:p>
          <w:p>
            <w:pPr>
              <w:jc w:val="center"/>
            </w:pPr>
            <w:r>
              <w:rPr>
                <w:rFonts w:ascii="Arial" w:cs="Arial" w:eastAsia="Arial" w:hAnsi="Arial"/>
                <w:color w:val="666666"/>
                <w:sz w:val="18"/>
                <w:szCs w:val="18"/>
              </w:rPr>
              <w:t xml:space="preserve">Total Sales</w:t>
            </w:r>
          </w:p>
        </w:tc>
        <w:tc>
          <w:tcPr>
            <w:tcW w:type="dxa" w:w="2340"/>
            <w:tcBorders>
              <w:top w:val="single" w:color="2E4F8A" w:sz="6"/>
              <w:left w:val="single" w:color="CCCCCC" w:sz="1"/>
              <w:bottom w:val="single" w:color="2E4F8A" w:sz="6"/>
              <w:right w:val="single" w:color="CCCCCC" w:sz="1"/>
            </w:tcBorders>
            <w:shd w:fill="EEF3FB" w:val="clear"/>
            <w:tcMar>
              <w:top w:type="dxa" w:w="160"/>
              <w:left w:type="dxa" w:w="160"/>
              <w:bottom w:type="dxa" w:w="160"/>
              <w:right w:type="dxa" w:w="160"/>
            </w:tcMar>
          </w:tcPr>
          <w:p>
            <w:pPr>
              <w:jc w:val="center"/>
            </w:pPr>
            <w:r>
              <w:rPr>
                <w:rFonts w:ascii="Arial" w:cs="Arial" w:eastAsia="Arial" w:hAnsi="Arial"/>
                <w:b/>
                <w:bCs/>
                <w:color w:val="2E4F8A"/>
                <w:sz w:val="36"/>
                <w:szCs w:val="36"/>
              </w:rPr>
              <w:t xml:space="preserve">$286K</w:t>
            </w:r>
          </w:p>
          <w:p>
            <w:pPr>
              <w:jc w:val="center"/>
            </w:pPr>
            <w:r>
              <w:rPr>
                <w:rFonts w:ascii="Arial" w:cs="Arial" w:eastAsia="Arial" w:hAnsi="Arial"/>
                <w:color w:val="666666"/>
                <w:sz w:val="18"/>
                <w:szCs w:val="18"/>
              </w:rPr>
              <w:t xml:space="preserve">Total Profit</w:t>
            </w:r>
          </w:p>
        </w:tc>
        <w:tc>
          <w:tcPr>
            <w:tcW w:type="dxa" w:w="2340"/>
            <w:tcBorders>
              <w:top w:val="single" w:color="2E4F8A" w:sz="6"/>
              <w:left w:val="single" w:color="CCCCCC" w:sz="1"/>
              <w:bottom w:val="single" w:color="2E4F8A" w:sz="6"/>
              <w:right w:val="single" w:color="CCCCCC" w:sz="1"/>
            </w:tcBorders>
            <w:shd w:fill="EEF3FB" w:val="clear"/>
            <w:tcMar>
              <w:top w:type="dxa" w:w="160"/>
              <w:left w:type="dxa" w:w="160"/>
              <w:bottom w:type="dxa" w:w="160"/>
              <w:right w:type="dxa" w:w="160"/>
            </w:tcMar>
          </w:tcPr>
          <w:p>
            <w:pPr>
              <w:jc w:val="center"/>
            </w:pPr>
            <w:r>
              <w:rPr>
                <w:rFonts w:ascii="Arial" w:cs="Arial" w:eastAsia="Arial" w:hAnsi="Arial"/>
                <w:b/>
                <w:bCs/>
                <w:color w:val="2E4F8A"/>
                <w:sz w:val="36"/>
                <w:szCs w:val="36"/>
              </w:rPr>
              <w:t xml:space="preserve">12.5%</w:t>
            </w:r>
          </w:p>
          <w:p>
            <w:pPr>
              <w:jc w:val="center"/>
            </w:pPr>
            <w:r>
              <w:rPr>
                <w:rFonts w:ascii="Arial" w:cs="Arial" w:eastAsia="Arial" w:hAnsi="Arial"/>
                <w:color w:val="666666"/>
                <w:sz w:val="18"/>
                <w:szCs w:val="18"/>
              </w:rPr>
              <w:t xml:space="preserve">Profit Margin</w:t>
            </w:r>
          </w:p>
        </w:tc>
        <w:tc>
          <w:tcPr>
            <w:tcW w:type="dxa" w:w="2340"/>
            <w:tcBorders>
              <w:top w:val="single" w:color="2E4F8A" w:sz="6"/>
              <w:left w:val="single" w:color="CCCCCC" w:sz="1"/>
              <w:bottom w:val="single" w:color="2E4F8A" w:sz="6"/>
              <w:right w:val="single" w:color="CCCCCC" w:sz="1"/>
            </w:tcBorders>
            <w:shd w:fill="EEF3FB" w:val="clear"/>
            <w:tcMar>
              <w:top w:type="dxa" w:w="160"/>
              <w:left w:type="dxa" w:w="160"/>
              <w:bottom w:type="dxa" w:w="160"/>
              <w:right w:type="dxa" w:w="160"/>
            </w:tcMar>
          </w:tcPr>
          <w:p>
            <w:pPr>
              <w:jc w:val="center"/>
            </w:pPr>
            <w:r>
              <w:rPr>
                <w:rFonts w:ascii="Arial" w:cs="Arial" w:eastAsia="Arial" w:hAnsi="Arial"/>
                <w:b/>
                <w:bCs/>
                <w:color w:val="2E4F8A"/>
                <w:sz w:val="36"/>
                <w:szCs w:val="36"/>
              </w:rPr>
              <w:t xml:space="preserve">37,873</w:t>
            </w:r>
          </w:p>
          <w:p>
            <w:pPr>
              <w:jc w:val="center"/>
            </w:pPr>
            <w:r>
              <w:rPr>
                <w:rFonts w:ascii="Arial" w:cs="Arial" w:eastAsia="Arial" w:hAnsi="Arial"/>
                <w:color w:val="666666"/>
                <w:sz w:val="18"/>
                <w:szCs w:val="18"/>
              </w:rPr>
              <w:t xml:space="preserve">Units Sold</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F8A" w:sz="6"/>
              <w:left w:val="single" w:color="CCCCCC" w:sz="1"/>
              <w:bottom w:val="single" w:color="2E4F8A" w:sz="6"/>
              <w:right w:val="single" w:color="CCCCCC" w:sz="1"/>
            </w:tcBorders>
            <w:shd w:fill="EEF3FB" w:val="clear"/>
            <w:tcMar>
              <w:top w:type="dxa" w:w="160"/>
              <w:left w:type="dxa" w:w="160"/>
              <w:bottom w:type="dxa" w:w="160"/>
              <w:right w:type="dxa" w:w="160"/>
            </w:tcMar>
          </w:tcPr>
          <w:p>
            <w:pPr>
              <w:jc w:val="center"/>
            </w:pPr>
            <w:r>
              <w:rPr>
                <w:rFonts w:ascii="Arial" w:cs="Arial" w:eastAsia="Arial" w:hAnsi="Arial"/>
                <w:b/>
                <w:bCs/>
                <w:color w:val="2E4F8A"/>
                <w:sz w:val="36"/>
                <w:szCs w:val="36"/>
              </w:rPr>
              <w:t xml:space="preserve">9,994</w:t>
            </w:r>
          </w:p>
          <w:p>
            <w:pPr>
              <w:jc w:val="center"/>
            </w:pPr>
            <w:r>
              <w:rPr>
                <w:rFonts w:ascii="Arial" w:cs="Arial" w:eastAsia="Arial" w:hAnsi="Arial"/>
                <w:color w:val="666666"/>
                <w:sz w:val="18"/>
                <w:szCs w:val="18"/>
              </w:rPr>
              <w:t xml:space="preserve">Order Line Items</w:t>
            </w:r>
          </w:p>
        </w:tc>
        <w:tc>
          <w:tcPr>
            <w:tcW w:type="dxa" w:w="2340"/>
            <w:tcBorders>
              <w:top w:val="single" w:color="2E4F8A" w:sz="6"/>
              <w:left w:val="single" w:color="CCCCCC" w:sz="1"/>
              <w:bottom w:val="single" w:color="2E4F8A" w:sz="6"/>
              <w:right w:val="single" w:color="CCCCCC" w:sz="1"/>
            </w:tcBorders>
            <w:shd w:fill="EEF3FB" w:val="clear"/>
            <w:tcMar>
              <w:top w:type="dxa" w:w="160"/>
              <w:left w:type="dxa" w:w="160"/>
              <w:bottom w:type="dxa" w:w="160"/>
              <w:right w:type="dxa" w:w="160"/>
            </w:tcMar>
          </w:tcPr>
          <w:p>
            <w:pPr>
              <w:jc w:val="center"/>
            </w:pPr>
            <w:r>
              <w:rPr>
                <w:rFonts w:ascii="Arial" w:cs="Arial" w:eastAsia="Arial" w:hAnsi="Arial"/>
                <w:b/>
                <w:bCs/>
                <w:color w:val="2E4F8A"/>
                <w:sz w:val="36"/>
                <w:szCs w:val="36"/>
              </w:rPr>
              <w:t xml:space="preserve">5,009</w:t>
            </w:r>
          </w:p>
          <w:p>
            <w:pPr>
              <w:jc w:val="center"/>
            </w:pPr>
            <w:r>
              <w:rPr>
                <w:rFonts w:ascii="Arial" w:cs="Arial" w:eastAsia="Arial" w:hAnsi="Arial"/>
                <w:color w:val="666666"/>
                <w:sz w:val="18"/>
                <w:szCs w:val="18"/>
              </w:rPr>
              <w:t xml:space="preserve">Unique Orders</w:t>
            </w:r>
          </w:p>
        </w:tc>
        <w:tc>
          <w:tcPr>
            <w:tcW w:type="dxa" w:w="2340"/>
            <w:tcBorders>
              <w:top w:val="single" w:color="2E4F8A" w:sz="6"/>
              <w:left w:val="single" w:color="CCCCCC" w:sz="1"/>
              <w:bottom w:val="single" w:color="2E4F8A" w:sz="6"/>
              <w:right w:val="single" w:color="CCCCCC" w:sz="1"/>
            </w:tcBorders>
            <w:shd w:fill="EEF3FB" w:val="clear"/>
            <w:tcMar>
              <w:top w:type="dxa" w:w="160"/>
              <w:left w:type="dxa" w:w="160"/>
              <w:bottom w:type="dxa" w:w="160"/>
              <w:right w:type="dxa" w:w="160"/>
            </w:tcMar>
          </w:tcPr>
          <w:p>
            <w:pPr>
              <w:jc w:val="center"/>
            </w:pPr>
            <w:r>
              <w:rPr>
                <w:rFonts w:ascii="Arial" w:cs="Arial" w:eastAsia="Arial" w:hAnsi="Arial"/>
                <w:b/>
                <w:bCs/>
                <w:color w:val="2E4F8A"/>
                <w:sz w:val="36"/>
                <w:szCs w:val="36"/>
              </w:rPr>
              <w:t xml:space="preserve">4 Years</w:t>
            </w:r>
          </w:p>
          <w:p>
            <w:pPr>
              <w:jc w:val="center"/>
            </w:pPr>
            <w:r>
              <w:rPr>
                <w:rFonts w:ascii="Arial" w:cs="Arial" w:eastAsia="Arial" w:hAnsi="Arial"/>
                <w:color w:val="666666"/>
                <w:sz w:val="18"/>
                <w:szCs w:val="18"/>
              </w:rPr>
              <w:t xml:space="preserve">Period Covered</w:t>
            </w:r>
          </w:p>
        </w:tc>
        <w:tc>
          <w:tcPr>
            <w:tcW w:type="dxa" w:w="2340"/>
            <w:tcBorders>
              <w:top w:val="single" w:color="2E4F8A" w:sz="6"/>
              <w:left w:val="single" w:color="CCCCCC" w:sz="1"/>
              <w:bottom w:val="single" w:color="2E4F8A" w:sz="6"/>
              <w:right w:val="single" w:color="CCCCCC" w:sz="1"/>
            </w:tcBorders>
            <w:shd w:fill="EEF3FB" w:val="clear"/>
            <w:tcMar>
              <w:top w:type="dxa" w:w="160"/>
              <w:left w:type="dxa" w:w="160"/>
              <w:bottom w:type="dxa" w:w="160"/>
              <w:right w:type="dxa" w:w="160"/>
            </w:tcMar>
          </w:tcPr>
          <w:p>
            <w:pPr>
              <w:jc w:val="center"/>
            </w:pPr>
            <w:r>
              <w:rPr>
                <w:rFonts w:ascii="Arial" w:cs="Arial" w:eastAsia="Arial" w:hAnsi="Arial"/>
                <w:b/>
                <w:bCs/>
                <w:color w:val="2E4F8A"/>
                <w:sz w:val="36"/>
                <w:szCs w:val="36"/>
              </w:rPr>
              <w:t xml:space="preserve">4 Regions</w:t>
            </w:r>
          </w:p>
          <w:p>
            <w:pPr>
              <w:jc w:val="center"/>
            </w:pPr>
            <w:r>
              <w:rPr>
                <w:rFonts w:ascii="Arial" w:cs="Arial" w:eastAsia="Arial" w:hAnsi="Arial"/>
                <w:color w:val="666666"/>
                <w:sz w:val="18"/>
                <w:szCs w:val="18"/>
              </w:rPr>
              <w:t xml:space="preserve">Geographic Coverage</w:t>
            </w:r>
          </w:p>
        </w:tc>
      </w:tr>
    </w:tbl>
    <w:p>
      <w:pPr>
        <w:spacing w:after="0" w:before="240"/>
      </w:pPr>
    </w:p>
    <w:p>
      <w:pPr>
        <w:pStyle w:val="Heading1"/>
        <w:pBdr>
          <w:bottom w:val="single" w:color="2E4F8A" w:sz="8" w:space="4"/>
        </w:pBdr>
        <w:spacing w:after="160" w:before="360"/>
      </w:pPr>
      <w:r>
        <w:rPr>
          <w:rFonts w:ascii="Arial" w:cs="Arial" w:eastAsia="Arial" w:hAnsi="Arial"/>
          <w:b/>
          <w:bCs/>
          <w:color w:val="2E4F8A"/>
          <w:sz w:val="36"/>
          <w:szCs w:val="36"/>
        </w:rPr>
        <w:t xml:space="preserve">2. Sales &amp; Profit Trends</w:t>
      </w:r>
    </w:p>
    <w:p>
      <w:pPr>
        <w:pStyle w:val="Heading2"/>
        <w:spacing w:after="120" w:before="280"/>
      </w:pPr>
      <w:r>
        <w:rPr>
          <w:rFonts w:ascii="Arial" w:cs="Arial" w:eastAsia="Arial" w:hAnsi="Arial"/>
          <w:b/>
          <w:bCs/>
          <w:color w:val="1F3A6E"/>
          <w:sz w:val="26"/>
          <w:szCs w:val="26"/>
        </w:rPr>
        <w:t xml:space="preserve">2.1 Annual Performance</w:t>
      </w:r>
    </w:p>
    <w:p>
      <w:pPr>
        <w:spacing w:after="100" w:before="60"/>
      </w:pPr>
      <w:r>
        <w:rPr>
          <w:rFonts w:ascii="Arial" w:cs="Arial" w:eastAsia="Arial" w:hAnsi="Arial"/>
          <w:color w:val="333333"/>
          <w:sz w:val="22"/>
          <w:szCs w:val="22"/>
        </w:rPr>
        <w:t xml:space="preserve">Sales and profitability demonstrated consistent upward momentum throughout the observation period. Revenue increased by 27.5% from 2018 to 2019 alone, while order volume grew from 1,993 in 2016 to 3,312 in 2019, a 66.2% increase in transaction activity.</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400"/>
        <w:gridCol w:w="2400"/>
        <w:gridCol w:w="1800"/>
        <w:gridCol w:w="1200"/>
      </w:tblGrid>
      <w:tr>
        <w:tc>
          <w:tcPr>
            <w:tcW w:type="dxa" w:w="156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Year</w:t>
            </w:r>
          </w:p>
        </w:tc>
        <w:tc>
          <w:tcPr>
            <w:tcW w:type="dxa" w:w="2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Sales</w:t>
            </w:r>
          </w:p>
        </w:tc>
        <w:tc>
          <w:tcPr>
            <w:tcW w:type="dxa" w:w="24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Profit</w:t>
            </w:r>
          </w:p>
        </w:tc>
        <w:tc>
          <w:tcPr>
            <w:tcW w:type="dxa" w:w="18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Orders</w:t>
            </w:r>
          </w:p>
        </w:tc>
        <w:tc>
          <w:tcPr>
            <w:tcW w:type="dxa" w:w="120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YoY Growth</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$484,247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$49,544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1,993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t>
            </w:r>
          </w:p>
        </w:tc>
      </w:tr>
      <w:tr>
        <w:tc>
          <w:tcPr>
            <w:tcW w:type="dxa" w:w="1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2017</w:t>
            </w:r>
          </w:p>
        </w:tc>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$470,533</w:t>
            </w:r>
          </w:p>
        </w:tc>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$61,619</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2,102</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-2.8%</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$609,206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$81,795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2,587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+29.5%</w:t>
            </w:r>
          </w:p>
        </w:tc>
      </w:tr>
      <w:tr>
        <w:tc>
          <w:tcPr>
            <w:tcW w:type="dxa" w:w="156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2019</w:t>
            </w:r>
          </w:p>
        </w:tc>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$733,215</w:t>
            </w:r>
          </w:p>
        </w:tc>
        <w:tc>
          <w:tcPr>
            <w:tcW w:type="dxa" w:w="24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$93,439</w:t>
            </w:r>
          </w:p>
        </w:tc>
        <w:tc>
          <w:tcPr>
            <w:tcW w:type="dxa" w:w="18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3,312</w:t>
            </w:r>
          </w:p>
        </w:tc>
        <w:tc>
          <w:tcPr>
            <w:tcW w:type="dxa" w:w="120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+20.4%</w:t>
            </w:r>
          </w:p>
        </w:tc>
      </w:tr>
    </w:tbl>
    <w:p>
      <w:pPr>
        <w:spacing w:after="80" w:before="120"/>
      </w:pPr>
      <w:r>
        <w:rPr>
          <w:rFonts w:ascii="Arial" w:cs="Arial" w:eastAsia="Arial" w:hAnsi="Arial"/>
          <w:i/>
          <w:iCs/>
          <w:color w:val="888888"/>
          <w:sz w:val="18"/>
          <w:szCs w:val="18"/>
        </w:rPr>
        <w:t xml:space="preserve">Note: 2017 saw a slight dip in sales versus 2016, before strong recovery in 2018–2019.</w:t>
      </w:r>
    </w:p>
    <w:p>
      <w:pPr>
        <w:pStyle w:val="Heading1"/>
        <w:pBdr>
          <w:bottom w:val="single" w:color="2E4F8A" w:sz="8" w:space="4"/>
        </w:pBdr>
        <w:spacing w:after="160" w:before="360"/>
      </w:pPr>
      <w:r>
        <w:rPr>
          <w:rFonts w:ascii="Arial" w:cs="Arial" w:eastAsia="Arial" w:hAnsi="Arial"/>
          <w:b/>
          <w:bCs/>
          <w:color w:val="2E4F8A"/>
          <w:sz w:val="36"/>
          <w:szCs w:val="36"/>
        </w:rPr>
        <w:t xml:space="preserve">3. Category Performance</w:t>
      </w:r>
    </w:p>
    <w:p>
      <w:pPr>
        <w:pStyle w:val="Heading2"/>
        <w:spacing w:after="120" w:before="280"/>
      </w:pPr>
      <w:r>
        <w:rPr>
          <w:rFonts w:ascii="Arial" w:cs="Arial" w:eastAsia="Arial" w:hAnsi="Arial"/>
          <w:b/>
          <w:bCs/>
          <w:color w:val="1F3A6E"/>
          <w:sz w:val="26"/>
          <w:szCs w:val="26"/>
        </w:rPr>
        <w:t xml:space="preserve">3.1 Sales and Profitability by Category</w:t>
      </w:r>
    </w:p>
    <w:p>
      <w:pPr>
        <w:spacing w:after="100" w:before="60"/>
      </w:pPr>
      <w:r>
        <w:rPr>
          <w:rFonts w:ascii="Arial" w:cs="Arial" w:eastAsia="Arial" w:hAnsi="Arial"/>
          <w:color w:val="333333"/>
          <w:sz w:val="22"/>
          <w:szCs w:val="22"/>
        </w:rPr>
        <w:t xml:space="preserve">Technology leads in absolute profit and margin despite being third in order volume. Furniture, despite contributing the second-highest total sales, delivers the lowest profit margin at just 2.5%, signaling pricing pressure or high return rates in that category.</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Category</w:t>
            </w:r>
          </w:p>
        </w:tc>
        <w:tc>
          <w:tcPr>
            <w:tcW w:type="dxa" w:w="234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Sales</w:t>
            </w:r>
          </w:p>
        </w:tc>
        <w:tc>
          <w:tcPr>
            <w:tcW w:type="dxa" w:w="234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Profit</w:t>
            </w:r>
          </w:p>
        </w:tc>
        <w:tc>
          <w:tcPr>
            <w:tcW w:type="dxa" w:w="234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Profit Margin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Technology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$836,154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$145,455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17.4%</w:t>
            </w:r>
          </w:p>
        </w:tc>
      </w:tr>
      <w:tr>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Office Supplies</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$719,047</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$122,491</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17.0%</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Furniture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$741,999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$18,451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w:t>
            </w:r>
          </w:p>
        </w:tc>
      </w:tr>
    </w:tbl>
    <w:p>
      <w:pPr>
        <w:spacing w:after="0" w:before="240"/>
      </w:pPr>
    </w:p>
    <w:p>
      <w:pPr>
        <w:pStyle w:val="Heading2"/>
        <w:spacing w:after="120" w:before="280"/>
      </w:pPr>
      <w:r>
        <w:rPr>
          <w:rFonts w:ascii="Arial" w:cs="Arial" w:eastAsia="Arial" w:hAnsi="Arial"/>
          <w:b/>
          <w:bCs/>
          <w:color w:val="1F3A6E"/>
          <w:sz w:val="26"/>
          <w:szCs w:val="26"/>
        </w:rPr>
        <w:t xml:space="preserve">3.2 Top Sub-Categories by Sales</w:t>
      </w:r>
    </w:p>
    <w:p>
      <w:pPr>
        <w:spacing w:after="100" w:before="60"/>
      </w:pPr>
      <w:r>
        <w:rPr>
          <w:rFonts w:ascii="Arial" w:cs="Arial" w:eastAsia="Arial" w:hAnsi="Arial"/>
          <w:color w:val="333333"/>
          <w:sz w:val="22"/>
          <w:szCs w:val="22"/>
        </w:rPr>
        <w:t xml:space="preserve">Phones and Chairs rank first and second by sales revenue. Notably, Tables — despite ranking fourth in sales at $206,966 — generated a net loss of $17,725, highlighting a critical profitability concern.</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Sub-Category</w:t>
            </w:r>
          </w:p>
        </w:tc>
        <w:tc>
          <w:tcPr>
            <w:tcW w:type="dxa" w:w="312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Sales</w:t>
            </w:r>
          </w:p>
        </w:tc>
        <w:tc>
          <w:tcPr>
            <w:tcW w:type="dxa" w:w="312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Profit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Phones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$330,007</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$44,516</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Chairs</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$328,449</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$26,590</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Storage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$223,844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$21,279</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Tables</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$206,966</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($17,725)</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Binders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$203,413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$30,222</w:t>
            </w:r>
          </w:p>
        </w:tc>
      </w:tr>
    </w:tbl>
    <w:p>
      <w:pPr>
        <w:spacing w:after="0" w:before="240"/>
      </w:pPr>
    </w:p>
    <w:p>
      <w:pPr>
        <w:pStyle w:val="Heading2"/>
        <w:spacing w:after="120" w:before="280"/>
      </w:pPr>
      <w:r>
        <w:rPr>
          <w:rFonts w:ascii="Arial" w:cs="Arial" w:eastAsia="Arial" w:hAnsi="Arial"/>
          <w:b/>
          <w:bCs/>
          <w:color w:val="1F3A6E"/>
          <w:sz w:val="26"/>
          <w:szCs w:val="26"/>
        </w:rPr>
        <w:t xml:space="preserve">3.3 Loss-Making Sub-Categories</w:t>
      </w:r>
    </w:p>
    <w:p>
      <w:pPr>
        <w:spacing w:after="100" w:before="60"/>
      </w:pPr>
      <w:r>
        <w:rPr>
          <w:rFonts w:ascii="Arial" w:cs="Arial" w:eastAsia="Arial" w:hAnsi="Arial"/>
          <w:color w:val="333333"/>
          <w:sz w:val="22"/>
          <w:szCs w:val="22"/>
        </w:rPr>
        <w:t xml:space="preserve">Three sub-categories recorded negative cumulative profits over the four-year period, representing areas requiring immediate pricing or cost review.</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Sub-Category</w:t>
            </w:r>
          </w:p>
        </w:tc>
        <w:tc>
          <w:tcPr>
            <w:tcW w:type="dxa" w:w="312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Sales</w:t>
            </w:r>
          </w:p>
        </w:tc>
        <w:tc>
          <w:tcPr>
            <w:tcW w:type="dxa" w:w="312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Net Profit (Loss)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Tables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$206,966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($17,725)</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Bookcases</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$114,880</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($3,473)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Supplies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$46,674</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($1,189)</w:t>
            </w:r>
          </w:p>
        </w:tc>
      </w:tr>
    </w:tbl>
    <w:p>
      <w:pPr>
        <w:spacing w:after="0" w:before="240"/>
      </w:pPr>
    </w:p>
    <w:p>
      <w:pPr>
        <w:pStyle w:val="Heading1"/>
        <w:pBdr>
          <w:bottom w:val="single" w:color="2E4F8A" w:sz="8" w:space="4"/>
        </w:pBdr>
        <w:spacing w:after="160" w:before="360"/>
      </w:pPr>
      <w:r>
        <w:rPr>
          <w:rFonts w:ascii="Arial" w:cs="Arial" w:eastAsia="Arial" w:hAnsi="Arial"/>
          <w:b/>
          <w:bCs/>
          <w:color w:val="2E4F8A"/>
          <w:sz w:val="36"/>
          <w:szCs w:val="36"/>
        </w:rPr>
        <w:t xml:space="preserve">4. Regional Performance</w:t>
      </w:r>
    </w:p>
    <w:p>
      <w:pPr>
        <w:pStyle w:val="Heading2"/>
        <w:spacing w:after="120" w:before="280"/>
      </w:pPr>
      <w:r>
        <w:rPr>
          <w:rFonts w:ascii="Arial" w:cs="Arial" w:eastAsia="Arial" w:hAnsi="Arial"/>
          <w:b/>
          <w:bCs/>
          <w:color w:val="1F3A6E"/>
          <w:sz w:val="26"/>
          <w:szCs w:val="26"/>
        </w:rPr>
        <w:t xml:space="preserve">4.1 Sales and Profit by Region</w:t>
      </w:r>
    </w:p>
    <w:p>
      <w:pPr>
        <w:spacing w:after="100" w:before="60"/>
      </w:pPr>
      <w:r>
        <w:rPr>
          <w:rFonts w:ascii="Arial" w:cs="Arial" w:eastAsia="Arial" w:hAnsi="Arial"/>
          <w:color w:val="333333"/>
          <w:sz w:val="22"/>
          <w:szCs w:val="22"/>
        </w:rPr>
        <w:t xml:space="preserve">The West region leads in both total sales and profit, contributing 31.6% of all sales and 37.8% of total profit. The Central region, despite ranking second in sales among two regions, has the lowest profit margin at 7.9%, nearly half that of the West.</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2496"/>
        <w:gridCol w:w="2496"/>
        <w:gridCol w:w="2496"/>
      </w:tblGrid>
      <w:tr>
        <w:tc>
          <w:tcPr>
            <w:tcW w:type="dxa" w:w="1872"/>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Region</w:t>
            </w:r>
          </w:p>
        </w:tc>
        <w:tc>
          <w:tcPr>
            <w:tcW w:type="dxa" w:w="2496"/>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Sales</w:t>
            </w:r>
          </w:p>
        </w:tc>
        <w:tc>
          <w:tcPr>
            <w:tcW w:type="dxa" w:w="2496"/>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Profit</w:t>
            </w:r>
          </w:p>
        </w:tc>
        <w:tc>
          <w:tcPr>
            <w:tcW w:type="dxa" w:w="2496"/>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Profit Margin</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West</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$725,458</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$108,418</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14.9%</w:t>
            </w:r>
          </w:p>
        </w:tc>
      </w:tr>
      <w:tr>
        <w:tc>
          <w:tcPr>
            <w:tcW w:type="dxa" w:w="1872"/>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East</w:t>
            </w:r>
          </w:p>
        </w:tc>
        <w:tc>
          <w:tcPr>
            <w:tcW w:type="dxa" w:w="2496"/>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$678,781</w:t>
            </w:r>
          </w:p>
        </w:tc>
        <w:tc>
          <w:tcPr>
            <w:tcW w:type="dxa" w:w="2496"/>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$91,523</w:t>
            </w:r>
          </w:p>
        </w:tc>
        <w:tc>
          <w:tcPr>
            <w:tcW w:type="dxa" w:w="2496"/>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13.5%</w:t>
            </w:r>
          </w:p>
        </w:tc>
      </w:tr>
      <w:tr>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Central</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$501,240</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$39,706</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7.9%</w:t>
            </w:r>
          </w:p>
        </w:tc>
      </w:tr>
      <w:tr>
        <w:tc>
          <w:tcPr>
            <w:tcW w:type="dxa" w:w="1872"/>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South</w:t>
            </w:r>
          </w:p>
        </w:tc>
        <w:tc>
          <w:tcPr>
            <w:tcW w:type="dxa" w:w="2496"/>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$391,722</w:t>
            </w:r>
          </w:p>
        </w:tc>
        <w:tc>
          <w:tcPr>
            <w:tcW w:type="dxa" w:w="2496"/>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$46,749</w:t>
            </w:r>
          </w:p>
        </w:tc>
        <w:tc>
          <w:tcPr>
            <w:tcW w:type="dxa" w:w="2496"/>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11.9%</w:t>
            </w:r>
          </w:p>
        </w:tc>
      </w:tr>
    </w:tbl>
    <w:p>
      <w:pPr>
        <w:spacing w:after="0" w:before="240"/>
      </w:pPr>
    </w:p>
    <w:p>
      <w:pPr>
        <w:pStyle w:val="Heading2"/>
        <w:spacing w:after="120" w:before="280"/>
      </w:pPr>
      <w:r>
        <w:rPr>
          <w:rFonts w:ascii="Arial" w:cs="Arial" w:eastAsia="Arial" w:hAnsi="Arial"/>
          <w:b/>
          <w:bCs/>
          <w:color w:val="1F3A6E"/>
          <w:sz w:val="26"/>
          <w:szCs w:val="26"/>
        </w:rPr>
        <w:t xml:space="preserve">4.2 Top States by Sales</w:t>
      </w:r>
    </w:p>
    <w:p>
      <w:pPr>
        <w:spacing w:after="100" w:before="60"/>
      </w:pPr>
      <w:r>
        <w:rPr>
          <w:rFonts w:ascii="Arial" w:cs="Arial" w:eastAsia="Arial" w:hAnsi="Arial"/>
          <w:color w:val="333333"/>
          <w:sz w:val="22"/>
          <w:szCs w:val="22"/>
        </w:rPr>
        <w:t xml:space="preserve">California and New York are the dominant states by revenue, together accounting for over 33% of total sales. Texas, despite ranking third in sales at $170,188, generated a substantial loss of $25,729 — the most unprofitable state in the dataset. Pennsylvania similarly showed negative profitability.</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State</w:t>
            </w:r>
          </w:p>
        </w:tc>
        <w:tc>
          <w:tcPr>
            <w:tcW w:type="dxa" w:w="312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Sales</w:t>
            </w:r>
          </w:p>
        </w:tc>
        <w:tc>
          <w:tcPr>
            <w:tcW w:type="dxa" w:w="312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Profit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California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$457,688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$76,381</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New York</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$310,876</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$74,039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Texas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$170,188</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($25,729)</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Washington</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$138,641</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$33,403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Pennsylvania</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$116,512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($15,560)</w:t>
            </w:r>
          </w:p>
        </w:tc>
      </w:tr>
    </w:tbl>
    <w:p>
      <w:pPr>
        <w:spacing w:after="0" w:before="240"/>
      </w:pPr>
    </w:p>
    <w:p>
      <w:pPr>
        <w:pStyle w:val="Heading1"/>
        <w:pBdr>
          <w:bottom w:val="single" w:color="2E4F8A" w:sz="8" w:space="4"/>
        </w:pBdr>
        <w:spacing w:after="160" w:before="360"/>
      </w:pPr>
      <w:r>
        <w:rPr>
          <w:rFonts w:ascii="Arial" w:cs="Arial" w:eastAsia="Arial" w:hAnsi="Arial"/>
          <w:b/>
          <w:bCs/>
          <w:color w:val="2E4F8A"/>
          <w:sz w:val="36"/>
          <w:szCs w:val="36"/>
        </w:rPr>
        <w:t xml:space="preserve">5. Customer Segments</w:t>
      </w:r>
    </w:p>
    <w:p>
      <w:pPr>
        <w:spacing w:after="100" w:before="60"/>
      </w:pPr>
      <w:r>
        <w:rPr>
          <w:rFonts w:ascii="Arial" w:cs="Arial" w:eastAsia="Arial" w:hAnsi="Arial"/>
          <w:color w:val="333333"/>
          <w:sz w:val="22"/>
          <w:szCs w:val="22"/>
        </w:rPr>
        <w:t xml:space="preserve">Consumer is the largest segment by both sales and profit, representing over half of total revenue. Corporate and Home Office segments together contribute the remaining 49%.</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Segment</w:t>
            </w:r>
          </w:p>
        </w:tc>
        <w:tc>
          <w:tcPr>
            <w:tcW w:type="dxa" w:w="312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Sales</w:t>
            </w:r>
          </w:p>
        </w:tc>
        <w:tc>
          <w:tcPr>
            <w:tcW w:type="dxa" w:w="312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Profit</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Consumer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$1,161,401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$134,119</w:t>
            </w:r>
          </w:p>
        </w:tc>
      </w:tr>
      <w:tr>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Corporate</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$706,146</w:t>
            </w:r>
          </w:p>
        </w:tc>
        <w:tc>
          <w:tcPr>
            <w:tcW w:type="dxa" w:w="312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$91,979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Home Office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$429,653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$60,299</w:t>
            </w:r>
          </w:p>
        </w:tc>
      </w:tr>
    </w:tbl>
    <w:p>
      <w:pPr>
        <w:spacing w:after="0" w:before="240"/>
      </w:pPr>
    </w:p>
    <w:p>
      <w:pPr>
        <w:pStyle w:val="Heading1"/>
        <w:pBdr>
          <w:bottom w:val="single" w:color="2E4F8A" w:sz="8" w:space="4"/>
        </w:pBdr>
        <w:spacing w:after="160" w:before="360"/>
      </w:pPr>
      <w:r>
        <w:rPr>
          <w:rFonts w:ascii="Arial" w:cs="Arial" w:eastAsia="Arial" w:hAnsi="Arial"/>
          <w:b/>
          <w:bCs/>
          <w:color w:val="2E4F8A"/>
          <w:sz w:val="36"/>
          <w:szCs w:val="36"/>
        </w:rPr>
        <w:t xml:space="preserve">6. Shipping Mode Analysis</w:t>
      </w:r>
    </w:p>
    <w:p>
      <w:pPr>
        <w:spacing w:after="100" w:before="60"/>
      </w:pPr>
      <w:r>
        <w:rPr>
          <w:rFonts w:ascii="Arial" w:cs="Arial" w:eastAsia="Arial" w:hAnsi="Arial"/>
          <w:color w:val="333333"/>
          <w:sz w:val="22"/>
          <w:szCs w:val="22"/>
        </w:rPr>
        <w:t xml:space="preserve">Standard Class is the dominant shipping method, accounting for 59.7% of all orders. First Class and Second Class together represent approximately 35% of shipments. Same Day delivery, while least used, may represent an opportunity for premium pricing.</w:t>
      </w:r>
    </w:p>
    <w:p>
      <w:pPr>
        <w:spacing w:after="8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Ship Mode</w:t>
            </w:r>
          </w:p>
        </w:tc>
        <w:tc>
          <w:tcPr>
            <w:tcW w:type="dxa" w:w="234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Orders</w:t>
            </w:r>
          </w:p>
        </w:tc>
        <w:tc>
          <w:tcPr>
            <w:tcW w:type="dxa" w:w="234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Total Sales</w:t>
            </w:r>
          </w:p>
        </w:tc>
        <w:tc>
          <w:tcPr>
            <w:tcW w:type="dxa" w:w="2340"/>
            <w:tcBorders>
              <w:top w:val="single" w:color="2E4F8A" w:sz="1"/>
              <w:left w:val="single" w:color="2E4F8A" w:sz="1"/>
              <w:bottom w:val="single" w:color="2E4F8A" w:sz="1"/>
              <w:right w:val="single" w:color="2E4F8A" w:sz="1"/>
            </w:tcBorders>
            <w:shd w:fill="2E4F8A"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Share of Orders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Class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5,968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$1,358,216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59.7%</w:t>
            </w:r>
          </w:p>
        </w:tc>
      </w:tr>
      <w:tr>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Second Class</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1,945</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$459,194</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19.5%</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First Class</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1,538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$351,428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15.4%</w:t>
            </w:r>
          </w:p>
        </w:tc>
      </w:tr>
      <w:tr>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Same Day</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543</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$128,363</w:t>
            </w:r>
          </w:p>
        </w:tc>
        <w:tc>
          <w:tcPr>
            <w:tcW w:type="dxa" w:w="2340"/>
            <w:tcBorders>
              <w:top w:val="single" w:color="CCCCCC" w:sz="1"/>
              <w:left w:val="single" w:color="CCCCCC" w:sz="1"/>
              <w:bottom w:val="single" w:color="CCCCCC" w:sz="1"/>
              <w:right w:val="single" w:color="CCCCCC" w:sz="1"/>
            </w:tcBorders>
            <w:shd w:fill="F2F5FA" w:val="clear"/>
            <w:tcMar>
              <w:top w:type="dxa" w:w="80"/>
              <w:left w:type="dxa" w:w="120"/>
              <w:bottom w:type="dxa" w:w="80"/>
              <w:right w:type="dxa" w:w="120"/>
            </w:tcMar>
          </w:tcPr>
          <w:p>
            <w:r>
              <w:rPr>
                <w:rFonts w:ascii="Arial" w:cs="Arial" w:eastAsia="Arial" w:hAnsi="Arial"/>
                <w:color w:val="333333"/>
                <w:sz w:val="20"/>
                <w:szCs w:val="20"/>
              </w:rPr>
              <w:t xml:space="preserve">5.4%</w:t>
            </w:r>
          </w:p>
        </w:tc>
      </w:tr>
    </w:tbl>
    <w:p>
      <w:pPr>
        <w:spacing w:after="0" w:before="240"/>
      </w:pPr>
    </w:p>
    <w:p>
      <w:pPr>
        <w:pStyle w:val="Heading1"/>
        <w:pBdr>
          <w:bottom w:val="single" w:color="2E4F8A" w:sz="8" w:space="4"/>
        </w:pBdr>
        <w:spacing w:after="160" w:before="360"/>
      </w:pPr>
      <w:r>
        <w:rPr>
          <w:rFonts w:ascii="Arial" w:cs="Arial" w:eastAsia="Arial" w:hAnsi="Arial"/>
          <w:b/>
          <w:bCs/>
          <w:color w:val="2E4F8A"/>
          <w:sz w:val="36"/>
          <w:szCs w:val="36"/>
        </w:rPr>
        <w:t xml:space="preserve">7. Returns Overview</w:t>
      </w:r>
    </w:p>
    <w:p>
      <w:pPr>
        <w:spacing w:after="100" w:before="60"/>
      </w:pPr>
      <w:r>
        <w:rPr>
          <w:rFonts w:ascii="Arial" w:cs="Arial" w:eastAsia="Arial" w:hAnsi="Arial"/>
          <w:color w:val="333333"/>
          <w:sz w:val="22"/>
          <w:szCs w:val="22"/>
        </w:rPr>
        <w:t xml:space="preserve">The Returns sheet records 800 returned order line items. Returns represent a potential drag on profitability, particularly for high-discount items. A deeper correlation analysis between discount levels and return rates is recommended for future investigation.</w:t>
      </w:r>
    </w:p>
    <w:p>
      <w:pPr>
        <w:pStyle w:val="Heading1"/>
        <w:pBdr>
          <w:bottom w:val="single" w:color="2E4F8A" w:sz="8" w:space="4"/>
        </w:pBdr>
        <w:spacing w:after="160" w:before="360"/>
      </w:pPr>
      <w:r>
        <w:rPr>
          <w:rFonts w:ascii="Arial" w:cs="Arial" w:eastAsia="Arial" w:hAnsi="Arial"/>
          <w:b/>
          <w:bCs/>
          <w:color w:val="2E4F8A"/>
          <w:sz w:val="36"/>
          <w:szCs w:val="36"/>
        </w:rPr>
        <w:t xml:space="preserve">8. Key Findings &amp; Recommendations</w:t>
      </w:r>
    </w:p>
    <w:p>
      <w:pPr>
        <w:pStyle w:val="Heading2"/>
        <w:spacing w:after="120" w:before="280"/>
      </w:pPr>
      <w:r>
        <w:rPr>
          <w:rFonts w:ascii="Arial" w:cs="Arial" w:eastAsia="Arial" w:hAnsi="Arial"/>
          <w:b/>
          <w:bCs/>
          <w:color w:val="1F3A6E"/>
          <w:sz w:val="26"/>
          <w:szCs w:val="26"/>
        </w:rPr>
        <w:t xml:space="preserve">8.1 Strengths</w:t>
      </w:r>
    </w:p>
    <w:p>
      <w:pPr>
        <w:spacing w:after="100" w:before="60"/>
      </w:pPr>
      <w:r>
        <w:rPr>
          <w:rFonts w:ascii="Arial" w:cs="Arial" w:eastAsia="Arial" w:hAnsi="Arial"/>
          <w:color w:val="333333"/>
          <w:sz w:val="22"/>
          <w:szCs w:val="22"/>
        </w:rPr>
        <w:t xml:space="preserve">Technology category delivers the highest profit margin (17.4%) and should be prioritized for growth.</w:t>
      </w:r>
    </w:p>
    <w:p>
      <w:pPr>
        <w:spacing w:after="100" w:before="60"/>
      </w:pPr>
      <w:r>
        <w:rPr>
          <w:rFonts w:ascii="Arial" w:cs="Arial" w:eastAsia="Arial" w:hAnsi="Arial"/>
          <w:color w:val="333333"/>
          <w:sz w:val="22"/>
          <w:szCs w:val="22"/>
        </w:rPr>
        <w:t xml:space="preserve">California and New York are strong, profitable anchor markets driving significant revenue.</w:t>
      </w:r>
    </w:p>
    <w:p>
      <w:pPr>
        <w:spacing w:after="100" w:before="60"/>
      </w:pPr>
      <w:r>
        <w:rPr>
          <w:rFonts w:ascii="Arial" w:cs="Arial" w:eastAsia="Arial" w:hAnsi="Arial"/>
          <w:color w:val="333333"/>
          <w:sz w:val="22"/>
          <w:szCs w:val="22"/>
        </w:rPr>
        <w:t xml:space="preserve">The West region consistently outperforms all others in both sales and margin.</w:t>
      </w:r>
    </w:p>
    <w:p>
      <w:pPr>
        <w:spacing w:after="100" w:before="60"/>
      </w:pPr>
      <w:r>
        <w:rPr>
          <w:rFonts w:ascii="Arial" w:cs="Arial" w:eastAsia="Arial" w:hAnsi="Arial"/>
          <w:color w:val="333333"/>
          <w:sz w:val="22"/>
          <w:szCs w:val="22"/>
        </w:rPr>
        <w:t xml:space="preserve">Overall sales grew by 51.4% over four years, reflecting healthy business trajectory.</w:t>
      </w:r>
    </w:p>
    <w:p>
      <w:pPr>
        <w:pStyle w:val="Heading2"/>
        <w:spacing w:after="120" w:before="280"/>
      </w:pPr>
      <w:r>
        <w:rPr>
          <w:rFonts w:ascii="Arial" w:cs="Arial" w:eastAsia="Arial" w:hAnsi="Arial"/>
          <w:b/>
          <w:bCs/>
          <w:color w:val="1F3A6E"/>
          <w:sz w:val="26"/>
          <w:szCs w:val="26"/>
        </w:rPr>
        <w:t xml:space="preserve">8.2 Areas for Improvement</w:t>
      </w:r>
    </w:p>
    <w:p>
      <w:pPr>
        <w:spacing w:after="100" w:before="60"/>
      </w:pPr>
      <w:r>
        <w:rPr>
          <w:rFonts w:ascii="Arial" w:cs="Arial" w:eastAsia="Arial" w:hAnsi="Arial"/>
          <w:color w:val="333333"/>
          <w:sz w:val="22"/>
          <w:szCs w:val="22"/>
        </w:rPr>
        <w:t xml:space="preserve">Tables, Bookcases, and Supplies are loss-generating sub-categories. Pricing strategies, supplier negotiations, or discontinuation should be evaluated.</w:t>
      </w:r>
    </w:p>
    <w:p>
      <w:pPr>
        <w:spacing w:after="100" w:before="60"/>
      </w:pPr>
      <w:r>
        <w:rPr>
          <w:rFonts w:ascii="Arial" w:cs="Arial" w:eastAsia="Arial" w:hAnsi="Arial"/>
          <w:color w:val="333333"/>
          <w:sz w:val="22"/>
          <w:szCs w:val="22"/>
        </w:rPr>
        <w:t xml:space="preserve">Texas and Pennsylvania generate negative profits despite high sales volumes. Discount policies and customer acquisition costs in these states require review.</w:t>
      </w:r>
    </w:p>
    <w:p>
      <w:pPr>
        <w:spacing w:after="100" w:before="60"/>
      </w:pPr>
      <w:r>
        <w:rPr>
          <w:rFonts w:ascii="Arial" w:cs="Arial" w:eastAsia="Arial" w:hAnsi="Arial"/>
          <w:color w:val="333333"/>
          <w:sz w:val="22"/>
          <w:szCs w:val="22"/>
        </w:rPr>
        <w:t xml:space="preserve">The Central region's profit margin of 7.9% is significantly below the company average and warrants operational review.</w:t>
      </w:r>
    </w:p>
    <w:p>
      <w:pPr>
        <w:spacing w:after="100" w:before="60"/>
      </w:pPr>
      <w:r>
        <w:rPr>
          <w:rFonts w:ascii="Arial" w:cs="Arial" w:eastAsia="Arial" w:hAnsi="Arial"/>
          <w:color w:val="333333"/>
          <w:sz w:val="22"/>
          <w:szCs w:val="22"/>
        </w:rPr>
        <w:t xml:space="preserve">Furniture overall has a margin of only 2.5%, suggesting structural pricing or cost issues across the category.</w:t>
      </w:r>
    </w:p>
    <w:p>
      <w:pPr>
        <w:pStyle w:val="Heading2"/>
        <w:spacing w:after="120" w:before="280"/>
      </w:pPr>
      <w:r>
        <w:rPr>
          <w:rFonts w:ascii="Arial" w:cs="Arial" w:eastAsia="Arial" w:hAnsi="Arial"/>
          <w:b/>
          <w:bCs/>
          <w:color w:val="1F3A6E"/>
          <w:sz w:val="26"/>
          <w:szCs w:val="26"/>
        </w:rPr>
        <w:t xml:space="preserve">8.3 Strategic Recommendations</w:t>
      </w:r>
    </w:p>
    <w:p>
      <w:pPr>
        <w:spacing w:after="100" w:before="60"/>
      </w:pPr>
      <w:r>
        <w:rPr>
          <w:rFonts w:ascii="Arial" w:cs="Arial" w:eastAsia="Arial" w:hAnsi="Arial"/>
          <w:color w:val="333333"/>
          <w:sz w:val="22"/>
          <w:szCs w:val="22"/>
        </w:rPr>
        <w:t xml:space="preserve">1. Conduct a discount audit across Furniture sub-categories to identify and reduce excessive discounting.</w:t>
      </w:r>
    </w:p>
    <w:p>
      <w:pPr>
        <w:spacing w:after="100" w:before="60"/>
      </w:pPr>
      <w:r>
        <w:rPr>
          <w:rFonts w:ascii="Arial" w:cs="Arial" w:eastAsia="Arial" w:hAnsi="Arial"/>
          <w:color w:val="333333"/>
          <w:sz w:val="22"/>
          <w:szCs w:val="22"/>
        </w:rPr>
        <w:t xml:space="preserve">2. Investigate root causes of losses in Texas and Pennsylvania — consider territory-specific pricing models.</w:t>
      </w:r>
    </w:p>
    <w:p>
      <w:pPr>
        <w:spacing w:after="100" w:before="60"/>
      </w:pPr>
      <w:r>
        <w:rPr>
          <w:rFonts w:ascii="Arial" w:cs="Arial" w:eastAsia="Arial" w:hAnsi="Arial"/>
          <w:color w:val="333333"/>
          <w:sz w:val="22"/>
          <w:szCs w:val="22"/>
        </w:rPr>
        <w:t xml:space="preserve">3. Invest in Technology and Office Supplies marketing to capitalize on higher-margin categories.</w:t>
      </w:r>
    </w:p>
    <w:p>
      <w:pPr>
        <w:spacing w:after="100" w:before="60"/>
      </w:pPr>
      <w:r>
        <w:rPr>
          <w:rFonts w:ascii="Arial" w:cs="Arial" w:eastAsia="Arial" w:hAnsi="Arial"/>
          <w:color w:val="333333"/>
          <w:sz w:val="22"/>
          <w:szCs w:val="22"/>
        </w:rPr>
        <w:t xml:space="preserve">4. Explore premium Same Day shipping pricing to improve margins on expedited fulfillment.</w:t>
      </w:r>
    </w:p>
    <w:p>
      <w:pPr>
        <w:spacing w:after="100" w:before="60"/>
      </w:pPr>
      <w:r>
        <w:rPr>
          <w:rFonts w:ascii="Arial" w:cs="Arial" w:eastAsia="Arial" w:hAnsi="Arial"/>
          <w:color w:val="333333"/>
          <w:sz w:val="22"/>
          <w:szCs w:val="22"/>
        </w:rPr>
        <w:t xml:space="preserve">5. Set up a return rate monitoring dashboard, cross-referencing discounts with return frequency.</w:t>
      </w:r>
    </w:p>
    <w:p>
      <w:pPr>
        <w:pBdr>
          <w:top w:val="single" w:color="CCCCCC" w:sz="4" w:space="4"/>
        </w:pBdr>
        <w:spacing w:after="0" w:before="360"/>
      </w:pPr>
      <w:r>
        <w:rPr>
          <w:rFonts w:ascii="Arial" w:cs="Arial" w:eastAsia="Arial" w:hAnsi="Arial"/>
          <w:i/>
          <w:iCs/>
          <w:color w:val="999999"/>
          <w:sz w:val="16"/>
          <w:szCs w:val="16"/>
        </w:rPr>
        <w:t xml:space="preserve">Data Source: Sample Superstore Dataset  |  Period: January 2016 – December 2019  |  Total Records: 9,994 line items across 4 sheets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pPr>
    <w:r>
      <w:rPr>
        <w:rFonts w:ascii="Arial" w:cs="Arial" w:eastAsia="Arial" w:hAnsi="Arial"/>
        <w:color w:val="999999"/>
        <w:sz w:val="16"/>
        <w:szCs w:val="16"/>
      </w:rPr>
      <w:t xml:space="preserve">Confidential — Internal Use Only</w:t>
    </w:r>
    <w:r>
      <w:rPr>
        <w:rFonts w:ascii="Arial" w:cs="Arial" w:eastAsia="Arial" w:hAnsi="Arial"/>
        <w:color w:val="999999"/>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F8A" w:sz="4" w:space="4"/>
      </w:pBdr>
    </w:pPr>
    <w:r>
      <w:rPr>
        <w:rFonts w:ascii="Arial" w:cs="Arial" w:eastAsia="Arial" w:hAnsi="Arial"/>
        <w:color w:val="2E4F8A"/>
        <w:sz w:val="18"/>
        <w:szCs w:val="18"/>
      </w:rPr>
      <w:t xml:space="preserve">Superstore Sales &amp; Performance Report  |  2016–2019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E4F8A"/>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F3A6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2026-05-22T16:27:29.125Z</dcterms:created>
  <dcterms:modified xsi:type="dcterms:W3CDTF">2026-05-22T16:27:29.125Z</dcterms:modified>
</cp:coreProperties>
</file>

<file path=docProps/custom.xml><?xml version="1.0" encoding="utf-8"?>
<Properties xmlns="http://schemas.openxmlformats.org/officeDocument/2006/custom-properties" xmlns:vt="http://schemas.openxmlformats.org/officeDocument/2006/docPropsVTypes"/>
</file>