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69948" w14:textId="77777777" w:rsidR="001E347D" w:rsidRDefault="001E347D" w:rsidP="001E347D">
      <w:pPr>
        <w:rPr>
          <w:rFonts w:ascii="Times New Roman" w:hAnsi="Times New Roman" w:cs="Times New Roman"/>
          <w:b/>
          <w:bCs/>
        </w:rPr>
      </w:pPr>
      <w:r w:rsidRPr="001E347D">
        <w:rPr>
          <w:rFonts w:ascii="Times New Roman" w:hAnsi="Times New Roman" w:cs="Times New Roman"/>
          <w:b/>
          <w:bCs/>
        </w:rPr>
        <w:t>Pathway-centric remodeling of the gut microbiome in constipated Parkinson’s disease: PD-only metagenomic analysis</w:t>
      </w:r>
    </w:p>
    <w:p w14:paraId="5E8260BC" w14:textId="35409F89" w:rsidR="0064429A" w:rsidRDefault="0064429A" w:rsidP="001E347D">
      <w:pPr>
        <w:rPr>
          <w:rFonts w:ascii="Times New Roman" w:hAnsi="Times New Roman" w:cs="Times New Roman"/>
          <w:sz w:val="20"/>
          <w:szCs w:val="20"/>
        </w:rPr>
      </w:pPr>
      <w:r w:rsidRPr="0064429A">
        <w:rPr>
          <w:rFonts w:ascii="Times New Roman" w:hAnsi="Times New Roman" w:cs="Times New Roman"/>
          <w:sz w:val="20"/>
          <w:szCs w:val="20"/>
        </w:rPr>
        <w:t>Siddiqui, Ayan</w:t>
      </w:r>
      <w:r w:rsidR="00AF1418">
        <w:rPr>
          <w:rFonts w:ascii="Times New Roman" w:hAnsi="Times New Roman" w:cs="Times New Roman"/>
          <w:sz w:val="20"/>
          <w:szCs w:val="20"/>
        </w:rPr>
        <w:t xml:space="preserve"> M.</w:t>
      </w:r>
    </w:p>
    <w:p w14:paraId="4379F362" w14:textId="27750C82" w:rsidR="0064429A" w:rsidRDefault="0064429A" w:rsidP="001E347D">
      <w:pPr>
        <w:rPr>
          <w:rFonts w:ascii="Times New Roman" w:hAnsi="Times New Roman" w:cs="Times New Roman"/>
          <w:sz w:val="20"/>
          <w:szCs w:val="20"/>
        </w:rPr>
      </w:pPr>
      <w:r w:rsidRPr="0064429A">
        <w:rPr>
          <w:rFonts w:ascii="Times New Roman" w:hAnsi="Times New Roman" w:cs="Times New Roman"/>
          <w:sz w:val="20"/>
          <w:szCs w:val="20"/>
        </w:rPr>
        <w:t>College of Medicine, Burnett Honors College, University of Central Florida, Orlando, Florida, USA</w:t>
      </w:r>
    </w:p>
    <w:p w14:paraId="0016A7C0" w14:textId="17F25384" w:rsidR="000C4C46" w:rsidRDefault="0064429A" w:rsidP="00E54BCE">
      <w:pPr>
        <w:rPr>
          <w:rFonts w:ascii="Times New Roman" w:hAnsi="Times New Roman" w:cs="Times New Roman"/>
          <w:sz w:val="20"/>
          <w:szCs w:val="20"/>
        </w:rPr>
      </w:pPr>
      <w:r>
        <w:rPr>
          <w:rFonts w:ascii="Times New Roman" w:hAnsi="Times New Roman" w:cs="Times New Roman"/>
          <w:sz w:val="20"/>
          <w:szCs w:val="20"/>
        </w:rPr>
        <w:t>C</w:t>
      </w:r>
      <w:r w:rsidRPr="0064429A">
        <w:rPr>
          <w:rFonts w:ascii="Times New Roman" w:hAnsi="Times New Roman" w:cs="Times New Roman"/>
          <w:sz w:val="20"/>
          <w:szCs w:val="20"/>
        </w:rPr>
        <w:t>orrespondence</w:t>
      </w:r>
      <w:r>
        <w:rPr>
          <w:rFonts w:ascii="Times New Roman" w:hAnsi="Times New Roman" w:cs="Times New Roman"/>
          <w:sz w:val="20"/>
          <w:szCs w:val="20"/>
        </w:rPr>
        <w:t xml:space="preserve">: </w:t>
      </w:r>
      <w:hyperlink r:id="rId6" w:history="1">
        <w:r w:rsidRPr="00F941E1">
          <w:rPr>
            <w:rStyle w:val="Hyperlink"/>
            <w:rFonts w:ascii="Times New Roman" w:hAnsi="Times New Roman" w:cs="Times New Roman"/>
            <w:sz w:val="20"/>
            <w:szCs w:val="20"/>
          </w:rPr>
          <w:t>ay153866@ucf.edu</w:t>
        </w:r>
      </w:hyperlink>
    </w:p>
    <w:p w14:paraId="09A6991A" w14:textId="77777777" w:rsidR="0064429A" w:rsidRPr="0064429A" w:rsidRDefault="0064429A" w:rsidP="00E54BCE">
      <w:pPr>
        <w:rPr>
          <w:rFonts w:ascii="Times New Roman" w:hAnsi="Times New Roman" w:cs="Times New Roman"/>
          <w:sz w:val="20"/>
          <w:szCs w:val="20"/>
        </w:rPr>
      </w:pPr>
    </w:p>
    <w:p w14:paraId="25AA24E2" w14:textId="2CE8FB93" w:rsidR="00F70507" w:rsidRDefault="00373BE2" w:rsidP="00E54BCE">
      <w:pPr>
        <w:rPr>
          <w:rFonts w:ascii="Times New Roman" w:hAnsi="Times New Roman" w:cs="Times New Roman"/>
          <w:b/>
          <w:bCs/>
        </w:rPr>
      </w:pPr>
      <w:r w:rsidRPr="00657143">
        <w:rPr>
          <w:rFonts w:ascii="Times New Roman" w:hAnsi="Times New Roman" w:cs="Times New Roman"/>
          <w:b/>
          <w:bCs/>
        </w:rPr>
        <w:t>Abstract</w:t>
      </w:r>
    </w:p>
    <w:p w14:paraId="0F75544E" w14:textId="5FBEDB4C" w:rsidR="00E54BCE" w:rsidRPr="00657143" w:rsidRDefault="00D749C3" w:rsidP="00E54BCE">
      <w:pPr>
        <w:rPr>
          <w:rFonts w:ascii="Times New Roman" w:hAnsi="Times New Roman" w:cs="Times New Roman"/>
          <w:b/>
          <w:bCs/>
        </w:rPr>
      </w:pPr>
      <w:r w:rsidRPr="00D749C3">
        <w:rPr>
          <w:rFonts w:ascii="Times New Roman" w:hAnsi="Times New Roman" w:cs="Times New Roman"/>
          <w:sz w:val="20"/>
          <w:szCs w:val="20"/>
        </w:rPr>
        <w:t xml:space="preserve">Constipation is a prevalent non-motor feature of Parkinson’s disease (PD), yet microbiome signatures within PD remain unclear. </w:t>
      </w:r>
      <w:r w:rsidR="00260847" w:rsidRPr="00260847">
        <w:rPr>
          <w:rFonts w:ascii="Times New Roman" w:hAnsi="Times New Roman" w:cs="Times New Roman"/>
          <w:sz w:val="20"/>
          <w:szCs w:val="20"/>
        </w:rPr>
        <w:t>We analyzed a PD-only shotgun metagenomic cohort (</w:t>
      </w:r>
      <w:r w:rsidR="00260847" w:rsidRPr="00260847">
        <w:rPr>
          <w:rFonts w:ascii="Times New Roman" w:hAnsi="Times New Roman" w:cs="Times New Roman"/>
          <w:i/>
          <w:iCs/>
          <w:sz w:val="20"/>
          <w:szCs w:val="20"/>
        </w:rPr>
        <w:t>n</w:t>
      </w:r>
      <w:r w:rsidR="00260847" w:rsidRPr="00260847">
        <w:rPr>
          <w:rFonts w:ascii="Times New Roman" w:hAnsi="Times New Roman" w:cs="Times New Roman"/>
          <w:sz w:val="20"/>
          <w:szCs w:val="20"/>
        </w:rPr>
        <w:t xml:space="preserve"> =</w:t>
      </w:r>
      <w:r w:rsidR="00D5244E">
        <w:rPr>
          <w:rFonts w:ascii="Times New Roman" w:hAnsi="Times New Roman" w:cs="Times New Roman"/>
          <w:sz w:val="20"/>
          <w:szCs w:val="20"/>
        </w:rPr>
        <w:t xml:space="preserve"> </w:t>
      </w:r>
      <w:r w:rsidR="00260847" w:rsidRPr="00260847">
        <w:rPr>
          <w:rFonts w:ascii="Times New Roman" w:hAnsi="Times New Roman" w:cs="Times New Roman"/>
          <w:sz w:val="20"/>
          <w:szCs w:val="20"/>
        </w:rPr>
        <w:t>490; non-constipated = 282, constipated = 208) using a covariate-adjusted, compositional framework</w:t>
      </w:r>
      <w:r w:rsidRPr="00D749C3">
        <w:rPr>
          <w:rFonts w:ascii="Times New Roman" w:hAnsi="Times New Roman" w:cs="Times New Roman"/>
          <w:sz w:val="20"/>
          <w:szCs w:val="20"/>
        </w:rPr>
        <w:t xml:space="preserve"> to test associations between constipation and microbial diversity, composition, function, and enterotypes. Shannon and </w:t>
      </w:r>
      <w:r w:rsidR="00D2247F">
        <w:rPr>
          <w:rFonts w:ascii="Times New Roman" w:hAnsi="Times New Roman" w:cs="Times New Roman"/>
          <w:sz w:val="20"/>
          <w:szCs w:val="20"/>
        </w:rPr>
        <w:t>Gini-</w:t>
      </w:r>
      <w:r w:rsidRPr="00D749C3">
        <w:rPr>
          <w:rFonts w:ascii="Times New Roman" w:hAnsi="Times New Roman" w:cs="Times New Roman"/>
          <w:sz w:val="20"/>
          <w:szCs w:val="20"/>
        </w:rPr>
        <w:t xml:space="preserve">Simpson </w:t>
      </w:r>
      <w:r w:rsidR="00B738AF">
        <w:rPr>
          <w:rFonts w:ascii="Times New Roman" w:hAnsi="Times New Roman" w:cs="Times New Roman"/>
          <w:sz w:val="20"/>
          <w:szCs w:val="20"/>
        </w:rPr>
        <w:t>(1−D)</w:t>
      </w:r>
      <w:r w:rsidRPr="00D749C3">
        <w:rPr>
          <w:rFonts w:ascii="Times New Roman" w:hAnsi="Times New Roman" w:cs="Times New Roman"/>
          <w:sz w:val="20"/>
          <w:szCs w:val="20"/>
        </w:rPr>
        <w:t xml:space="preserve"> α-diversity did not differ by group, whereas observed richness was modestly higher in constipated PD (median 94 </w:t>
      </w:r>
      <w:r w:rsidR="00882A99">
        <w:rPr>
          <w:rFonts w:ascii="Times New Roman" w:hAnsi="Times New Roman" w:cs="Times New Roman"/>
          <w:sz w:val="20"/>
          <w:szCs w:val="20"/>
        </w:rPr>
        <w:t>vs.</w:t>
      </w:r>
      <w:r w:rsidRPr="00D749C3">
        <w:rPr>
          <w:rFonts w:ascii="Times New Roman" w:hAnsi="Times New Roman" w:cs="Times New Roman"/>
          <w:sz w:val="20"/>
          <w:szCs w:val="20"/>
        </w:rPr>
        <w:t xml:space="preserve"> 89; </w:t>
      </w:r>
      <w:r w:rsidR="00C60278" w:rsidRPr="00C60278">
        <w:rPr>
          <w:rFonts w:ascii="Times New Roman" w:hAnsi="Times New Roman" w:cs="Times New Roman"/>
          <w:i/>
          <w:sz w:val="20"/>
          <w:szCs w:val="20"/>
        </w:rPr>
        <w:t xml:space="preserve">P = </w:t>
      </w:r>
      <w:r w:rsidRPr="00D749C3">
        <w:rPr>
          <w:rFonts w:ascii="Times New Roman" w:hAnsi="Times New Roman" w:cs="Times New Roman"/>
          <w:sz w:val="20"/>
          <w:szCs w:val="20"/>
        </w:rPr>
        <w:t xml:space="preserve">0.002). β-diversity showed small but significant separation (PERMANOVA </w:t>
      </w:r>
      <w:r w:rsidR="00C60278" w:rsidRPr="00C60278">
        <w:rPr>
          <w:rFonts w:ascii="Times New Roman" w:hAnsi="Times New Roman" w:cs="Times New Roman"/>
          <w:i/>
          <w:sz w:val="20"/>
          <w:szCs w:val="20"/>
        </w:rPr>
        <w:t>R</w:t>
      </w:r>
      <w:r w:rsidR="00091B00" w:rsidRPr="00091B00">
        <w:rPr>
          <w:rFonts w:ascii="Times New Roman" w:hAnsi="Times New Roman" w:cs="Times New Roman"/>
          <w:sz w:val="20"/>
          <w:szCs w:val="20"/>
        </w:rPr>
        <w:t>²</w:t>
      </w:r>
      <w:r w:rsidRPr="00D749C3">
        <w:rPr>
          <w:rFonts w:ascii="Times New Roman" w:hAnsi="Times New Roman" w:cs="Times New Roman"/>
          <w:sz w:val="20"/>
          <w:szCs w:val="20"/>
        </w:rPr>
        <w:t xml:space="preserve"> = 0.008 [</w:t>
      </w:r>
      <w:r w:rsidR="00BA14A4">
        <w:rPr>
          <w:rFonts w:ascii="Times New Roman" w:hAnsi="Times New Roman" w:cs="Times New Roman"/>
          <w:sz w:val="20"/>
          <w:szCs w:val="20"/>
        </w:rPr>
        <w:t>Bray–Curtis</w:t>
      </w:r>
      <w:r w:rsidRPr="00D749C3">
        <w:rPr>
          <w:rFonts w:ascii="Times New Roman" w:hAnsi="Times New Roman" w:cs="Times New Roman"/>
          <w:sz w:val="20"/>
          <w:szCs w:val="20"/>
        </w:rPr>
        <w:t xml:space="preserve">], 0.005 [Aitchison]; </w:t>
      </w:r>
      <w:r w:rsidR="00C60278" w:rsidRPr="00C60278">
        <w:rPr>
          <w:rFonts w:ascii="Times New Roman" w:hAnsi="Times New Roman" w:cs="Times New Roman"/>
          <w:i/>
          <w:sz w:val="20"/>
          <w:szCs w:val="20"/>
        </w:rPr>
        <w:t>q =</w:t>
      </w:r>
      <w:r w:rsidRPr="00D749C3">
        <w:rPr>
          <w:rFonts w:ascii="Times New Roman" w:hAnsi="Times New Roman" w:cs="Times New Roman"/>
          <w:sz w:val="20"/>
          <w:szCs w:val="20"/>
        </w:rPr>
        <w:t xml:space="preserve"> 0.001), with dispersion differences confined to </w:t>
      </w:r>
      <w:r w:rsidR="00BA14A4">
        <w:rPr>
          <w:rFonts w:ascii="Times New Roman" w:hAnsi="Times New Roman" w:cs="Times New Roman"/>
          <w:sz w:val="20"/>
          <w:szCs w:val="20"/>
        </w:rPr>
        <w:t>Bray–Curtis</w:t>
      </w:r>
      <w:r w:rsidRPr="00D749C3">
        <w:rPr>
          <w:rFonts w:ascii="Times New Roman" w:hAnsi="Times New Roman" w:cs="Times New Roman"/>
          <w:sz w:val="20"/>
          <w:szCs w:val="20"/>
        </w:rPr>
        <w:t xml:space="preserve">. </w:t>
      </w:r>
      <w:r w:rsidR="00260847" w:rsidRPr="00260847">
        <w:rPr>
          <w:rFonts w:ascii="Times New Roman" w:hAnsi="Times New Roman" w:cs="Times New Roman"/>
          <w:sz w:val="20"/>
          <w:szCs w:val="20"/>
        </w:rPr>
        <w:t xml:space="preserve">At the species level (CLR + limma), </w:t>
      </w:r>
      <w:r w:rsidR="000C4C46" w:rsidRPr="000C4C46">
        <w:rPr>
          <w:rFonts w:ascii="Times New Roman" w:hAnsi="Times New Roman" w:cs="Times New Roman"/>
          <w:sz w:val="20"/>
          <w:szCs w:val="20"/>
        </w:rPr>
        <w:t xml:space="preserve">one taxon met Benjamini-Hochberg (BH) FDR &lt; 0.05, </w:t>
      </w:r>
      <w:r w:rsidR="000C4C46" w:rsidRPr="000C4C46">
        <w:rPr>
          <w:rFonts w:ascii="Times New Roman" w:hAnsi="Times New Roman" w:cs="Times New Roman"/>
          <w:i/>
          <w:iCs/>
          <w:sz w:val="20"/>
          <w:szCs w:val="20"/>
        </w:rPr>
        <w:t>Ruthenibacterium lactatiformans</w:t>
      </w:r>
      <w:r w:rsidR="000C4C46" w:rsidRPr="000C4C46">
        <w:rPr>
          <w:rFonts w:ascii="Times New Roman" w:hAnsi="Times New Roman" w:cs="Times New Roman"/>
          <w:sz w:val="20"/>
          <w:szCs w:val="20"/>
        </w:rPr>
        <w:t>, higher in cases</w:t>
      </w:r>
      <w:r w:rsidR="00260847" w:rsidRPr="00260847">
        <w:rPr>
          <w:rFonts w:ascii="Times New Roman" w:hAnsi="Times New Roman" w:cs="Times New Roman"/>
          <w:sz w:val="20"/>
          <w:szCs w:val="20"/>
        </w:rPr>
        <w:t>, while several taxa displayed non-significant trends.</w:t>
      </w:r>
      <w:r w:rsidR="00260847">
        <w:rPr>
          <w:rFonts w:ascii="Times New Roman" w:hAnsi="Times New Roman" w:cs="Times New Roman"/>
          <w:sz w:val="20"/>
          <w:szCs w:val="20"/>
        </w:rPr>
        <w:t xml:space="preserve"> </w:t>
      </w:r>
      <w:r w:rsidRPr="00D749C3">
        <w:rPr>
          <w:rFonts w:ascii="Times New Roman" w:hAnsi="Times New Roman" w:cs="Times New Roman"/>
          <w:sz w:val="20"/>
          <w:szCs w:val="20"/>
        </w:rPr>
        <w:t>Functional analysis (</w:t>
      </w:r>
      <w:r w:rsidR="00882A99">
        <w:rPr>
          <w:rFonts w:ascii="Times New Roman" w:hAnsi="Times New Roman" w:cs="Times New Roman"/>
          <w:sz w:val="20"/>
          <w:szCs w:val="20"/>
        </w:rPr>
        <w:t>voom–limma</w:t>
      </w:r>
      <w:r w:rsidRPr="00D749C3">
        <w:rPr>
          <w:rFonts w:ascii="Times New Roman" w:hAnsi="Times New Roman" w:cs="Times New Roman"/>
          <w:sz w:val="20"/>
          <w:szCs w:val="20"/>
        </w:rPr>
        <w:t xml:space="preserve">) revealed broader changes: of 510 pathways tested, </w:t>
      </w:r>
      <w:r w:rsidR="000C4C46" w:rsidRPr="000C4C46">
        <w:rPr>
          <w:rFonts w:ascii="Times New Roman" w:hAnsi="Times New Roman" w:cs="Times New Roman"/>
          <w:sz w:val="20"/>
          <w:szCs w:val="20"/>
        </w:rPr>
        <w:t>64 were BH FDR-significant overall</w:t>
      </w:r>
      <w:r w:rsidRPr="00D749C3">
        <w:rPr>
          <w:rFonts w:ascii="Times New Roman" w:hAnsi="Times New Roman" w:cs="Times New Roman"/>
          <w:sz w:val="20"/>
          <w:szCs w:val="20"/>
        </w:rPr>
        <w:t xml:space="preserve"> (52 enriched and 12 depleted in cases), led by lipid/cofactor and central-carbon modules including</w:t>
      </w:r>
      <w:r w:rsidR="0001110B">
        <w:rPr>
          <w:rFonts w:ascii="Times New Roman" w:hAnsi="Times New Roman" w:cs="Times New Roman"/>
          <w:sz w:val="20"/>
          <w:szCs w:val="20"/>
        </w:rPr>
        <w:t xml:space="preserve"> </w:t>
      </w:r>
      <w:r w:rsidRPr="00D749C3">
        <w:rPr>
          <w:rFonts w:ascii="Times New Roman" w:hAnsi="Times New Roman" w:cs="Times New Roman"/>
          <w:sz w:val="20"/>
          <w:szCs w:val="20"/>
        </w:rPr>
        <w:t xml:space="preserve">phosphopantothenate/CoA biosynthesis, fatty-acid initiation, cis-vaccenate biosynthesis, and chorismate-related pathways. </w:t>
      </w:r>
      <w:r w:rsidR="00292C60" w:rsidRPr="00292C60">
        <w:rPr>
          <w:rFonts w:ascii="Times New Roman" w:hAnsi="Times New Roman" w:cs="Times New Roman"/>
          <w:sz w:val="20"/>
          <w:szCs w:val="20"/>
        </w:rPr>
        <w:t xml:space="preserve">Data-driven enterotypes derived by mclust/BIC produced </w:t>
      </w:r>
      <w:r w:rsidR="00292C60" w:rsidRPr="00292C60">
        <w:rPr>
          <w:rFonts w:ascii="Times New Roman" w:hAnsi="Times New Roman" w:cs="Times New Roman"/>
          <w:i/>
          <w:iCs/>
          <w:sz w:val="20"/>
          <w:szCs w:val="20"/>
        </w:rPr>
        <w:t>k</w:t>
      </w:r>
      <w:r w:rsidR="00292C60" w:rsidRPr="00292C60">
        <w:rPr>
          <w:rFonts w:ascii="Times New Roman" w:hAnsi="Times New Roman" w:cs="Times New Roman"/>
          <w:sz w:val="20"/>
          <w:szCs w:val="20"/>
        </w:rPr>
        <w:t xml:space="preserve"> = 2 (seed = 42) with a modest distribution shift (Fisher’s exact </w:t>
      </w:r>
      <w:r w:rsidR="00292C60" w:rsidRPr="00292C60">
        <w:rPr>
          <w:rFonts w:ascii="Times New Roman" w:hAnsi="Times New Roman" w:cs="Times New Roman"/>
          <w:i/>
          <w:iCs/>
          <w:sz w:val="20"/>
          <w:szCs w:val="20"/>
        </w:rPr>
        <w:t>P</w:t>
      </w:r>
      <w:r w:rsidR="00292C60" w:rsidRPr="00292C60">
        <w:rPr>
          <w:rFonts w:ascii="Times New Roman" w:hAnsi="Times New Roman" w:cs="Times New Roman"/>
          <w:sz w:val="20"/>
          <w:szCs w:val="20"/>
        </w:rPr>
        <w:t xml:space="preserve"> = 0.0105).</w:t>
      </w:r>
      <w:r w:rsidRPr="00D749C3">
        <w:rPr>
          <w:rFonts w:ascii="Times New Roman" w:hAnsi="Times New Roman" w:cs="Times New Roman"/>
          <w:sz w:val="20"/>
          <w:szCs w:val="20"/>
        </w:rPr>
        <w:t xml:space="preserve"> In sum, constipation within PD is marked by slight compositional differences and prominent remodeling of microbial functions. A pathway-centric lens may better capture symptom-linked biology than species lists and suggests testable metabolic targets for biomarker development and dietary or probiotic interventions.</w:t>
      </w:r>
    </w:p>
    <w:p w14:paraId="0BEC7261" w14:textId="77777777" w:rsidR="00B20FFD" w:rsidRDefault="00B20FFD" w:rsidP="00E54BCE">
      <w:pPr>
        <w:rPr>
          <w:rFonts w:ascii="Times New Roman" w:hAnsi="Times New Roman" w:cs="Times New Roman"/>
          <w:b/>
          <w:bCs/>
        </w:rPr>
      </w:pPr>
    </w:p>
    <w:p w14:paraId="72B63592" w14:textId="49F9B6F3" w:rsidR="00E54BCE" w:rsidRPr="00657143" w:rsidRDefault="00E54BCE" w:rsidP="00E54BCE">
      <w:pPr>
        <w:rPr>
          <w:rFonts w:ascii="Times New Roman" w:hAnsi="Times New Roman" w:cs="Times New Roman"/>
          <w:b/>
          <w:bCs/>
        </w:rPr>
      </w:pPr>
      <w:r w:rsidRPr="00657143">
        <w:rPr>
          <w:rFonts w:ascii="Times New Roman" w:hAnsi="Times New Roman" w:cs="Times New Roman"/>
          <w:b/>
          <w:bCs/>
        </w:rPr>
        <w:t>Introduction</w:t>
      </w:r>
    </w:p>
    <w:p w14:paraId="6E1C9857" w14:textId="4B7E6B27" w:rsidR="00CB0196" w:rsidRDefault="00B3023F" w:rsidP="00CB0196">
      <w:pPr>
        <w:rPr>
          <w:rFonts w:ascii="Times New Roman" w:hAnsi="Times New Roman" w:cs="Times New Roman"/>
          <w:sz w:val="20"/>
          <w:szCs w:val="20"/>
        </w:rPr>
      </w:pPr>
      <w:r w:rsidRPr="00B3023F">
        <w:rPr>
          <w:rFonts w:ascii="Times New Roman" w:hAnsi="Times New Roman" w:cs="Times New Roman"/>
          <w:sz w:val="20"/>
          <w:szCs w:val="20"/>
        </w:rPr>
        <w:t>Parkinson’s disease (PD) is the second most common neurodegenerative disorder worldwide, affecting over 10 million people</w:t>
      </w:r>
      <w:r w:rsidR="00DA12C4">
        <w:rPr>
          <w:rFonts w:ascii="Times New Roman" w:hAnsi="Times New Roman" w:cs="Times New Roman"/>
          <w:sz w:val="20"/>
          <w:szCs w:val="20"/>
        </w:rPr>
        <w:fldChar w:fldCharType="begin"/>
      </w:r>
      <w:r w:rsidR="00DA12C4">
        <w:rPr>
          <w:rFonts w:ascii="Times New Roman" w:hAnsi="Times New Roman" w:cs="Times New Roman"/>
          <w:sz w:val="20"/>
          <w:szCs w:val="20"/>
        </w:rPr>
        <w:instrText xml:space="preserve"> ADDIN ZOTERO_ITEM CSL_CITATION {"citationID":"J8ylodVU","properties":{"formattedCitation":"\\super 1\\nosupersub{}","plainCitation":"1","noteIndex":0},"citationItems":[{"id":10,"uris":["http://zotero.org/users/14462068/items/9XSN2WG9"],"itemData":{"id":10,"type":"article-journal","abstract":"Background:\n              Parkinson's disease (PD) is an increasing challenge to public health. Tracking the temporal trends of PD burden would inform health strategies.\n            \n            \n              Methods:\n              Data of PD burden was obtained from the Global Burden of Disease 2019. Trends in the incidence, prevalence, and years lived with disability (YLDs) of PD were estimated using the annual percentage change (EAPC) and age-standardized rate (ASR) from 1990 to 2019. The EAPCs were calculated with ASR through a linear regression model.\n            \n            \n              Results:\n              The overall ASR of the incidence, prevalence, and YLDs of PD increased from 1990 to 2019, and their EAPCs were 0.61 (95% confidence interval [CI]: 0.58–0.65), 0.52 (95% CI: 0.43–0.61), and 0.53 (95% CI: 0.44–0.62). The largest number of PD patients was seen in the groups aged more than 65 years, and the percentage rapidly increased in the population aged more than 80 years. Upward trends in the ASR of PD were observed in most settings over the past 30 years. Incident trends of ASR increased pronouncedly in the United States of America and Norway, in which the respective EAPCs were 2.87 (95% CI: 2.35–3.38) and 2.14 (95% CI: 2.00–2.29). Additionally, the largest increasing trends for prevalence and YLDs were seen in Norway, with the respective EAPCs of 2.63 (95% CI: 2.43–2.83) and 2.61 (95% CI: 2.41–2.80). However, decreasing trends in PD appeared in about 30 countries, particularly Italy and the Republic of Moldova.\n            \n            \n              Conclusions:\n              Increasing trends in the burden of PD were observed globally, and in most regions and countries from 1990 to 2019. Our findings suggested that the control and management of PD should be strengthened, especially when considering the aging tendency of the population.","container-title":"Frontiers in Public Health","DOI":"10.3389/fpubh.2021.776847","ISSN":"2296-2565","journalAbbreviation":"Front. Public Health","page":"776847","source":"DOI.org (Crossref)","title":"Global Trends in the Incidence, Prevalence, and Years Lived With Disability of Parkinson's Disease in 204 Countries/Territories From 1990 to 2019","volume":"9","author":[{"family":"Ou","given":"Zejin"},{"family":"Pan","given":"Jing"},{"family":"Tang","given":"Shihao"},{"family":"Duan","given":"Danping"},{"family":"Yu","given":"Danfeng"},{"family":"Nong","given":"Huiqi"},{"family":"Wang","given":"Zhi"}],"issued":{"date-parts":[["2021",12,7]]},"citation-key":"ouGlobalTrendsIncidence2021"}}],"schema":"https://github.com/citation-style-language/schema/raw/master/csl-citation.json"} </w:instrText>
      </w:r>
      <w:r w:rsidR="00DA12C4">
        <w:rPr>
          <w:rFonts w:ascii="Times New Roman" w:hAnsi="Times New Roman" w:cs="Times New Roman"/>
          <w:sz w:val="20"/>
          <w:szCs w:val="20"/>
        </w:rPr>
        <w:fldChar w:fldCharType="separate"/>
      </w:r>
      <w:r w:rsidR="00DA12C4" w:rsidRPr="00DA12C4">
        <w:rPr>
          <w:rFonts w:ascii="Times New Roman" w:hAnsi="Times New Roman" w:cs="Times New Roman"/>
          <w:kern w:val="0"/>
          <w:sz w:val="20"/>
          <w:vertAlign w:val="superscript"/>
        </w:rPr>
        <w:t>1</w:t>
      </w:r>
      <w:r w:rsidR="00DA12C4">
        <w:rPr>
          <w:rFonts w:ascii="Times New Roman" w:hAnsi="Times New Roman" w:cs="Times New Roman"/>
          <w:sz w:val="20"/>
          <w:szCs w:val="20"/>
        </w:rPr>
        <w:fldChar w:fldCharType="end"/>
      </w:r>
      <w:r w:rsidR="00DA12C4">
        <w:rPr>
          <w:rFonts w:ascii="Times New Roman" w:hAnsi="Times New Roman" w:cs="Times New Roman"/>
          <w:sz w:val="20"/>
          <w:szCs w:val="20"/>
        </w:rPr>
        <w:t>.</w:t>
      </w:r>
      <w:r w:rsidR="00CB0196" w:rsidRPr="00CB0196">
        <w:rPr>
          <w:rFonts w:ascii="Times New Roman" w:hAnsi="Times New Roman" w:cs="Times New Roman"/>
          <w:sz w:val="20"/>
          <w:szCs w:val="20"/>
        </w:rPr>
        <w:t xml:space="preserve"> PD, as a complex neurodegenerative disorder, is defined by the gradual loss of dopaminergic neurons in the substantia nigra, and its symptoms often manifest with typical motor features: bradykinesia, resting tremor, rigidity, and postural instability</w:t>
      </w:r>
      <w:r w:rsidR="00DA12C4">
        <w:rPr>
          <w:rFonts w:ascii="Times New Roman" w:hAnsi="Times New Roman" w:cs="Times New Roman"/>
          <w:sz w:val="20"/>
          <w:szCs w:val="20"/>
        </w:rPr>
        <w:fldChar w:fldCharType="begin"/>
      </w:r>
      <w:r w:rsidR="00DA12C4">
        <w:rPr>
          <w:rFonts w:ascii="Times New Roman" w:hAnsi="Times New Roman" w:cs="Times New Roman"/>
          <w:sz w:val="20"/>
          <w:szCs w:val="20"/>
        </w:rPr>
        <w:instrText xml:space="preserve"> ADDIN ZOTERO_ITEM CSL_CITATION {"citationID":"20d7OFr6","properties":{"formattedCitation":"\\super 2\\nosupersub{}","plainCitation":"2","noteIndex":0},"citationItems":[{"id":12,"uris":["http://zotero.org/users/14462068/items/HV45F2NQ"],"itemData":{"id":12,"type":"article-journal","container-title":"Nature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E."}],"issued":{"date-parts":[["2017",3,23]]},"citation-key":"poeweParkinsonDisease2017"}}],"schema":"https://github.com/citation-style-language/schema/raw/master/csl-citation.json"} </w:instrText>
      </w:r>
      <w:r w:rsidR="00DA12C4">
        <w:rPr>
          <w:rFonts w:ascii="Times New Roman" w:hAnsi="Times New Roman" w:cs="Times New Roman"/>
          <w:sz w:val="20"/>
          <w:szCs w:val="20"/>
        </w:rPr>
        <w:fldChar w:fldCharType="separate"/>
      </w:r>
      <w:r w:rsidR="00DA12C4" w:rsidRPr="00DA12C4">
        <w:rPr>
          <w:rFonts w:ascii="Times New Roman" w:hAnsi="Times New Roman" w:cs="Times New Roman"/>
          <w:kern w:val="0"/>
          <w:sz w:val="20"/>
          <w:vertAlign w:val="superscript"/>
        </w:rPr>
        <w:t>2</w:t>
      </w:r>
      <w:r w:rsidR="00DA12C4">
        <w:rPr>
          <w:rFonts w:ascii="Times New Roman" w:hAnsi="Times New Roman" w:cs="Times New Roman"/>
          <w:sz w:val="20"/>
          <w:szCs w:val="20"/>
        </w:rPr>
        <w:fldChar w:fldCharType="end"/>
      </w:r>
      <w:r w:rsidR="00CB0196" w:rsidRPr="00CB0196">
        <w:rPr>
          <w:rFonts w:ascii="Times New Roman" w:hAnsi="Times New Roman" w:cs="Times New Roman"/>
          <w:sz w:val="20"/>
          <w:szCs w:val="20"/>
        </w:rPr>
        <w:t>. Beyond the motor symptoms, PD also includes a broad spectrum of non-motor symptoms, which often include sleep disturbance, depression, anosmia, and gastrointestinal (GI) dysfunction, many of which arise years before clinical diagnosis</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{"citationID":"8DwuAtqW","properties":{"formattedCitation":"\\super 3\\nosupersub{}","plainCitation":"3","noteIndex":0},"citationItems":[{"id":13,"uris":["http://zotero.org/users/14462068/items/SLD4NB9Q"],"itemData":{"id":13,"type":"article-journal","container-title":"Nature Reviews Neuroscience","DOI":"10.1038/nrn.2017.62","ISSN":"1471-003X, 1471-0048","issue":"7","journalAbbreviation":"Nat Rev Neurosci","language":"en","page":"435-450","source":"DOI.org (Crossref)","title":"Non-motor features of Parkinson disease","volume":"18","author":[{"family":"Schapira","given":"Anthony H.V."},{"family":"Chaudhuri","given":"K. Ray"},{"family":"Jenner","given":"Peter"}],"issued":{"date-parts":[["2017",7]]},"citation-key":"schapiraNonmotorFeaturesParkinson2017"}}],"schema":"https://github.com/citation-style-language/schema/raw/master/csl-citation.json"}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3</w:t>
      </w:r>
      <w:r w:rsidR="001B0AA5">
        <w:rPr>
          <w:rFonts w:ascii="Times New Roman" w:hAnsi="Times New Roman" w:cs="Times New Roman"/>
          <w:sz w:val="20"/>
          <w:szCs w:val="20"/>
        </w:rPr>
        <w:fldChar w:fldCharType="end"/>
      </w:r>
      <w:r w:rsidR="001B0AA5">
        <w:rPr>
          <w:rFonts w:ascii="Times New Roman" w:hAnsi="Times New Roman" w:cs="Times New Roman"/>
          <w:sz w:val="20"/>
          <w:szCs w:val="20"/>
        </w:rPr>
        <w:t>.</w:t>
      </w:r>
    </w:p>
    <w:p w14:paraId="2B99B228" w14:textId="41A44FE2" w:rsidR="00D56EF3" w:rsidRPr="00657143" w:rsidRDefault="00D56EF3" w:rsidP="00CB0196">
      <w:pPr>
        <w:rPr>
          <w:rFonts w:ascii="Times New Roman" w:hAnsi="Times New Roman" w:cs="Times New Roman"/>
          <w:sz w:val="20"/>
          <w:szCs w:val="20"/>
        </w:rPr>
      </w:pPr>
      <w:r w:rsidRPr="00657143">
        <w:rPr>
          <w:rFonts w:ascii="Times New Roman" w:hAnsi="Times New Roman" w:cs="Times New Roman"/>
          <w:sz w:val="20"/>
          <w:szCs w:val="20"/>
        </w:rPr>
        <w:t>Constipation is among the earliest and most prevalent non-motor symptoms of PD, affecting up to an estimated 80% of patients and often preceding motor onset by decades</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{"citationID":"6Qxzn8ec","properties":{"formattedCitation":"\\super 4,5\\nosupersub{}","plainCitation":"4,5","noteIndex":0},"citationItems":[{"id":14,"uris":["http://zotero.org/users/14462068/items/7GXPUVMQ"],"itemData":{"id":14,"type":"article-journal","abstract":"Abstract\n            Constipation is one of the most frequent non-motor symptoms of Parkinson disease (PD) and it may be ignored by PD patients, leading to this problem not to be reported in time. The relationships between constipation and demographic variables, motor symptoms and other non-motor symptoms of PD are still unknown. PD patients were evaluated by diagnostic criteria of functional constipation in Rome III and divided into PD with constipation (PD-C) and PD with no constipation (PD-NC) groups. PD patients were assessed by rating scales of motor symptoms and other non-motor symptoms, activity of daily living and quality of life. The frequency of constipation in PD patients was 61.4%, and 24.5% of PD patients had constipation before the onset of motor symptoms. PD-C group had older age and age of onset, longer disease duration, more advanced disease stage, and more severe motor symptoms and non-motor symptoms, including worse cognition and emotion, poorer sleep quality, severer autonomic symptoms, fatigue and apathy. Binary Logistic regression analysis showed that the age, H-Y stage, depression, anxiety and autonomic dysfunction increased the risk of constipation in PD patients. Constipation exerted serious impact on the activity of daily living and quality of life in PD patients.","container-title":"Scientific Reports","DOI":"10.1038/s41598-017-16790-8","ISSN":"2045-2322","issue":"1","journalAbbreviation":"Sci Rep","language":"en","page":"567","source":"DOI.org (Crossref)","title":"Parkinson disease with constipation: clinical features and relevant factors","title-short":"Parkinson disease with constipation","volume":"8","author":[{"family":"Yu","given":"Qiu-Jin"},{"family":"Yu","given":"Shu-Yang"},{"family":"Zuo","given":"Li-Jun"},{"family":"Lian","given":"Teng-Hong"},{"family":"Hu","given":"Yang"},{"family":"Wang","given":"Rui-Dan"},{"family":"Piao","given":"Ying-Shan"},{"family":"Guo","given":"Peng"},{"family":"Liu","given":"Li"},{"family":"Jin","given":"Zhao"},{"family":"Li","given":"Li-Xia"},{"family":"Chan","given":"Piu"},{"family":"Chen","given":"Sheng-Di"},{"family":"Wang","given":"Xiao-Min"},{"family":"Zhang","given":"Wei"}],"issued":{"date-parts":[["2018",1,12]]},"citation-key":"yuParkinsonDiseaseConstipation2018"}},{"id":16,"uris":["http://zotero.org/users/14462068/items/H66PH8FU"],"itemData":{"id":16,"type":"article-journal","container-title":"Neurology","DOI":"10.1212/WNL.57.3.456","ISSN":"0028-3878, 1526-632X","issue":"3","journalAbbreviation":"Neurology","language":"en","page":"456-462","source":"DOI.org (Crossref)","title":"Frequency of bowel movements and the future risk of Parkinson’s disease","volume":"57","author":[{"family":"Abbott","given":"R. D."},{"family":"Petrovitch","given":"H."},{"family":"White","given":"L. R."},{"family":"Masaki","given":"K. H."},{"family":"Tanner","given":"C. M."},{"family":"Curb","given":"J. D."},{"family":"Grandinetti","given":"A."},{"family":"Blanchette","given":"P. L."},{"family":"Popper","given":"J. S."},{"family":"Ross","given":"G. W."}],"issued":{"date-parts":[["2001",8,14]]},"citation-key":"abbottFrequencyBowelMovements2001"}}],"schema":"https://github.com/citation-style-language/schema/raw/master/csl-citation.json"}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4,5</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 These observations generally align with the Braak hypothesis, which proposes the idea that PD pathology may originate in the GI tract and ascend to the central nervous system (CNS) via the vagus nerve through misfolded α-synuclein (α-syn) that aggregates in the enteric nervous system (ENS) and then propagates to the brain</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{"citationID":"yJZUqsae","properties":{"formattedCitation":"\\super 6\\nosupersub{}","plainCitation":"6","noteIndex":0},"citationItems":[{"id":17,"uris":["http://zotero.org/users/14462068/items/TFCAJQEK"],"itemData":{"id":17,"type":"article-journal","container-title":"Neurobiology of Aging","DOI":"10.1016/S0197-4580(02)00065-9","ISSN":"01974580","issue":"2","journalAbbreviation":"Neurobiology of Aging","language":"en","license":"https://www.elsevier.com/tdm/userlicense/1.0/","page":"197-211","source":"DOI.org (Crossref)","title":"Staging of brain pathology related to sporadic Parkinson’s disease","volume":"24","author":[{"family":"Braak","given":"Heiko"},{"family":"Tredici","given":"Kelly Del"},{"family":"Rüb","given":"Udo"},{"family":"De Vos","given":"Rob A.I"},{"family":"Jansen Steur","given":"Ernst N.H"},{"family":"Braak","given":"Eva"}],"issued":{"date-parts":[["2003",3]]},"citation-key":"braakStagingBrainPathology2003"}}],"schema":"https://github.com/citation-style-language/schema/raw/master/csl-citation.json"}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6</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 Studies of α-syn inclusions in intestinal tissue before motor symptoms appear further support a gut-brain axis contribution to PD pathogenesis</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{"citationID":"yVY8M1RD","properties":{"formattedCitation":"\\super 7\\nosupersub{}","plainCitation":"7","noteIndex":0},"citationItems":[{"id":18,"uris":["http://zotero.org/users/14462068/items/9YXCQXD3"],"itemData":{"id":18,"type":"article-journal","abstract":"Abstract\n            The diagnosis of Parkinson's disease rests on motor signs of advanced central dopamine deficiency. There is an urgent need for disease biomarkers. Clinicopathological evidence suggests that α‐synuclein aggregation, the pathological signature of Parkinson's disease, can be detected in gastrointestinal tract neurons in Parkinson's disease. We studied whether we could demonstrate α‐synuclein pathology in specimens from unprepped flexible sigmoidoscopy of the distal sigmoid colon in early subjects with Parkinson's disease. We also looked for 3‐nitrotyrosine, a marker of oxidative stress. Ten subjects with early Parkinson's disease not treated with dopaminergic agents (7 men; median age, 58.5 years; median disease duration, 1.5 years) underwent unprepped flexible sigmoidoscopy with biopsy of the distal sigmoid colon. Immunohistochemistry studies for α‐synuclein and 3‐nitrotyrosine were performed on biopsy specimens and control specimens from a tissue repository (23 healthy subjects and 23 subjects with inflammatory bowel disease). Nine of 10 Parkinson's disease samples were adequate for study. All showed staining for α‐synuclein in nerve fibers in colonic submucosa. No control sample showed this pattern. A few showed light α‐synuclein staining in round cells. 3‐Nitrotyrosine staining was seen in 87% of Parkinson's disease cases but was not specific for Parkinson's disease. This study suggests a pattern of α‐synuclein staining in Parkinson's disease that was distinct from healthy subjects and those with inflammatory bowel disease. The absence of this pattern in subjects with inflammatory bowel disease suggests it is not a sequel of inflammation or oxidative stress. 3‐Nitrotyrosine immunostaining was common in all groups studied, suggesting oxidative stress in the colonic submucosa. © 2011 Movement Disorder Society.","container-title":"Movement Disorders","DOI":"10.1002/mds.23838","ISSN":"0885-3185, 1531-8257","issue":"6","journalAbbreviation":"Movement Disorders","language":"en","license":"http://onlinelibrary.wiley.com/termsAndConditions#vor","page":"709-715","source":"DOI.org (Crossref)","title":"Alpha‐synuclein in colonic submucosa in early untreated Parkinson's disease","volume":"27","author":[{"family":"Shannon","given":"Kathleen M."},{"family":"Keshavarzian","given":"Ali"},{"family":"Mutlu","given":"Ece"},{"family":"Dodiya","given":"Hemraj B."},{"family":"Daian","given":"Delia"},{"family":"Jaglin","given":"Jean A."},{"family":"Kordower","given":"Jeffrey H."}],"issued":{"date-parts":[["2012",5]]},"citation-key":"shannonAlphasynucleinColonicSubmucosa2012"}}],"schema":"https://github.com/citation-style-language/schema/raw/master/csl-citation.json"}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7</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w:t>
      </w:r>
    </w:p>
    <w:p w14:paraId="2D3D7D54" w14:textId="5096B131" w:rsidR="00D56EF3" w:rsidRPr="00657143" w:rsidRDefault="00D56EF3" w:rsidP="00D56EF3">
      <w:pPr>
        <w:rPr>
          <w:rFonts w:ascii="Times New Roman" w:hAnsi="Times New Roman" w:cs="Times New Roman"/>
          <w:sz w:val="20"/>
          <w:szCs w:val="20"/>
        </w:rPr>
      </w:pPr>
      <w:r w:rsidRPr="00657143">
        <w:rPr>
          <w:rFonts w:ascii="Times New Roman" w:hAnsi="Times New Roman" w:cs="Times New Roman"/>
          <w:sz w:val="20"/>
          <w:szCs w:val="20"/>
        </w:rPr>
        <w:t>The human gut microbiome, which includes trillions of microorganisms inhabiting the GI tract, can modulate neuroinflammation, epithelial barrier integrity, and α-syn biology</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{"citationID":"TUkx19bU","properties":{"formattedCitation":"\\super 8\\nosupersub{}","plainCitation":"8","noteIndex":0},"citationItems":[{"id":19,"uris":["http://zotero.org/users/14462068/items/KRNQJ84A"],"itemData":{"id":19,"type":"article-journal","container-title":"Cell","DOI":"10.1016/j.cell.2016.11.018","ISSN":"00928674","issue":"6","journalAbbreviation":"Cell","language":"en","page":"1469-1480.e12","source":"DOI.org (Crossref)","title":"Gut Microbiota Regulate Motor Deficits and Neuroinflammation in a Model of Parkinson’s Disease","volume":"167","author":[{"family":"Sampson","given":"Timothy R."},{"family":"Debelius","given":"Justine W."},{"family":"Thron","given":"Taren"},{"family":"Janssen","given":"Stefan"},{"family":"Shastri","given":"Gauri G."},{"family":"Ilhan","given":"Zehra Esra"},{"family":"Challis","given":"Collin"},{"family":"Schretter","given":"Catherine E."},{"family":"Rocha","given":"Sandra"},{"family":"Gradinaru","given":"Viviana"},{"family":"Chesselet","given":"Marie-Francoise"},{"family":"Keshavarzian","given":"Ali"},{"family":"Shannon","given":"Kathleen M."},{"family":"Krajmalnik-Brown","given":"Rosa"},{"family":"Wittung-Stafshede","given":"Pernilla"},{"family":"Knight","given":"Rob"},{"family":"Mazmanian","given":"Sarkis K."}],"issued":{"date-parts":[["2016",12]]},"citation-key":"sampsonGutMicrobiotaRegulate2016"}}],"schema":"https://github.com/citation-style-language/schema/raw/master/csl-citation.json"}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8</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 Across numerous studies, PD is associated with some level of microbial dysbiosis, often featuring shifts in short-chain fatty acid (SCFA) producers and increases in taxa linked to pro-inflammatory signaling</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{"citationID":"6APnQTOV","properties":{"formattedCitation":"\\super 9\\nosupersub{}","plainCitation":"9","noteIndex":0},"citationItems":[{"id":21,"uris":["http://zotero.org/users/14462068/items/P93HSIMW"],"itemData":{"id":21,"type":"article-journal","abstract":"Abstract\n            \n              The gut microbiota is emerging as an important modulator of neurodegenerative diseases, and accumulating evidence has linked gut microbes to Parkinson’s disease (PD) symptomatology and pathophysiology. PD is often preceded by gastrointestinal symptoms and alterations of the enteric nervous system accompany the disease. Several studies have analyzed the gut microbiome in PD, but a consensus on the features of the PD-specific microbiota is missing. Here, we conduct a meta-analysis re-analyzing the ten currently available 16S microbiome datasets to investigate whether common alterations in the gut microbiota of PD patients exist across cohorts. We found significant alterations in the PD-associated microbiome, which are robust to study-specific technical heterogeneities, although differences in microbiome structure between PD and controls are small. Enrichment of the genera\n              Lactobacillus\n              ,\n              Akkermansia\n              , and\n              Bifidobacterium\n              and depletion of bacteria belonging to the Lachnospiraceae family and the\n              Faecalibacterium\n              genus, both important short-chain fatty acids producers, emerged as the most consistent PD gut microbiome alterations. This dysbiosis might result in a pro-inflammatory status which could be linked to the recurrent gastrointestinal symptoms affecting PD patients.","container-title":"npj Parkinson's Disease","DOI":"10.1038/s41531-021-00156-z","ISSN":"2373-8057","issue":"1","journalAbbreviation":"npj Parkinsons Dis.","language":"en","page":"27","source":"DOI.org (Crossref)","title":"Meta-analysis of the Parkinson’s disease gut microbiome suggests alterations linked to intestinal inflammation","volume":"7","author":[{"family":"Romano","given":"Stefano"},{"family":"Savva","given":"George M."},{"family":"Bedarf","given":"Janis R."},{"family":"Charles","given":"Ian G."},{"family":"Hildebrand","given":"Falk"},{"family":"Narbad","given":"Arjan"}],"issued":{"date-parts":[["2021",3,10]]},"citation-key":"romanoMetaanalysisParkinsonsDisease2021"}}],"schema":"https://github.com/citation-style-language/schema/raw/master/csl-citation.json"}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9</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 xml:space="preserve">. SCFAs (e.g., butyrate, propionate, acetate), products from microbial </w:t>
      </w:r>
      <w:r w:rsidRPr="00657143">
        <w:rPr>
          <w:rFonts w:ascii="Times New Roman" w:hAnsi="Times New Roman" w:cs="Times New Roman"/>
          <w:sz w:val="20"/>
          <w:szCs w:val="20"/>
        </w:rPr>
        <w:lastRenderedPageBreak/>
        <w:t>fermentation of dietary fiber, support gut balance and immune signaling across the gut-brain axis</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{"citationID":"GYc9M4rk","properties":{"formattedCitation":"\\super 10\\nosupersub{}","plainCitation":"10","noteIndex":0},"citationItems":[{"id":23,"uris":["http://zotero.org/users/14462068/items/FR2MDJ8G"],"itemData":{"id":23,"type":"article-journal","container-title":"Nature Reviews Gastroenterology &amp; Hepatology","DOI":"10.1038/s41575-019-0157-3","ISSN":"1759-5045, 1759-5053","issue":"8","journalAbbreviation":"Nat Rev Gastroenterol Hepatol","language":"en","page":"461-478","source":"DOI.org (Crossref)","title":"The role of short-chain fatty acids in microbiota–gut–brain communication","volume":"16","author":[{"family":"Dalile","given":"Boushra"},{"family":"Van Oudenhove","given":"Lukas"},{"family":"Vervliet","given":"Bram"},{"family":"Verbeke","given":"Kristin"}],"issued":{"date-parts":[["2019",8]]},"citation-key":"dalileRoleShortchainFatty2019"}}],"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10</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 Reduced SCFA activity has been connected to increased intestinal permeability, sometimes known as a “leaky gut,” and systemic inflammation, processes relevant to PD</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{"citationID":"HZKb2zUq","properties":{"formattedCitation":"\\super 11\\nosupersub{}","plainCitation":"11","noteIndex":0},"citationItems":[{"id":24,"uris":["http://zotero.org/users/14462068/items/9NFSEX7T"],"itemData":{"id":24,"type":"article-journal","abstract":"Abstract\n            The state of the intestinal environment can have profound effects on the activity of the central nervous system through the physiological contributions of the microbiota, regulation of intestinal barrier function, and altered activity of peripheral neurons. The common language employed for much of the gut-brain communication is the modulation of immune activity. Chronic proinflammatory immune activity is increasingly being recognized as a fundamental element of neurodegenerative disorders, and in Parkinson’s disease, inflammation in the intestine appears particularly relevant in pathogenesis. We review the evidence that intestinal dysfunction is present in Parkinson’s disease and that it may reflect the earliest manifestations of Parkinson’s disease pathology, and we link these findings to dysregulated immune activity. Based on this, we present a model for Parkinson’s disease pathogenesis in which the disorder originates in the intestine and progresses with inflammation as its underlying mechanism. More in-depth investigations into the physiological mechanisms underlying peripheral pre-motor symptoms in Parkinson’s disease are expected to lead to the development of novel diagnostic and therapeutic measures that can slow or limit progression of the disease to more advanced stages involving debilitating motor and cognitive symptoms.","container-title":"npj Parkinson's Disease","DOI":"10.1038/s41531-016-0002-0","ISSN":"2373-8057","issue":"1","journalAbbreviation":"npj Parkinson's Disease","language":"en","page":"3","source":"DOI.org (Crossref)","title":"The gut-brain axis: is intestinal inflammation a silent driver of Parkinson’s disease pathogenesis?","title-short":"The gut-brain axis","volume":"3","author":[{"family":"Houser","given":"Madelyn C."},{"family":"Tansey","given":"Malú G."}],"issued":{"date-parts":[["2017",1,11]]},"citation-key":"houserGutbrainAxisIntestinal2017"}}],"schema":"https://github.com/citation-style-language/schema/raw/master/csl-citation.json"}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11</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w:t>
      </w:r>
    </w:p>
    <w:p w14:paraId="5BAEB38E" w14:textId="52D6AF9D" w:rsidR="00D56EF3" w:rsidRPr="00657143" w:rsidRDefault="00D56EF3" w:rsidP="00D56EF3">
      <w:pPr>
        <w:rPr>
          <w:rFonts w:ascii="Times New Roman" w:hAnsi="Times New Roman" w:cs="Times New Roman"/>
          <w:sz w:val="20"/>
          <w:szCs w:val="20"/>
        </w:rPr>
      </w:pPr>
      <w:r w:rsidRPr="00657143">
        <w:rPr>
          <w:rFonts w:ascii="Times New Roman" w:hAnsi="Times New Roman" w:cs="Times New Roman"/>
          <w:sz w:val="20"/>
          <w:szCs w:val="20"/>
        </w:rPr>
        <w:t>Despite the rapid progress made concerning microbiome studies, including the importance of Wallen et al.</w:t>
      </w:r>
      <w:r w:rsidR="001B0AA5">
        <w:rPr>
          <w:rFonts w:ascii="Times New Roman" w:hAnsi="Times New Roman" w:cs="Times New Roman"/>
          <w:sz w:val="20"/>
          <w:szCs w:val="20"/>
        </w:rPr>
        <w:fldChar w:fldCharType="begin"/>
      </w:r>
      <w:r w:rsidR="001B0AA5">
        <w:rPr>
          <w:rFonts w:ascii="Times New Roman" w:hAnsi="Times New Roman" w:cs="Times New Roman"/>
          <w:sz w:val="20"/>
          <w:szCs w:val="20"/>
        </w:rPr>
        <w:instrText xml:space="preserve"> ADDIN ZOTERO_ITEM CSL_CITATION {"citationID":"wprDI1i9","properties":{"formattedCitation":"\\super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sidR="001B0AA5">
        <w:rPr>
          <w:rFonts w:ascii="Times New Roman" w:hAnsi="Times New Roman" w:cs="Times New Roman"/>
          <w:sz w:val="20"/>
          <w:szCs w:val="20"/>
        </w:rPr>
        <w:fldChar w:fldCharType="separate"/>
      </w:r>
      <w:r w:rsidR="001B0AA5" w:rsidRPr="001B0AA5">
        <w:rPr>
          <w:rFonts w:ascii="Times New Roman" w:hAnsi="Times New Roman" w:cs="Times New Roman"/>
          <w:kern w:val="0"/>
          <w:sz w:val="20"/>
          <w:vertAlign w:val="superscript"/>
        </w:rPr>
        <w:t>12</w:t>
      </w:r>
      <w:r w:rsidR="001B0AA5">
        <w:rPr>
          <w:rFonts w:ascii="Times New Roman" w:hAnsi="Times New Roman" w:cs="Times New Roman"/>
          <w:sz w:val="20"/>
          <w:szCs w:val="20"/>
        </w:rPr>
        <w:fldChar w:fldCharType="end"/>
      </w:r>
      <w:r w:rsidRPr="00657143">
        <w:rPr>
          <w:rFonts w:ascii="Times New Roman" w:hAnsi="Times New Roman" w:cs="Times New Roman"/>
          <w:sz w:val="20"/>
          <w:szCs w:val="20"/>
        </w:rPr>
        <w:t>, most studies of this type contrast PD cases with neurologically healthy controls. Such designs are informative for disease</w:t>
      </w:r>
      <w:r w:rsidR="00CF2583">
        <w:rPr>
          <w:rFonts w:ascii="Times New Roman" w:hAnsi="Times New Roman" w:cs="Times New Roman"/>
          <w:sz w:val="20"/>
          <w:szCs w:val="20"/>
        </w:rPr>
        <w:t>-</w:t>
      </w:r>
      <w:r w:rsidRPr="00657143">
        <w:rPr>
          <w:rFonts w:ascii="Times New Roman" w:hAnsi="Times New Roman" w:cs="Times New Roman"/>
          <w:sz w:val="20"/>
          <w:szCs w:val="20"/>
        </w:rPr>
        <w:t>control differences but are less suited to interrogate intra-disease heterogeneity, especially with early and clinically impactful non-motor symptoms like constipation. Because the microbiome reflects and potentially contributes to host physiology, a PD-only, symptom-anchored comparison may reveal associations diluted or obscured in traditional case-control analyses.</w:t>
      </w:r>
    </w:p>
    <w:p w14:paraId="50DC9230" w14:textId="77777777" w:rsidR="00B20FFD" w:rsidRDefault="00D56EF3" w:rsidP="005C2D93">
      <w:pPr>
        <w:rPr>
          <w:rFonts w:ascii="Times New Roman" w:hAnsi="Times New Roman" w:cs="Times New Roman"/>
          <w:sz w:val="20"/>
          <w:szCs w:val="20"/>
        </w:rPr>
      </w:pPr>
      <w:r w:rsidRPr="00657143">
        <w:rPr>
          <w:rFonts w:ascii="Times New Roman" w:hAnsi="Times New Roman" w:cs="Times New Roman"/>
          <w:sz w:val="20"/>
          <w:szCs w:val="20"/>
        </w:rPr>
        <w:t>Here, we focus on PD cases to test whether constipation status is associated with shifts in gut microbial diversity, community structure, taxonomic composition, and microbial functional pathways. Using a publicly available, high-quality shotgun metagenomic dataset from BioProject PRJNA834801 processed by prior work</w:t>
      </w:r>
      <w:r w:rsidR="00EE149A">
        <w:rPr>
          <w:rFonts w:ascii="Times New Roman" w:hAnsi="Times New Roman" w:cs="Times New Roman"/>
          <w:sz w:val="20"/>
          <w:szCs w:val="20"/>
        </w:rPr>
        <w:fldChar w:fldCharType="begin"/>
      </w:r>
      <w:r w:rsidR="00EE149A">
        <w:rPr>
          <w:rFonts w:ascii="Times New Roman" w:hAnsi="Times New Roman" w:cs="Times New Roman"/>
          <w:sz w:val="20"/>
          <w:szCs w:val="20"/>
        </w:rPr>
        <w:instrText xml:space="preserve"> ADDIN ZOTERO_ITEM CSL_CITATION {"citationID":"6EJaHtID","properties":{"formattedCitation":"\\super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sidR="00EE149A">
        <w:rPr>
          <w:rFonts w:ascii="Times New Roman" w:hAnsi="Times New Roman" w:cs="Times New Roman"/>
          <w:sz w:val="20"/>
          <w:szCs w:val="20"/>
        </w:rPr>
        <w:fldChar w:fldCharType="separate"/>
      </w:r>
      <w:r w:rsidR="00EE149A" w:rsidRPr="00EE149A">
        <w:rPr>
          <w:rFonts w:ascii="Times New Roman" w:hAnsi="Times New Roman" w:cs="Times New Roman"/>
          <w:kern w:val="0"/>
          <w:sz w:val="20"/>
          <w:vertAlign w:val="superscript"/>
        </w:rPr>
        <w:t>12</w:t>
      </w:r>
      <w:r w:rsidR="00EE149A">
        <w:rPr>
          <w:rFonts w:ascii="Times New Roman" w:hAnsi="Times New Roman" w:cs="Times New Roman"/>
          <w:sz w:val="20"/>
          <w:szCs w:val="20"/>
        </w:rPr>
        <w:fldChar w:fldCharType="end"/>
      </w:r>
      <w:r w:rsidRPr="00657143">
        <w:rPr>
          <w:rFonts w:ascii="Times New Roman" w:hAnsi="Times New Roman" w:cs="Times New Roman"/>
          <w:sz w:val="20"/>
          <w:szCs w:val="20"/>
        </w:rPr>
        <w:t xml:space="preserve">, we quantify: (i) α-diversity (Shannon, </w:t>
      </w:r>
      <w:r w:rsidR="00BA14A4">
        <w:rPr>
          <w:rFonts w:ascii="Times New Roman" w:hAnsi="Times New Roman" w:cs="Times New Roman"/>
          <w:sz w:val="20"/>
          <w:szCs w:val="20"/>
        </w:rPr>
        <w:t>Gini–Simpson</w:t>
      </w:r>
      <w:r w:rsidRPr="00657143">
        <w:rPr>
          <w:rFonts w:ascii="Times New Roman" w:hAnsi="Times New Roman" w:cs="Times New Roman"/>
          <w:sz w:val="20"/>
          <w:szCs w:val="20"/>
        </w:rPr>
        <w:t>, observed richness) and (ii) β-diversity (</w:t>
      </w:r>
      <w:r w:rsidR="00BA14A4">
        <w:rPr>
          <w:rFonts w:ascii="Times New Roman" w:hAnsi="Times New Roman" w:cs="Times New Roman"/>
          <w:sz w:val="20"/>
          <w:szCs w:val="20"/>
        </w:rPr>
        <w:t>Bray–Curtis</w:t>
      </w:r>
      <w:r w:rsidRPr="00657143">
        <w:rPr>
          <w:rFonts w:ascii="Times New Roman" w:hAnsi="Times New Roman" w:cs="Times New Roman"/>
          <w:sz w:val="20"/>
          <w:szCs w:val="20"/>
        </w:rPr>
        <w:t xml:space="preserve"> and Aitchison/CLR); (iii) differentially abundant taxa; (iv) differentially abundant metabolic pathways with attention to SCFA-related functions; and (v) the distribution of data-driven enterotypes within PD by constipation status. By focusing on constipated </w:t>
      </w:r>
      <w:r w:rsidR="00882A99">
        <w:rPr>
          <w:rFonts w:ascii="Times New Roman" w:hAnsi="Times New Roman" w:cs="Times New Roman"/>
          <w:sz w:val="20"/>
          <w:szCs w:val="20"/>
        </w:rPr>
        <w:t>vs.</w:t>
      </w:r>
      <w:r w:rsidRPr="00657143">
        <w:rPr>
          <w:rFonts w:ascii="Times New Roman" w:hAnsi="Times New Roman" w:cs="Times New Roman"/>
          <w:sz w:val="20"/>
          <w:szCs w:val="20"/>
        </w:rPr>
        <w:t xml:space="preserve"> non-constipated PD, we aim to delineate symptom-associated microbial signatures that may refine mechanistic hypotheses along the gut-brain axis and inform future biomarker or intervention studies.</w:t>
      </w:r>
    </w:p>
    <w:p w14:paraId="2C566959" w14:textId="77777777" w:rsidR="00B20FFD" w:rsidRDefault="00B20FFD" w:rsidP="005C2D93">
      <w:pPr>
        <w:rPr>
          <w:rFonts w:ascii="Times New Roman" w:hAnsi="Times New Roman" w:cs="Times New Roman"/>
          <w:sz w:val="20"/>
          <w:szCs w:val="20"/>
        </w:rPr>
      </w:pPr>
    </w:p>
    <w:p w14:paraId="58A8F0C9" w14:textId="38E10A56" w:rsidR="005C2D93" w:rsidRPr="00B20FFD" w:rsidRDefault="005C2D93" w:rsidP="005C2D93">
      <w:pPr>
        <w:rPr>
          <w:rFonts w:ascii="Times New Roman" w:hAnsi="Times New Roman" w:cs="Times New Roman"/>
          <w:sz w:val="20"/>
          <w:szCs w:val="20"/>
        </w:rPr>
      </w:pPr>
      <w:r w:rsidRPr="005C2D93">
        <w:rPr>
          <w:rFonts w:ascii="Times New Roman" w:hAnsi="Times New Roman" w:cs="Times New Roman"/>
          <w:b/>
          <w:bCs/>
          <w:lang w:val="en"/>
        </w:rPr>
        <w:t>Methods</w:t>
      </w:r>
    </w:p>
    <w:p w14:paraId="642A31D9"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Data sources and cohort</w:t>
      </w:r>
    </w:p>
    <w:p w14:paraId="41C74213" w14:textId="1FF2BD23"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Shotgun metagenomic data were obtained from the NCBI </w:t>
      </w:r>
      <w:r w:rsidR="00155DF6" w:rsidRPr="00155DF6">
        <w:rPr>
          <w:rFonts w:ascii="Times New Roman" w:hAnsi="Times New Roman" w:cs="Times New Roman"/>
          <w:sz w:val="20"/>
          <w:szCs w:val="20"/>
          <w:lang w:val="en"/>
        </w:rPr>
        <w:t>Sequence Read Archive</w:t>
      </w:r>
      <w:r w:rsidR="00155DF6">
        <w:rPr>
          <w:rFonts w:ascii="Times New Roman" w:hAnsi="Times New Roman" w:cs="Times New Roman"/>
          <w:sz w:val="20"/>
          <w:szCs w:val="20"/>
          <w:lang w:val="en"/>
        </w:rPr>
        <w:t xml:space="preserve"> (</w:t>
      </w:r>
      <w:r w:rsidRPr="005C2D93">
        <w:rPr>
          <w:rFonts w:ascii="Times New Roman" w:hAnsi="Times New Roman" w:cs="Times New Roman"/>
          <w:sz w:val="20"/>
          <w:szCs w:val="20"/>
          <w:lang w:val="en"/>
        </w:rPr>
        <w:t>SRA</w:t>
      </w:r>
      <w:r w:rsidR="00155DF6">
        <w:rPr>
          <w:rFonts w:ascii="Times New Roman" w:hAnsi="Times New Roman" w:cs="Times New Roman"/>
          <w:sz w:val="20"/>
          <w:szCs w:val="20"/>
          <w:lang w:val="en"/>
        </w:rPr>
        <w:t>)</w:t>
      </w:r>
      <w:r w:rsidRPr="005C2D93">
        <w:rPr>
          <w:rFonts w:ascii="Times New Roman" w:hAnsi="Times New Roman" w:cs="Times New Roman"/>
          <w:sz w:val="20"/>
          <w:szCs w:val="20"/>
          <w:lang w:val="en"/>
        </w:rPr>
        <w:t xml:space="preserve"> BioProject PRJNA834801. Wallen et al. curated the raw reads and released processed derivative tables</w:t>
      </w:r>
      <w:r w:rsidR="00EE149A">
        <w:rPr>
          <w:rFonts w:ascii="Times New Roman" w:hAnsi="Times New Roman" w:cs="Times New Roman"/>
          <w:sz w:val="20"/>
          <w:szCs w:val="20"/>
          <w:lang w:val="en"/>
        </w:rPr>
        <w:fldChar w:fldCharType="begin"/>
      </w:r>
      <w:r w:rsidR="00EE149A">
        <w:rPr>
          <w:rFonts w:ascii="Times New Roman" w:hAnsi="Times New Roman" w:cs="Times New Roman"/>
          <w:sz w:val="20"/>
          <w:szCs w:val="20"/>
          <w:lang w:val="en"/>
        </w:rPr>
        <w:instrText xml:space="preserve"> ADDIN ZOTERO_ITEM CSL_CITATION {"citationID":"LNkIHyWo","properties":{"formattedCitation":"\\super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sidR="00EE149A">
        <w:rPr>
          <w:rFonts w:ascii="Times New Roman" w:hAnsi="Times New Roman" w:cs="Times New Roman"/>
          <w:sz w:val="20"/>
          <w:szCs w:val="20"/>
          <w:lang w:val="en"/>
        </w:rPr>
        <w:fldChar w:fldCharType="separate"/>
      </w:r>
      <w:r w:rsidR="00EE149A" w:rsidRPr="00EE149A">
        <w:rPr>
          <w:rFonts w:ascii="Times New Roman" w:hAnsi="Times New Roman" w:cs="Times New Roman"/>
          <w:kern w:val="0"/>
          <w:sz w:val="20"/>
          <w:vertAlign w:val="superscript"/>
        </w:rPr>
        <w:t>12</w:t>
      </w:r>
      <w:r w:rsidR="00EE149A">
        <w:rPr>
          <w:rFonts w:ascii="Times New Roman" w:hAnsi="Times New Roman" w:cs="Times New Roman"/>
          <w:sz w:val="20"/>
          <w:szCs w:val="20"/>
          <w:lang w:val="en"/>
        </w:rPr>
        <w:fldChar w:fldCharType="end"/>
      </w:r>
      <w:r w:rsidRPr="005C2D93">
        <w:rPr>
          <w:rFonts w:ascii="Times New Roman" w:hAnsi="Times New Roman" w:cs="Times New Roman"/>
          <w:sz w:val="20"/>
          <w:szCs w:val="20"/>
          <w:lang w:val="en"/>
        </w:rPr>
        <w:t>. We exclusively used those processed outputs: (i) species-resolved relative-abundance tables (MetaPhlAn-style) for taxonomic analyses and (ii) HUMAnN pathway count tables for functional analyses</w:t>
      </w:r>
      <w:r w:rsidR="00564869">
        <w:rPr>
          <w:rFonts w:ascii="Times New Roman" w:hAnsi="Times New Roman" w:cs="Times New Roman"/>
          <w:sz w:val="20"/>
          <w:szCs w:val="20"/>
          <w:lang w:val="en"/>
        </w:rPr>
        <w:t xml:space="preserve"> </w:t>
      </w:r>
      <w:r w:rsidR="00564869" w:rsidRPr="00564869">
        <w:rPr>
          <w:rFonts w:ascii="Times New Roman" w:hAnsi="Times New Roman" w:cs="Times New Roman"/>
          <w:sz w:val="20"/>
          <w:szCs w:val="20"/>
          <w:lang w:val="en"/>
        </w:rPr>
        <w:t>(not RPK/relative)</w:t>
      </w:r>
      <w:r w:rsidRPr="005C2D93">
        <w:rPr>
          <w:rFonts w:ascii="Times New Roman" w:hAnsi="Times New Roman" w:cs="Times New Roman"/>
          <w:sz w:val="20"/>
          <w:szCs w:val="20"/>
          <w:lang w:val="en"/>
        </w:rPr>
        <w:t xml:space="preserve">. Our analysis focused only on people with PD; neurologically healthy controls were not analyzed. After sample-ID alignment across metadata and abundance tables, </w:t>
      </w:r>
      <w:r w:rsidR="00575E80" w:rsidRPr="00575E80">
        <w:rPr>
          <w:rFonts w:ascii="Times New Roman" w:hAnsi="Times New Roman" w:cs="Times New Roman"/>
          <w:sz w:val="20"/>
          <w:szCs w:val="20"/>
          <w:lang w:val="en"/>
        </w:rPr>
        <w:t xml:space="preserve">the PD-only analysis set comprised </w:t>
      </w:r>
      <w:r w:rsidR="00575E80" w:rsidRPr="00575E80">
        <w:rPr>
          <w:rFonts w:ascii="Times New Roman" w:hAnsi="Times New Roman" w:cs="Times New Roman"/>
          <w:i/>
          <w:iCs/>
          <w:sz w:val="20"/>
          <w:szCs w:val="20"/>
          <w:lang w:val="en"/>
        </w:rPr>
        <w:t>n</w:t>
      </w:r>
      <w:r w:rsidR="00575E80" w:rsidRPr="00575E80">
        <w:rPr>
          <w:rFonts w:ascii="Times New Roman" w:hAnsi="Times New Roman" w:cs="Times New Roman"/>
          <w:sz w:val="20"/>
          <w:szCs w:val="20"/>
          <w:lang w:val="en"/>
        </w:rPr>
        <w:t xml:space="preserve"> =</w:t>
      </w:r>
      <w:r w:rsidR="00D5244E">
        <w:rPr>
          <w:rFonts w:ascii="Times New Roman" w:hAnsi="Times New Roman" w:cs="Times New Roman"/>
          <w:sz w:val="20"/>
          <w:szCs w:val="20"/>
          <w:lang w:val="en"/>
        </w:rPr>
        <w:t xml:space="preserve"> </w:t>
      </w:r>
      <w:r w:rsidR="00575E80" w:rsidRPr="00575E80">
        <w:rPr>
          <w:rFonts w:ascii="Times New Roman" w:hAnsi="Times New Roman" w:cs="Times New Roman"/>
          <w:sz w:val="20"/>
          <w:szCs w:val="20"/>
          <w:lang w:val="en"/>
        </w:rPr>
        <w:t xml:space="preserve">490 individuals (control = non-constipated PD, </w:t>
      </w:r>
      <w:r w:rsidR="00575E80" w:rsidRPr="00575E80">
        <w:rPr>
          <w:rFonts w:ascii="Times New Roman" w:hAnsi="Times New Roman" w:cs="Times New Roman"/>
          <w:i/>
          <w:iCs/>
          <w:sz w:val="20"/>
          <w:szCs w:val="20"/>
          <w:lang w:val="en"/>
        </w:rPr>
        <w:t>n</w:t>
      </w:r>
      <w:r w:rsidR="00575E80" w:rsidRPr="00575E80">
        <w:rPr>
          <w:rFonts w:ascii="Times New Roman" w:hAnsi="Times New Roman" w:cs="Times New Roman"/>
          <w:sz w:val="20"/>
          <w:szCs w:val="20"/>
          <w:lang w:val="en"/>
        </w:rPr>
        <w:t xml:space="preserve"> = 282; case = constipated PD, </w:t>
      </w:r>
      <w:r w:rsidR="00575E80" w:rsidRPr="00575E80">
        <w:rPr>
          <w:rFonts w:ascii="Times New Roman" w:hAnsi="Times New Roman" w:cs="Times New Roman"/>
          <w:i/>
          <w:iCs/>
          <w:sz w:val="20"/>
          <w:szCs w:val="20"/>
          <w:lang w:val="en"/>
        </w:rPr>
        <w:t>n</w:t>
      </w:r>
      <w:r w:rsidR="00575E80" w:rsidRPr="00575E80">
        <w:rPr>
          <w:rFonts w:ascii="Times New Roman" w:hAnsi="Times New Roman" w:cs="Times New Roman"/>
          <w:sz w:val="20"/>
          <w:szCs w:val="20"/>
          <w:lang w:val="en"/>
        </w:rPr>
        <w:t xml:space="preserve"> = 208).</w:t>
      </w:r>
    </w:p>
    <w:p w14:paraId="143EB07E"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Case definition, covariates, and ID alignment</w:t>
      </w:r>
    </w:p>
    <w:p w14:paraId="4405803B" w14:textId="31229385"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Constipation status was extracted from the released metadata. We </w:t>
      </w:r>
      <w:r>
        <w:rPr>
          <w:rFonts w:ascii="Times New Roman" w:hAnsi="Times New Roman" w:cs="Times New Roman"/>
          <w:sz w:val="20"/>
          <w:szCs w:val="20"/>
          <w:lang w:val="en"/>
        </w:rPr>
        <w:t>adjusted</w:t>
      </w:r>
      <w:r w:rsidRPr="005C2D93">
        <w:rPr>
          <w:rFonts w:ascii="Times New Roman" w:hAnsi="Times New Roman" w:cs="Times New Roman"/>
          <w:sz w:val="20"/>
          <w:szCs w:val="20"/>
          <w:lang w:val="en"/>
        </w:rPr>
        <w:t xml:space="preserve"> the variable to a binary Group factor with levels control = non-constipated PD and case = constipated PD; standard affirmative strings (e.g., “Y/Yes/TRUE/1”) mapped to the case level. Prespecified covariates were Age at collection, Sex, BMI, Laxatives, and collection_method (stool kit/protocol).</w:t>
      </w:r>
    </w:p>
    <w:p w14:paraId="22152297" w14:textId="3CE7FC18"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To avoid mismatches across files, we normalized sample</w:t>
      </w:r>
      <w:r w:rsidR="000B002C">
        <w:rPr>
          <w:rFonts w:ascii="Times New Roman" w:hAnsi="Times New Roman" w:cs="Times New Roman"/>
          <w:sz w:val="20"/>
          <w:szCs w:val="20"/>
          <w:lang w:val="en"/>
        </w:rPr>
        <w:t>-</w:t>
      </w:r>
      <w:r w:rsidRPr="005C2D93">
        <w:rPr>
          <w:rFonts w:ascii="Times New Roman" w:hAnsi="Times New Roman" w:cs="Times New Roman"/>
          <w:sz w:val="20"/>
          <w:szCs w:val="20"/>
          <w:lang w:val="en"/>
        </w:rPr>
        <w:t>IDs (trimming read suffixes, punctuation, and case) and restricted analyses to the intersection of IDs across metadata and abundance tables. A diagnostic report of matched/unmatched IDs is exported.</w:t>
      </w:r>
    </w:p>
    <w:p w14:paraId="1FDCB574" w14:textId="787781CB" w:rsidR="005C2D93" w:rsidRPr="005C2D93" w:rsidRDefault="00FD72DF" w:rsidP="005C2D93">
      <w:pPr>
        <w:rPr>
          <w:rFonts w:ascii="Times New Roman" w:hAnsi="Times New Roman" w:cs="Times New Roman"/>
          <w:b/>
          <w:bCs/>
          <w:sz w:val="22"/>
          <w:szCs w:val="22"/>
          <w:lang w:val="en"/>
        </w:rPr>
      </w:pPr>
      <w:r w:rsidRPr="00FD72DF">
        <w:rPr>
          <w:rFonts w:ascii="Times New Roman" w:hAnsi="Times New Roman" w:cs="Times New Roman"/>
          <w:b/>
          <w:bCs/>
          <w:sz w:val="22"/>
          <w:szCs w:val="22"/>
          <w:lang w:val="en"/>
        </w:rPr>
        <w:t>α</w:t>
      </w:r>
      <w:r w:rsidR="005C2D93" w:rsidRPr="005C2D93">
        <w:rPr>
          <w:rFonts w:ascii="Times New Roman" w:hAnsi="Times New Roman" w:cs="Times New Roman"/>
          <w:b/>
          <w:bCs/>
          <w:sz w:val="22"/>
          <w:szCs w:val="22"/>
          <w:lang w:val="en"/>
        </w:rPr>
        <w:t>-diversity analysis</w:t>
      </w:r>
    </w:p>
    <w:p w14:paraId="7129D843" w14:textId="2A356ABD" w:rsidR="005C2D93" w:rsidRPr="005C2D93" w:rsidRDefault="00FD72DF" w:rsidP="005C2D93">
      <w:pPr>
        <w:rPr>
          <w:rFonts w:ascii="Times New Roman" w:hAnsi="Times New Roman" w:cs="Times New Roman"/>
          <w:sz w:val="20"/>
          <w:szCs w:val="20"/>
          <w:lang w:val="en"/>
        </w:rPr>
      </w:pPr>
      <w:r w:rsidRPr="00FD72DF">
        <w:rPr>
          <w:rFonts w:ascii="Times New Roman" w:hAnsi="Times New Roman" w:cs="Times New Roman"/>
          <w:sz w:val="20"/>
          <w:szCs w:val="20"/>
          <w:lang w:val="en"/>
        </w:rPr>
        <w:t>α</w:t>
      </w:r>
      <w:r w:rsidR="00962B99">
        <w:rPr>
          <w:rFonts w:ascii="Times New Roman" w:hAnsi="Times New Roman" w:cs="Times New Roman"/>
          <w:sz w:val="20"/>
          <w:szCs w:val="20"/>
          <w:lang w:val="en"/>
        </w:rPr>
        <w:t>-</w:t>
      </w:r>
      <w:r w:rsidR="005C2D93" w:rsidRPr="005C2D93">
        <w:rPr>
          <w:rFonts w:ascii="Times New Roman" w:hAnsi="Times New Roman" w:cs="Times New Roman"/>
          <w:sz w:val="20"/>
          <w:szCs w:val="20"/>
          <w:lang w:val="en"/>
        </w:rPr>
        <w:t xml:space="preserve">diversity was computed on the relative-abundance (RA) table. For sample </w:t>
      </w:r>
      <w:r w:rsidR="008D2388" w:rsidRPr="008D2388">
        <w:rPr>
          <w:rFonts w:ascii="Times New Roman" w:hAnsi="Times New Roman" w:cs="Times New Roman"/>
          <w:i/>
          <w:iCs/>
          <w:sz w:val="20"/>
          <w:szCs w:val="20"/>
          <w:lang w:val="en"/>
        </w:rPr>
        <w:t>i</w:t>
      </w:r>
      <w:r w:rsidR="008D2388">
        <w:rPr>
          <w:rFonts w:ascii="Times New Roman" w:hAnsi="Times New Roman" w:cs="Times New Roman"/>
          <w:sz w:val="20"/>
          <w:szCs w:val="20"/>
          <w:lang w:val="en"/>
        </w:rPr>
        <w:t xml:space="preserve"> </w:t>
      </w:r>
      <w:r w:rsidR="005C2D93" w:rsidRPr="005C2D93">
        <w:rPr>
          <w:rFonts w:ascii="Times New Roman" w:hAnsi="Times New Roman" w:cs="Times New Roman"/>
          <w:sz w:val="20"/>
          <w:szCs w:val="20"/>
          <w:lang w:val="en"/>
        </w:rPr>
        <w:t xml:space="preserve">let the species composition be </w:t>
      </w:r>
      <m:oMath>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sSubSup>
          <m:sSubSupPr>
            <m:ctrlPr>
              <w:rPr>
                <w:rFonts w:ascii="Cambria Math" w:hAnsi="Cambria Math" w:cs="Times New Roman"/>
                <w:sz w:val="20"/>
                <w:szCs w:val="20"/>
                <w:lang w:val="en"/>
              </w:rPr>
            </m:ctrlPr>
          </m:sSubSupPr>
          <m:e>
            <m:r>
              <m:rPr>
                <m:sty m:val="p"/>
              </m:rPr>
              <w:rPr>
                <w:rFonts w:ascii="Cambria Math" w:hAnsi="Cambria Math" w:cs="Times New Roman"/>
                <w:sz w:val="20"/>
                <w:szCs w:val="20"/>
                <w:lang w:val="en"/>
              </w:rPr>
              <m:t>}</m:t>
            </m:r>
          </m:e>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sSubSup>
      </m:oMath>
      <w:r w:rsidR="005C2D93" w:rsidRPr="005C2D93">
        <w:rPr>
          <w:rFonts w:ascii="Times New Roman" w:hAnsi="Times New Roman" w:cs="Times New Roman"/>
          <w:sz w:val="20"/>
          <w:szCs w:val="20"/>
          <w:lang w:val="en"/>
        </w:rPr>
        <w:t xml:space="preserve"> with </w:t>
      </w:r>
      <m:oMath>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r>
          <m:rPr>
            <m:sty m:val="p"/>
          </m:rPr>
          <w:rPr>
            <w:rFonts w:ascii="Cambria Math" w:hAnsi="Cambria Math" w:cs="Times New Roman"/>
            <w:sz w:val="20"/>
            <w:szCs w:val="20"/>
            <w:lang w:val="en"/>
          </w:rPr>
          <m:t>≥</m:t>
        </m:r>
        <m:r>
          <w:rPr>
            <w:rFonts w:ascii="Cambria Math" w:hAnsi="Cambria Math" w:cs="Times New Roman"/>
            <w:sz w:val="20"/>
            <w:szCs w:val="20"/>
            <w:lang w:val="en"/>
          </w:rPr>
          <m:t>0</m:t>
        </m:r>
      </m:oMath>
      <w:r w:rsidR="005C2D93" w:rsidRPr="005C2D93">
        <w:rPr>
          <w:rFonts w:ascii="Times New Roman" w:hAnsi="Times New Roman" w:cs="Times New Roman"/>
          <w:sz w:val="20"/>
          <w:szCs w:val="20"/>
          <w:lang w:val="en"/>
        </w:rPr>
        <w:t xml:space="preserve"> and </w:t>
      </w:r>
      <m:oMath>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e>
        </m:nary>
        <m:r>
          <m:rPr>
            <m:sty m:val="p"/>
          </m:rPr>
          <w:rPr>
            <w:rFonts w:ascii="Cambria Math" w:hAnsi="Cambria Math" w:cs="Times New Roman"/>
            <w:sz w:val="20"/>
            <w:szCs w:val="20"/>
            <w:lang w:val="en"/>
          </w:rPr>
          <m:t>=</m:t>
        </m:r>
        <m:r>
          <w:rPr>
            <w:rFonts w:ascii="Cambria Math" w:hAnsi="Cambria Math" w:cs="Times New Roman"/>
            <w:sz w:val="20"/>
            <w:szCs w:val="20"/>
            <w:lang w:val="en"/>
          </w:rPr>
          <m:t>1</m:t>
        </m:r>
      </m:oMath>
      <w:r w:rsidR="005C2D93" w:rsidRPr="005C2D93">
        <w:rPr>
          <w:rFonts w:ascii="Times New Roman" w:hAnsi="Times New Roman" w:cs="Times New Roman"/>
          <w:sz w:val="20"/>
          <w:szCs w:val="20"/>
          <w:lang w:val="en"/>
        </w:rPr>
        <w:t>.</w:t>
      </w:r>
    </w:p>
    <w:p w14:paraId="6D5A7A39" w14:textId="77777777"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Observed richness (count of taxa present):</w:t>
      </w:r>
    </w:p>
    <w:p w14:paraId="430FCE86" w14:textId="5D8AEAC9"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w:rPr>
                  <w:rFonts w:ascii="Cambria Math" w:hAnsi="Cambria Math" w:cs="Times New Roman"/>
                  <w:sz w:val="20"/>
                  <w:szCs w:val="20"/>
                  <w:lang w:val="en"/>
                </w:rPr>
                <m:t>R</m:t>
              </m:r>
            </m:e>
            <m:sub>
              <m:r>
                <w:rPr>
                  <w:rFonts w:ascii="Cambria Math" w:hAnsi="Cambria Math" w:cs="Times New Roman"/>
                  <w:sz w:val="20"/>
                  <w:szCs w:val="20"/>
                  <w:lang w:val="en"/>
                </w:rPr>
                <m:t>i</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d>
            <m:dPr>
              <m:begChr m:val="|"/>
              <m:endChr m:val="|"/>
              <m:ctrlPr>
                <w:rPr>
                  <w:rFonts w:ascii="Cambria Math" w:hAnsi="Cambria Math" w:cs="Times New Roman"/>
                  <w:sz w:val="20"/>
                  <w:szCs w:val="20"/>
                  <w:lang w:val="en"/>
                </w:rPr>
              </m:ctrlPr>
            </m:dPr>
            <m:e>
              <m:d>
                <m:dPr>
                  <m:begChr m:val="{"/>
                  <m:endChr m:val="}"/>
                  <m:ctrlPr>
                    <w:rPr>
                      <w:rFonts w:ascii="Cambria Math" w:hAnsi="Cambria Math" w:cs="Times New Roman"/>
                      <w:sz w:val="20"/>
                      <w:szCs w:val="20"/>
                      <w:lang w:val="en"/>
                    </w:rPr>
                  </m:ctrlPr>
                </m:dPr>
                <m:e>
                  <m:r>
                    <w:rPr>
                      <w:rFonts w:ascii="Cambria Math" w:hAnsi="Cambria Math" w:cs="Times New Roman"/>
                      <w:sz w:val="20"/>
                      <w:szCs w:val="20"/>
                      <w:lang w:val="en"/>
                    </w:rPr>
                    <m:t> g</m:t>
                  </m:r>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r>
                    <m:rPr>
                      <m:sty m:val="p"/>
                    </m:rPr>
                    <w:rPr>
                      <w:rFonts w:ascii="Cambria Math" w:hAnsi="Cambria Math" w:cs="Times New Roman"/>
                      <w:sz w:val="20"/>
                      <w:szCs w:val="20"/>
                      <w:lang w:val="en"/>
                    </w:rPr>
                    <m:t>&gt;</m:t>
                  </m:r>
                  <m:r>
                    <w:rPr>
                      <w:rFonts w:ascii="Cambria Math" w:hAnsi="Cambria Math" w:cs="Times New Roman"/>
                      <w:sz w:val="20"/>
                      <w:szCs w:val="20"/>
                      <w:lang w:val="en"/>
                    </w:rPr>
                    <m:t>0 </m:t>
                  </m:r>
                </m:e>
              </m:d>
            </m:e>
          </m:d>
        </m:oMath>
      </m:oMathPara>
    </w:p>
    <w:p w14:paraId="5072C139" w14:textId="3323400D"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lastRenderedPageBreak/>
        <w:t xml:space="preserve">Shannon index (natural log; with convention </w:t>
      </w:r>
      <m:oMath>
        <m:r>
          <w:rPr>
            <w:rFonts w:ascii="Cambria Math" w:hAnsi="Cambria Math" w:cs="Times New Roman"/>
            <w:sz w:val="20"/>
            <w:szCs w:val="20"/>
            <w:lang w:val="en"/>
          </w:rPr>
          <m:t>0</m:t>
        </m:r>
        <m:r>
          <m:rPr>
            <m:sty m:val="p"/>
          </m:rPr>
          <w:rPr>
            <w:rFonts w:ascii="Cambria Math" w:hAnsi="Cambria Math" w:cs="Times New Roman"/>
            <w:sz w:val="20"/>
            <w:szCs w:val="20"/>
            <w:lang w:val="en"/>
          </w:rPr>
          <m:t>ln</m:t>
        </m:r>
        <m:r>
          <w:rPr>
            <w:rFonts w:ascii="Cambria Math" w:hAnsi="Cambria Math" w:cs="Times New Roman"/>
            <w:sz w:val="20"/>
            <w:szCs w:val="20"/>
            <w:lang w:val="en"/>
          </w:rPr>
          <m:t>0</m:t>
        </m:r>
        <m:r>
          <m:rPr>
            <m:sty m:val="p"/>
          </m:rPr>
          <w:rPr>
            <w:rFonts w:ascii="Cambria Math" w:hAnsi="Cambria Math" w:cs="Times New Roman"/>
            <w:sz w:val="20"/>
            <w:szCs w:val="20"/>
            <w:lang w:val="en"/>
          </w:rPr>
          <m:t>=</m:t>
        </m:r>
        <m:r>
          <w:rPr>
            <w:rFonts w:ascii="Cambria Math" w:hAnsi="Cambria Math" w:cs="Times New Roman"/>
            <w:sz w:val="20"/>
            <w:szCs w:val="20"/>
            <w:lang w:val="en"/>
          </w:rPr>
          <m:t>0</m:t>
        </m:r>
      </m:oMath>
      <w:r w:rsidRPr="005C2D93">
        <w:rPr>
          <w:rFonts w:ascii="Times New Roman" w:hAnsi="Times New Roman" w:cs="Times New Roman"/>
          <w:sz w:val="20"/>
          <w:szCs w:val="20"/>
          <w:lang w:val="en"/>
        </w:rPr>
        <w:t>):</w:t>
      </w:r>
    </w:p>
    <w:p w14:paraId="5D6B79AD" w14:textId="355E0B0B"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w:rPr>
                  <w:rFonts w:ascii="Cambria Math" w:hAnsi="Cambria Math" w:cs="Times New Roman"/>
                  <w:sz w:val="20"/>
                  <w:szCs w:val="20"/>
                  <w:lang w:val="en"/>
                </w:rPr>
                <m:t>H</m:t>
              </m:r>
            </m:e>
            <m:sub>
              <m:r>
                <w:rPr>
                  <w:rFonts w:ascii="Cambria Math" w:hAnsi="Cambria Math" w:cs="Times New Roman"/>
                  <w:sz w:val="20"/>
                  <w:szCs w:val="20"/>
                  <w:lang w:val="en"/>
                </w:rPr>
                <m:t>i</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r>
            <m:rPr>
              <m:sty m:val="p"/>
            </m:rPr>
            <w:rPr>
              <w:rFonts w:ascii="Cambria Math" w:hAnsi="Cambria Math" w:cs="Times New Roman"/>
              <w:sz w:val="20"/>
              <w:szCs w:val="20"/>
              <w:lang w:val="en"/>
            </w:rPr>
            <m:t>-</m:t>
          </m:r>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e>
          </m:nary>
          <m:r>
            <w:rPr>
              <w:rFonts w:ascii="Cambria Math" w:hAnsi="Cambria Math" w:cs="Times New Roman"/>
              <w:sz w:val="20"/>
              <w:szCs w:val="20"/>
              <w:lang w:val="en"/>
            </w:rPr>
            <m:t> </m:t>
          </m:r>
          <m:r>
            <m:rPr>
              <m:sty m:val="p"/>
            </m:rPr>
            <w:rPr>
              <w:rFonts w:ascii="Cambria Math" w:hAnsi="Cambria Math" w:cs="Times New Roman"/>
              <w:sz w:val="20"/>
              <w:szCs w:val="20"/>
              <w:lang w:val="en"/>
            </w:rPr>
            <m:t>ln</m:t>
          </m:r>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oMath>
      </m:oMathPara>
    </w:p>
    <w:p w14:paraId="7F27D71B" w14:textId="1765021F" w:rsidR="005C2D93" w:rsidRPr="005C2D93" w:rsidRDefault="00BA14A4" w:rsidP="005C2D93">
      <w:pPr>
        <w:rPr>
          <w:rFonts w:ascii="Times New Roman" w:hAnsi="Times New Roman" w:cs="Times New Roman"/>
          <w:sz w:val="20"/>
          <w:szCs w:val="20"/>
          <w:lang w:val="en"/>
        </w:rPr>
      </w:pPr>
      <w:r>
        <w:rPr>
          <w:rFonts w:ascii="Times New Roman" w:hAnsi="Times New Roman" w:cs="Times New Roman"/>
          <w:sz w:val="20"/>
          <w:szCs w:val="20"/>
          <w:lang w:val="en"/>
        </w:rPr>
        <w:t>Gini–Simpson</w:t>
      </w:r>
      <w:r w:rsidR="005C2D93" w:rsidRPr="005C2D93">
        <w:rPr>
          <w:rFonts w:ascii="Times New Roman" w:hAnsi="Times New Roman" w:cs="Times New Roman"/>
          <w:sz w:val="20"/>
          <w:szCs w:val="20"/>
          <w:lang w:val="en"/>
        </w:rPr>
        <w:t xml:space="preserve"> index (1 </w:t>
      </w:r>
      <w:r w:rsidR="00E13D9C">
        <w:rPr>
          <w:rFonts w:ascii="Times New Roman" w:hAnsi="Times New Roman" w:cs="Times New Roman"/>
          <w:sz w:val="20"/>
          <w:szCs w:val="20"/>
          <w:lang w:val="en"/>
        </w:rPr>
        <w:t>-</w:t>
      </w:r>
      <w:r w:rsidR="005C2D93" w:rsidRPr="005C2D93">
        <w:rPr>
          <w:rFonts w:ascii="Times New Roman" w:hAnsi="Times New Roman" w:cs="Times New Roman"/>
          <w:sz w:val="20"/>
          <w:szCs w:val="20"/>
          <w:lang w:val="en"/>
        </w:rPr>
        <w:t xml:space="preserve"> dominance; probability two draws differ in taxon):</w:t>
      </w:r>
    </w:p>
    <w:p w14:paraId="36743147" w14:textId="73DA7FA8"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w:rPr>
                  <w:rFonts w:ascii="Cambria Math" w:hAnsi="Cambria Math" w:cs="Times New Roman"/>
                  <w:sz w:val="20"/>
                  <w:szCs w:val="20"/>
                  <w:lang w:val="en"/>
                </w:rPr>
                <m:t>D</m:t>
              </m:r>
            </m:e>
            <m:sub>
              <m:r>
                <w:rPr>
                  <w:rFonts w:ascii="Cambria Math" w:hAnsi="Cambria Math" w:cs="Times New Roman"/>
                  <w:sz w:val="20"/>
                  <w:szCs w:val="20"/>
                  <w:lang w:val="en"/>
                </w:rPr>
                <m:t>i</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 1 </m:t>
          </m:r>
          <m:r>
            <m:rPr>
              <m:sty m:val="p"/>
            </m:rPr>
            <w:rPr>
              <w:rFonts w:ascii="Cambria Math" w:hAnsi="Cambria Math" w:cs="Times New Roman"/>
              <w:sz w:val="20"/>
              <w:szCs w:val="20"/>
              <w:lang w:val="en"/>
            </w:rPr>
            <m:t>-</m:t>
          </m:r>
          <m:r>
            <w:rPr>
              <w:rFonts w:ascii="Cambria Math" w:hAnsi="Cambria Math" w:cs="Times New Roman"/>
              <w:sz w:val="20"/>
              <w:szCs w:val="20"/>
              <w:lang w:val="en"/>
            </w:rPr>
            <m:t> </m:t>
          </m:r>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sSubSup>
                <m:sSubSupPr>
                  <m:ctrlPr>
                    <w:rPr>
                      <w:rFonts w:ascii="Cambria Math" w:hAnsi="Cambria Math" w:cs="Times New Roman"/>
                      <w:sz w:val="20"/>
                      <w:szCs w:val="20"/>
                      <w:lang w:val="en"/>
                    </w:rPr>
                  </m:ctrlPr>
                </m:sSubSupPr>
                <m:e>
                  <m:r>
                    <w:rPr>
                      <w:rFonts w:ascii="Cambria Math" w:hAnsi="Cambria Math" w:cs="Times New Roman"/>
                      <w:sz w:val="20"/>
                      <w:szCs w:val="20"/>
                      <w:lang w:val="en"/>
                    </w:rPr>
                    <m:t>p</m:t>
                  </m:r>
                </m:e>
                <m:sub>
                  <m:r>
                    <w:rPr>
                      <w:rFonts w:ascii="Cambria Math" w:hAnsi="Cambria Math" w:cs="Times New Roman"/>
                      <w:sz w:val="20"/>
                      <w:szCs w:val="20"/>
                      <w:lang w:val="en"/>
                    </w:rPr>
                    <m:t>ig</m:t>
                  </m:r>
                </m:sub>
                <m:sup>
                  <m:r>
                    <w:rPr>
                      <w:rFonts w:ascii="Cambria Math" w:hAnsi="Cambria Math" w:cs="Times New Roman"/>
                      <w:sz w:val="20"/>
                      <w:szCs w:val="20"/>
                      <w:lang w:val="en"/>
                    </w:rPr>
                    <m:t>2</m:t>
                  </m:r>
                </m:sup>
              </m:sSubSup>
            </m:e>
          </m:nary>
        </m:oMath>
      </m:oMathPara>
    </w:p>
    <w:p w14:paraId="22933E0C" w14:textId="7122D15E" w:rsidR="005C2D93" w:rsidRPr="005C2D93" w:rsidRDefault="00B738AF" w:rsidP="005C2D93">
      <w:pPr>
        <w:rPr>
          <w:rFonts w:ascii="Times New Roman" w:hAnsi="Times New Roman" w:cs="Times New Roman"/>
          <w:sz w:val="20"/>
          <w:szCs w:val="20"/>
          <w:lang w:val="en"/>
        </w:rPr>
      </w:pPr>
      <w:r w:rsidRPr="00B738AF">
        <w:rPr>
          <w:rFonts w:ascii="Times New Roman" w:hAnsi="Times New Roman" w:cs="Times New Roman"/>
          <w:sz w:val="20"/>
          <w:szCs w:val="20"/>
          <w:lang w:val="en"/>
        </w:rPr>
        <w:t xml:space="preserve">Two-sided Wilcoxon rank-sum tests assessed between-group differences (case </w:t>
      </w:r>
      <w:r w:rsidR="00882A99">
        <w:rPr>
          <w:rFonts w:ascii="Times New Roman" w:hAnsi="Times New Roman" w:cs="Times New Roman"/>
          <w:sz w:val="20"/>
          <w:szCs w:val="20"/>
          <w:lang w:val="en"/>
        </w:rPr>
        <w:t>vs.</w:t>
      </w:r>
      <w:r w:rsidRPr="00B738AF">
        <w:rPr>
          <w:rFonts w:ascii="Times New Roman" w:hAnsi="Times New Roman" w:cs="Times New Roman"/>
          <w:sz w:val="20"/>
          <w:szCs w:val="20"/>
          <w:lang w:val="en"/>
        </w:rPr>
        <w:t xml:space="preserve"> control).</w:t>
      </w:r>
      <w:r w:rsidR="005C2D93" w:rsidRPr="005C2D93">
        <w:rPr>
          <w:rFonts w:ascii="Times New Roman" w:hAnsi="Times New Roman" w:cs="Times New Roman"/>
          <w:sz w:val="20"/>
          <w:szCs w:val="20"/>
          <w:lang w:val="en"/>
        </w:rPr>
        <w:t xml:space="preserve"> Exact group medians and </w:t>
      </w:r>
      <w:r w:rsidR="005C2D93" w:rsidRPr="002F7AD8">
        <w:rPr>
          <w:rFonts w:ascii="Times New Roman" w:hAnsi="Times New Roman" w:cs="Times New Roman"/>
          <w:i/>
          <w:iCs/>
          <w:sz w:val="20"/>
          <w:szCs w:val="20"/>
          <w:lang w:val="en"/>
        </w:rPr>
        <w:t>P</w:t>
      </w:r>
      <w:r w:rsidR="005C2D93" w:rsidRPr="005C2D93">
        <w:rPr>
          <w:rFonts w:ascii="Times New Roman" w:hAnsi="Times New Roman" w:cs="Times New Roman"/>
          <w:sz w:val="20"/>
          <w:szCs w:val="20"/>
          <w:lang w:val="en"/>
        </w:rPr>
        <w:t xml:space="preserve"> values are reported.</w:t>
      </w:r>
    </w:p>
    <w:p w14:paraId="05C01041" w14:textId="77C8AF68" w:rsidR="005C2D93" w:rsidRPr="005C2D93" w:rsidRDefault="00962B99" w:rsidP="005C2D93">
      <w:pPr>
        <w:rPr>
          <w:rFonts w:ascii="Times New Roman" w:hAnsi="Times New Roman" w:cs="Times New Roman"/>
          <w:b/>
          <w:bCs/>
          <w:sz w:val="22"/>
          <w:szCs w:val="22"/>
          <w:lang w:val="en"/>
        </w:rPr>
      </w:pPr>
      <w:r w:rsidRPr="00962B99">
        <w:rPr>
          <w:rFonts w:ascii="Times New Roman" w:hAnsi="Times New Roman" w:cs="Times New Roman"/>
          <w:b/>
          <w:bCs/>
          <w:sz w:val="22"/>
          <w:szCs w:val="22"/>
          <w:lang w:val="en"/>
        </w:rPr>
        <w:t>β</w:t>
      </w:r>
      <w:r w:rsidR="005C2D93" w:rsidRPr="005C2D93">
        <w:rPr>
          <w:rFonts w:ascii="Times New Roman" w:hAnsi="Times New Roman" w:cs="Times New Roman"/>
          <w:b/>
          <w:bCs/>
          <w:sz w:val="22"/>
          <w:szCs w:val="22"/>
          <w:lang w:val="en"/>
        </w:rPr>
        <w:t>-diversity, ordination, and PERMANOVA with dispersion checks</w:t>
      </w:r>
    </w:p>
    <w:p w14:paraId="06CD9EB4" w14:textId="20F25A25" w:rsidR="005C2D93" w:rsidRPr="005C2D93" w:rsidRDefault="005C2D93" w:rsidP="000C043B">
      <w:pPr>
        <w:rPr>
          <w:rFonts w:ascii="Times New Roman" w:hAnsi="Times New Roman" w:cs="Times New Roman"/>
          <w:sz w:val="20"/>
          <w:szCs w:val="20"/>
          <w:lang w:val="en"/>
        </w:rPr>
      </w:pPr>
      <w:r w:rsidRPr="005C2D93">
        <w:rPr>
          <w:rFonts w:ascii="Times New Roman" w:hAnsi="Times New Roman" w:cs="Times New Roman"/>
          <w:sz w:val="20"/>
          <w:szCs w:val="20"/>
          <w:lang w:val="en"/>
        </w:rPr>
        <w:t>Between-sample dissimilarity was assessed using</w:t>
      </w:r>
      <w:r w:rsidR="00CF2583">
        <w:rPr>
          <w:rFonts w:ascii="Times New Roman" w:hAnsi="Times New Roman" w:cs="Times New Roman"/>
          <w:sz w:val="20"/>
          <w:szCs w:val="20"/>
          <w:lang w:val="en"/>
        </w:rPr>
        <w:t xml:space="preserve"> </w:t>
      </w:r>
      <w:r w:rsidR="00D2247F" w:rsidRPr="00D2247F">
        <w:rPr>
          <w:rFonts w:ascii="Times New Roman" w:hAnsi="Times New Roman" w:cs="Times New Roman"/>
          <w:sz w:val="20"/>
          <w:szCs w:val="20"/>
          <w:lang w:val="en"/>
        </w:rPr>
        <w:t>Bray–Curtis on RA (bounded in [0,1]; sensitive to abundance differences):</w:t>
      </w:r>
    </w:p>
    <w:p w14:paraId="194E14F8" w14:textId="47CF953C"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BC</m:t>
              </m:r>
            </m:e>
            <m:sub>
              <m:r>
                <w:rPr>
                  <w:rFonts w:ascii="Cambria Math" w:hAnsi="Cambria Math" w:cs="Times New Roman"/>
                  <w:sz w:val="20"/>
                  <w:szCs w:val="20"/>
                  <w:lang w:val="en"/>
                </w:rPr>
                <m:t>ij</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f>
            <m:fPr>
              <m:ctrlPr>
                <w:rPr>
                  <w:rFonts w:ascii="Cambria Math" w:hAnsi="Cambria Math" w:cs="Times New Roman"/>
                  <w:sz w:val="20"/>
                  <w:szCs w:val="20"/>
                  <w:lang w:val="en"/>
                </w:rPr>
              </m:ctrlPr>
            </m:fPr>
            <m:num>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d>
                    <m:dPr>
                      <m:begChr m:val="|"/>
                      <m:endChr m:val="|"/>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x</m:t>
                          </m:r>
                        </m:e>
                        <m:sub>
                          <m:r>
                            <w:rPr>
                              <w:rFonts w:ascii="Cambria Math" w:hAnsi="Cambria Math" w:cs="Times New Roman"/>
                              <w:sz w:val="20"/>
                              <w:szCs w:val="20"/>
                              <w:lang w:val="en"/>
                            </w:rPr>
                            <m:t>gi</m:t>
                          </m:r>
                        </m:sub>
                      </m:sSub>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w:rPr>
                              <w:rFonts w:ascii="Cambria Math" w:hAnsi="Cambria Math" w:cs="Times New Roman"/>
                              <w:sz w:val="20"/>
                              <w:szCs w:val="20"/>
                              <w:lang w:val="en"/>
                            </w:rPr>
                            <m:t>x</m:t>
                          </m:r>
                        </m:e>
                        <m:sub>
                          <m:r>
                            <w:rPr>
                              <w:rFonts w:ascii="Cambria Math" w:hAnsi="Cambria Math" w:cs="Times New Roman"/>
                              <w:sz w:val="20"/>
                              <w:szCs w:val="20"/>
                              <w:lang w:val="en"/>
                            </w:rPr>
                            <m:t>gj</m:t>
                          </m:r>
                        </m:sub>
                      </m:sSub>
                    </m:e>
                  </m:d>
                </m:e>
              </m:nary>
            </m:num>
            <m:den>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d>
                    <m:dPr>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x</m:t>
                          </m:r>
                        </m:e>
                        <m:sub>
                          <m:r>
                            <w:rPr>
                              <w:rFonts w:ascii="Cambria Math" w:hAnsi="Cambria Math" w:cs="Times New Roman"/>
                              <w:sz w:val="20"/>
                              <w:szCs w:val="20"/>
                              <w:lang w:val="en"/>
                            </w:rPr>
                            <m:t>gi</m:t>
                          </m:r>
                        </m:sub>
                      </m:sSub>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w:rPr>
                              <w:rFonts w:ascii="Cambria Math" w:hAnsi="Cambria Math" w:cs="Times New Roman"/>
                              <w:sz w:val="20"/>
                              <w:szCs w:val="20"/>
                              <w:lang w:val="en"/>
                            </w:rPr>
                            <m:t>x</m:t>
                          </m:r>
                        </m:e>
                        <m:sub>
                          <m:r>
                            <w:rPr>
                              <w:rFonts w:ascii="Cambria Math" w:hAnsi="Cambria Math" w:cs="Times New Roman"/>
                              <w:sz w:val="20"/>
                              <w:szCs w:val="20"/>
                              <w:lang w:val="en"/>
                            </w:rPr>
                            <m:t>gj</m:t>
                          </m:r>
                        </m:sub>
                      </m:sSub>
                    </m:e>
                  </m:d>
                </m:e>
              </m:nary>
            </m:den>
          </m:f>
        </m:oMath>
      </m:oMathPara>
    </w:p>
    <w:p w14:paraId="63871CB3" w14:textId="5BFAE40D"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where </w:t>
      </w:r>
      <m:oMath>
        <m:sSub>
          <m:sSubPr>
            <m:ctrlPr>
              <w:rPr>
                <w:rFonts w:ascii="Cambria Math" w:hAnsi="Cambria Math" w:cs="Times New Roman"/>
                <w:sz w:val="20"/>
                <w:szCs w:val="20"/>
                <w:lang w:val="en"/>
              </w:rPr>
            </m:ctrlPr>
          </m:sSubPr>
          <m:e>
            <m:r>
              <w:rPr>
                <w:rFonts w:ascii="Cambria Math" w:hAnsi="Cambria Math" w:cs="Times New Roman"/>
                <w:sz w:val="20"/>
                <w:szCs w:val="20"/>
                <w:lang w:val="en"/>
              </w:rPr>
              <m:t>x</m:t>
            </m:r>
          </m:e>
          <m:sub>
            <m:r>
              <w:rPr>
                <w:rFonts w:ascii="Cambria Math" w:hAnsi="Cambria Math" w:cs="Times New Roman"/>
                <w:sz w:val="20"/>
                <w:szCs w:val="20"/>
                <w:lang w:val="en"/>
              </w:rPr>
              <m:t>gi</m:t>
            </m:r>
          </m:sub>
        </m:sSub>
      </m:oMath>
      <w:r w:rsidRPr="005C2D93">
        <w:rPr>
          <w:rFonts w:ascii="Times New Roman" w:hAnsi="Times New Roman" w:cs="Times New Roman"/>
          <w:sz w:val="20"/>
          <w:szCs w:val="20"/>
          <w:lang w:val="en"/>
        </w:rPr>
        <w:t xml:space="preserve"> is the relative abundance of taxon </w:t>
      </w:r>
      <w:r w:rsidR="008D2388" w:rsidRPr="008D2388">
        <w:rPr>
          <w:rFonts w:ascii="Times New Roman" w:hAnsi="Times New Roman" w:cs="Times New Roman"/>
          <w:i/>
          <w:iCs/>
          <w:sz w:val="20"/>
          <w:szCs w:val="20"/>
          <w:lang w:val="en"/>
        </w:rPr>
        <w:t>g</w:t>
      </w:r>
      <w:r w:rsidRPr="005C2D93">
        <w:rPr>
          <w:rFonts w:ascii="Times New Roman" w:hAnsi="Times New Roman" w:cs="Times New Roman"/>
          <w:sz w:val="20"/>
          <w:szCs w:val="20"/>
          <w:lang w:val="en"/>
        </w:rPr>
        <w:t xml:space="preserve"> in sample </w:t>
      </w:r>
      <w:r w:rsidR="008D2388" w:rsidRPr="008D2388">
        <w:rPr>
          <w:rFonts w:ascii="Times New Roman" w:hAnsi="Times New Roman" w:cs="Times New Roman"/>
          <w:i/>
          <w:iCs/>
          <w:sz w:val="20"/>
          <w:szCs w:val="20"/>
          <w:lang w:val="en"/>
        </w:rPr>
        <w:t>i</w:t>
      </w:r>
      <w:r w:rsidR="008D2388">
        <w:rPr>
          <w:rFonts w:ascii="Times New Roman" w:hAnsi="Times New Roman" w:cs="Times New Roman"/>
          <w:sz w:val="20"/>
          <w:szCs w:val="20"/>
          <w:lang w:val="en"/>
        </w:rPr>
        <w:t>.</w:t>
      </w:r>
    </w:p>
    <w:p w14:paraId="5164D81E" w14:textId="063AE93E" w:rsidR="005C2D93" w:rsidRPr="005C2D93" w:rsidRDefault="005C2D93" w:rsidP="000C043B">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Aitchison distance on centered log-ratio (CLR) features (appropriate for compositions). To avoid </w:t>
      </w:r>
      <w:r w:rsidR="008D2388">
        <w:rPr>
          <w:rFonts w:ascii="Times New Roman" w:hAnsi="Times New Roman" w:cs="Times New Roman"/>
          <w:sz w:val="20"/>
          <w:szCs w:val="20"/>
          <w:lang w:val="en"/>
        </w:rPr>
        <w:t>ln(0)</w:t>
      </w:r>
      <w:r w:rsidRPr="005C2D93">
        <w:rPr>
          <w:rFonts w:ascii="Times New Roman" w:hAnsi="Times New Roman" w:cs="Times New Roman"/>
          <w:sz w:val="20"/>
          <w:szCs w:val="20"/>
          <w:lang w:val="en"/>
        </w:rPr>
        <w:t xml:space="preserve">, we add a small pseudocount </w:t>
      </w:r>
      <m:oMath>
        <m:r>
          <w:rPr>
            <w:rFonts w:ascii="Cambria Math" w:hAnsi="Cambria Math" w:cs="Times New Roman"/>
            <w:sz w:val="20"/>
            <w:szCs w:val="20"/>
            <w:lang w:val="en"/>
          </w:rPr>
          <m:t>ε</m:t>
        </m:r>
      </m:oMath>
      <w:r w:rsidR="008D2388" w:rsidRPr="005C2D93">
        <w:rPr>
          <w:rFonts w:ascii="Times New Roman" w:hAnsi="Times New Roman" w:cs="Times New Roman"/>
          <w:sz w:val="20"/>
          <w:szCs w:val="20"/>
          <w:lang w:val="en"/>
        </w:rPr>
        <w:t xml:space="preserve"> </w:t>
      </w:r>
      <w:r w:rsidRPr="005C2D93">
        <w:rPr>
          <w:rFonts w:ascii="Times New Roman" w:hAnsi="Times New Roman" w:cs="Times New Roman"/>
          <w:sz w:val="20"/>
          <w:szCs w:val="20"/>
          <w:lang w:val="en"/>
        </w:rPr>
        <w:t>to RA (</w:t>
      </w:r>
      <m:oMath>
        <m:r>
          <w:rPr>
            <w:rFonts w:ascii="Cambria Math" w:hAnsi="Cambria Math" w:cs="Times New Roman"/>
            <w:sz w:val="20"/>
            <w:szCs w:val="20"/>
            <w:lang w:val="en"/>
          </w:rPr>
          <m:t>ε</m:t>
        </m:r>
        <m:r>
          <m:rPr>
            <m:sty m:val="p"/>
          </m:rPr>
          <w:rPr>
            <w:rFonts w:ascii="Cambria Math" w:hAnsi="Cambria Math" w:cs="Times New Roman"/>
            <w:sz w:val="20"/>
            <w:szCs w:val="20"/>
            <w:lang w:val="en"/>
          </w:rPr>
          <m:t>=</m:t>
        </m:r>
        <m:sSup>
          <m:sSupPr>
            <m:ctrlPr>
              <w:rPr>
                <w:rFonts w:ascii="Cambria Math" w:hAnsi="Cambria Math" w:cs="Times New Roman"/>
                <w:sz w:val="20"/>
                <w:szCs w:val="20"/>
                <w:lang w:val="en"/>
              </w:rPr>
            </m:ctrlPr>
          </m:sSupPr>
          <m:e>
            <m:r>
              <w:rPr>
                <w:rFonts w:ascii="Cambria Math" w:hAnsi="Cambria Math" w:cs="Times New Roman"/>
                <w:sz w:val="20"/>
                <w:szCs w:val="20"/>
                <w:lang w:val="en"/>
              </w:rPr>
              <m:t>10</m:t>
            </m:r>
          </m:e>
          <m:sup>
            <m:r>
              <m:rPr>
                <m:sty m:val="p"/>
              </m:rPr>
              <w:rPr>
                <w:rFonts w:ascii="Cambria Math" w:hAnsi="Cambria Math" w:cs="Times New Roman"/>
                <w:sz w:val="20"/>
                <w:szCs w:val="20"/>
                <w:lang w:val="en"/>
              </w:rPr>
              <m:t>-</m:t>
            </m:r>
            <m:r>
              <w:rPr>
                <w:rFonts w:ascii="Cambria Math" w:hAnsi="Cambria Math" w:cs="Times New Roman"/>
                <w:sz w:val="20"/>
                <w:szCs w:val="20"/>
                <w:lang w:val="en"/>
              </w:rPr>
              <m:t>6</m:t>
            </m:r>
          </m:sup>
        </m:sSup>
      </m:oMath>
      <w:r w:rsidRPr="005C2D93">
        <w:rPr>
          <w:rFonts w:ascii="Times New Roman" w:hAnsi="Times New Roman" w:cs="Times New Roman"/>
          <w:sz w:val="20"/>
          <w:szCs w:val="20"/>
          <w:lang w:val="en"/>
        </w:rPr>
        <w:t>) and compute the CLR</w:t>
      </w:r>
      <w:r w:rsidR="00564869">
        <w:rPr>
          <w:rFonts w:ascii="Times New Roman" w:hAnsi="Times New Roman" w:cs="Times New Roman"/>
          <w:sz w:val="20"/>
          <w:szCs w:val="20"/>
          <w:lang w:val="en"/>
        </w:rPr>
        <w:t xml:space="preserve"> (a</w:t>
      </w:r>
      <w:r w:rsidR="00564869" w:rsidRPr="00564869">
        <w:rPr>
          <w:rFonts w:ascii="Times New Roman" w:hAnsi="Times New Roman" w:cs="Times New Roman"/>
          <w:sz w:val="20"/>
          <w:szCs w:val="20"/>
          <w:lang w:val="en"/>
        </w:rPr>
        <w:t>ll ordinations and permutations used seed = 42</w:t>
      </w:r>
      <w:r w:rsidR="00564869">
        <w:rPr>
          <w:rFonts w:ascii="Times New Roman" w:hAnsi="Times New Roman" w:cs="Times New Roman"/>
          <w:sz w:val="20"/>
          <w:szCs w:val="20"/>
          <w:lang w:val="en"/>
        </w:rPr>
        <w:t>)</w:t>
      </w:r>
      <w:r w:rsidRPr="005C2D93">
        <w:rPr>
          <w:rFonts w:ascii="Times New Roman" w:hAnsi="Times New Roman" w:cs="Times New Roman"/>
          <w:sz w:val="20"/>
          <w:szCs w:val="20"/>
          <w:lang w:val="en"/>
        </w:rPr>
        <w:t>:</w:t>
      </w:r>
    </w:p>
    <w:p w14:paraId="24C3CF9E" w14:textId="1D67E528"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ig</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r>
            <m:rPr>
              <m:sty m:val="p"/>
            </m:rPr>
            <w:rPr>
              <w:rFonts w:ascii="Cambria Math" w:hAnsi="Cambria Math" w:cs="Times New Roman"/>
              <w:sz w:val="20"/>
              <w:szCs w:val="20"/>
              <w:lang w:val="en"/>
            </w:rPr>
            <m:t>ln</m:t>
          </m:r>
          <m:r>
            <w:rPr>
              <w:rFonts w:ascii="Cambria Math" w:hAnsi="Cambria Math" w:cs="Times New Roman"/>
              <w:sz w:val="20"/>
              <w:szCs w:val="20"/>
              <w:lang w:val="en"/>
            </w:rPr>
            <m:t>​</m:t>
          </m:r>
          <m:d>
            <m:dPr>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r>
                <m:rPr>
                  <m:sty m:val="p"/>
                </m:rPr>
                <w:rPr>
                  <w:rFonts w:ascii="Cambria Math" w:hAnsi="Cambria Math" w:cs="Times New Roman"/>
                  <w:sz w:val="20"/>
                  <w:szCs w:val="20"/>
                  <w:lang w:val="en"/>
                </w:rPr>
                <m:t>+</m:t>
              </m:r>
              <m:r>
                <w:rPr>
                  <w:rFonts w:ascii="Cambria Math" w:hAnsi="Cambria Math" w:cs="Times New Roman"/>
                  <w:sz w:val="20"/>
                  <w:szCs w:val="20"/>
                  <w:lang w:val="en"/>
                </w:rPr>
                <m:t>ε</m:t>
              </m:r>
            </m:e>
          </m:d>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f>
            <m:fPr>
              <m:ctrlPr>
                <w:rPr>
                  <w:rFonts w:ascii="Cambria Math" w:hAnsi="Cambria Math" w:cs="Times New Roman"/>
                  <w:sz w:val="20"/>
                  <w:szCs w:val="20"/>
                  <w:lang w:val="en"/>
                </w:rPr>
              </m:ctrlPr>
            </m:fPr>
            <m:num>
              <m:r>
                <w:rPr>
                  <w:rFonts w:ascii="Cambria Math" w:hAnsi="Cambria Math" w:cs="Times New Roman"/>
                  <w:sz w:val="20"/>
                  <w:szCs w:val="20"/>
                  <w:lang w:val="en"/>
                </w:rPr>
                <m:t>1</m:t>
              </m:r>
            </m:num>
            <m:den>
              <m:r>
                <w:rPr>
                  <w:rFonts w:ascii="Cambria Math" w:hAnsi="Cambria Math" w:cs="Times New Roman"/>
                  <w:sz w:val="20"/>
                  <w:szCs w:val="20"/>
                  <w:lang w:val="en"/>
                </w:rPr>
                <m:t>S</m:t>
              </m:r>
            </m:den>
          </m:f>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h</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r>
                <m:rPr>
                  <m:sty m:val="p"/>
                </m:rPr>
                <w:rPr>
                  <w:rFonts w:ascii="Cambria Math" w:hAnsi="Cambria Math" w:cs="Times New Roman"/>
                  <w:sz w:val="20"/>
                  <w:szCs w:val="20"/>
                  <w:lang w:val="en"/>
                </w:rPr>
                <m:t>ln</m:t>
              </m:r>
            </m:e>
          </m:nary>
          <m:r>
            <w:rPr>
              <w:rFonts w:ascii="Cambria Math" w:hAnsi="Cambria Math" w:cs="Times New Roman"/>
              <w:sz w:val="20"/>
              <w:szCs w:val="20"/>
              <w:lang w:val="en"/>
            </w:rPr>
            <m:t>​</m:t>
          </m:r>
          <m:d>
            <m:dPr>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ih</m:t>
                  </m:r>
                </m:sub>
              </m:sSub>
              <m:r>
                <m:rPr>
                  <m:sty m:val="p"/>
                </m:rPr>
                <w:rPr>
                  <w:rFonts w:ascii="Cambria Math" w:hAnsi="Cambria Math" w:cs="Times New Roman"/>
                  <w:sz w:val="20"/>
                  <w:szCs w:val="20"/>
                  <w:lang w:val="en"/>
                </w:rPr>
                <m:t>+</m:t>
              </m:r>
              <m:r>
                <w:rPr>
                  <w:rFonts w:ascii="Cambria Math" w:hAnsi="Cambria Math" w:cs="Times New Roman"/>
                  <w:sz w:val="20"/>
                  <w:szCs w:val="20"/>
                  <w:lang w:val="en"/>
                </w:rPr>
                <m:t>ε</m:t>
              </m:r>
            </m:e>
          </m:d>
        </m:oMath>
      </m:oMathPara>
    </w:p>
    <w:p w14:paraId="07009647" w14:textId="6F28C8F4"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Aitchison distance is Euclidean in CLR space (both forms</w:t>
      </w:r>
      <w:r w:rsidR="00CF2583">
        <w:rPr>
          <w:rFonts w:ascii="Times New Roman" w:hAnsi="Times New Roman" w:cs="Times New Roman"/>
          <w:sz w:val="20"/>
          <w:szCs w:val="20"/>
          <w:lang w:val="en"/>
        </w:rPr>
        <w:t xml:space="preserve"> are</w:t>
      </w:r>
      <w:r w:rsidRPr="005C2D93">
        <w:rPr>
          <w:rFonts w:ascii="Times New Roman" w:hAnsi="Times New Roman" w:cs="Times New Roman"/>
          <w:sz w:val="20"/>
          <w:szCs w:val="20"/>
          <w:lang w:val="en"/>
        </w:rPr>
        <w:t xml:space="preserve"> shown</w:t>
      </w:r>
      <w:r w:rsidR="008D2388">
        <w:rPr>
          <w:rFonts w:ascii="Times New Roman" w:hAnsi="Times New Roman" w:cs="Times New Roman"/>
          <w:sz w:val="20"/>
          <w:szCs w:val="20"/>
          <w:lang w:val="en"/>
        </w:rPr>
        <w:t>)</w:t>
      </w:r>
      <w:r w:rsidRPr="005C2D93">
        <w:rPr>
          <w:rFonts w:ascii="Times New Roman" w:hAnsi="Times New Roman" w:cs="Times New Roman"/>
          <w:sz w:val="20"/>
          <w:szCs w:val="20"/>
          <w:lang w:val="en"/>
        </w:rPr>
        <w:t>:</w:t>
      </w:r>
    </w:p>
    <w:p w14:paraId="3C91C5E9" w14:textId="35CEF345"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w:rPr>
                  <w:rFonts w:ascii="Cambria Math" w:hAnsi="Cambria Math" w:cs="Times New Roman"/>
                  <w:sz w:val="20"/>
                  <w:szCs w:val="20"/>
                  <w:lang w:val="en"/>
                </w:rPr>
                <m:t>d</m:t>
              </m:r>
            </m:e>
            <m:sub>
              <m:r>
                <w:rPr>
                  <w:rFonts w:ascii="Cambria Math" w:hAnsi="Cambria Math" w:cs="Times New Roman"/>
                  <w:sz w:val="20"/>
                  <w:szCs w:val="20"/>
                  <w:lang w:val="en"/>
                </w:rPr>
                <m:t>A</m:t>
              </m:r>
            </m:sub>
          </m:sSub>
          <m:d>
            <m:dPr>
              <m:ctrlPr>
                <w:rPr>
                  <w:rFonts w:ascii="Cambria Math" w:hAnsi="Cambria Math" w:cs="Times New Roman"/>
                  <w:sz w:val="20"/>
                  <w:szCs w:val="20"/>
                  <w:lang w:val="en"/>
                </w:rPr>
              </m:ctrlPr>
            </m:dPr>
            <m:e>
              <m:r>
                <w:rPr>
                  <w:rFonts w:ascii="Cambria Math" w:hAnsi="Cambria Math" w:cs="Times New Roman"/>
                  <w:sz w:val="20"/>
                  <w:szCs w:val="20"/>
                  <w:lang w:val="en"/>
                </w:rPr>
                <m:t>i</m:t>
              </m:r>
              <m:r>
                <m:rPr>
                  <m:sty m:val="p"/>
                </m:rPr>
                <w:rPr>
                  <w:rFonts w:ascii="Cambria Math" w:hAnsi="Cambria Math" w:cs="Times New Roman"/>
                  <w:sz w:val="20"/>
                  <w:szCs w:val="20"/>
                  <w:lang w:val="en"/>
                </w:rPr>
                <m:t>,</m:t>
              </m:r>
              <m:r>
                <w:rPr>
                  <w:rFonts w:ascii="Cambria Math" w:hAnsi="Cambria Math" w:cs="Times New Roman"/>
                  <w:sz w:val="20"/>
                  <w:szCs w:val="20"/>
                  <w:lang w:val="en"/>
                </w:rPr>
                <m:t>j</m:t>
              </m:r>
            </m:e>
          </m:d>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sSub>
            <m:sSubPr>
              <m:ctrlPr>
                <w:rPr>
                  <w:rFonts w:ascii="Cambria Math" w:hAnsi="Cambria Math" w:cs="Times New Roman"/>
                  <w:sz w:val="20"/>
                  <w:szCs w:val="20"/>
                  <w:lang w:val="en"/>
                </w:rPr>
              </m:ctrlPr>
            </m:sSubPr>
            <m:e>
              <m:d>
                <m:dPr>
                  <m:begChr m:val="∥"/>
                  <m:endChr m:val="∥"/>
                  <m:ctrlPr>
                    <w:rPr>
                      <w:rFonts w:ascii="Cambria Math" w:hAnsi="Cambria Math" w:cs="Times New Roman"/>
                      <w:sz w:val="20"/>
                      <w:szCs w:val="20"/>
                      <w:lang w:val="en"/>
                    </w:rPr>
                  </m:ctrlPr>
                </m:dPr>
                <m:e>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i</m:t>
                      </m:r>
                    </m:sub>
                  </m:sSub>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j</m:t>
                      </m:r>
                    </m:sub>
                  </m:sSub>
                  <m:r>
                    <w:rPr>
                      <w:rFonts w:ascii="Cambria Math" w:hAnsi="Cambria Math" w:cs="Times New Roman"/>
                      <w:sz w:val="20"/>
                      <w:szCs w:val="20"/>
                      <w:lang w:val="en"/>
                    </w:rPr>
                    <m:t> </m:t>
                  </m:r>
                </m:e>
              </m:d>
            </m:e>
            <m:sub>
              <m:r>
                <w:rPr>
                  <w:rFonts w:ascii="Cambria Math" w:hAnsi="Cambria Math" w:cs="Times New Roman"/>
                  <w:sz w:val="20"/>
                  <w:szCs w:val="20"/>
                  <w:lang w:val="en"/>
                </w:rPr>
                <m:t>2</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rad>
            <m:radPr>
              <m:degHide m:val="1"/>
              <m:ctrlPr>
                <w:rPr>
                  <w:rFonts w:ascii="Cambria Math" w:hAnsi="Cambria Math" w:cs="Times New Roman"/>
                  <w:sz w:val="20"/>
                  <w:szCs w:val="20"/>
                  <w:lang w:val="en"/>
                </w:rPr>
              </m:ctrlPr>
            </m:radPr>
            <m:deg/>
            <m:e>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g</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r>
                    <m:rPr>
                      <m:sty m:val="p"/>
                    </m:rPr>
                    <w:rPr>
                      <w:rFonts w:ascii="Cambria Math" w:hAnsi="Cambria Math" w:cs="Times New Roman"/>
                      <w:sz w:val="20"/>
                      <w:szCs w:val="20"/>
                      <w:lang w:val="en"/>
                    </w:rPr>
                    <m:t>(</m:t>
                  </m:r>
                </m:e>
              </m:nary>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ig</m:t>
                  </m:r>
                </m:sub>
              </m:sSub>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jg</m:t>
                  </m:r>
                </m:sub>
              </m:sSub>
              <m:sSup>
                <m:sSupPr>
                  <m:ctrlPr>
                    <w:rPr>
                      <w:rFonts w:ascii="Cambria Math" w:hAnsi="Cambria Math" w:cs="Times New Roman"/>
                      <w:sz w:val="20"/>
                      <w:szCs w:val="20"/>
                      <w:lang w:val="en"/>
                    </w:rPr>
                  </m:ctrlPr>
                </m:sSupPr>
                <m:e>
                  <m:r>
                    <m:rPr>
                      <m:sty m:val="p"/>
                    </m:rPr>
                    <w:rPr>
                      <w:rFonts w:ascii="Cambria Math" w:hAnsi="Cambria Math" w:cs="Times New Roman"/>
                      <w:sz w:val="20"/>
                      <w:szCs w:val="20"/>
                      <w:lang w:val="en"/>
                    </w:rPr>
                    <m:t>)</m:t>
                  </m:r>
                </m:e>
                <m:sup>
                  <m:r>
                    <w:rPr>
                      <w:rFonts w:ascii="Cambria Math" w:hAnsi="Cambria Math" w:cs="Times New Roman"/>
                      <w:sz w:val="20"/>
                      <w:szCs w:val="20"/>
                      <w:lang w:val="en"/>
                    </w:rPr>
                    <m:t>2</m:t>
                  </m:r>
                </m:sup>
              </m:sSup>
            </m:e>
          </m:rad>
        </m:oMath>
      </m:oMathPara>
    </w:p>
    <w:p w14:paraId="3F624440" w14:textId="77777777"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Principal coordinates analysis (PCoA) was used for visualization. Group differences were tested by PERMANOVA (vegan::adonis2, 999 permutations, by = "terms") with the model:</w:t>
      </w:r>
    </w:p>
    <w:p w14:paraId="37E12577" w14:textId="387D7E04" w:rsidR="005C2D93" w:rsidRPr="00E13D9C" w:rsidRDefault="005C2D93" w:rsidP="005C2D93">
      <w:pPr>
        <w:rPr>
          <w:rFonts w:ascii="Times New Roman" w:hAnsi="Times New Roman" w:cs="Times New Roman"/>
          <w:sz w:val="20"/>
          <w:szCs w:val="20"/>
          <w:lang w:val="en"/>
        </w:rPr>
      </w:pPr>
      <m:oMathPara>
        <m:oMathParaPr>
          <m:jc m:val="center"/>
        </m:oMathParaPr>
        <m:oMath>
          <m:r>
            <m:rPr>
              <m:nor/>
            </m:rPr>
            <w:rPr>
              <w:rFonts w:ascii="Times New Roman" w:hAnsi="Times New Roman" w:cs="Times New Roman"/>
              <w:sz w:val="20"/>
              <w:szCs w:val="20"/>
              <w:lang w:val="en"/>
            </w:rPr>
            <m:t>distance</m:t>
          </m:r>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r>
            <m:rPr>
              <m:nor/>
            </m:rPr>
            <w:rPr>
              <w:rFonts w:ascii="Times New Roman" w:hAnsi="Times New Roman" w:cs="Times New Roman"/>
              <w:sz w:val="20"/>
              <w:szCs w:val="20"/>
              <w:lang w:val="en"/>
            </w:rPr>
            <m:t>Group</m:t>
          </m:r>
          <m:r>
            <m:rPr>
              <m:sty m:val="p"/>
            </m:rPr>
            <w:rPr>
              <w:rFonts w:ascii="Cambria Math" w:hAnsi="Cambria Math" w:cs="Times New Roman"/>
              <w:sz w:val="20"/>
              <w:szCs w:val="20"/>
              <w:lang w:val="en"/>
            </w:rPr>
            <m:t>+</m:t>
          </m:r>
          <m:r>
            <m:rPr>
              <m:nor/>
            </m:rPr>
            <w:rPr>
              <w:rFonts w:ascii="Times New Roman" w:hAnsi="Times New Roman" w:cs="Times New Roman"/>
              <w:sz w:val="20"/>
              <w:szCs w:val="20"/>
              <w:lang w:val="en"/>
            </w:rPr>
            <m:t>Age</m:t>
          </m:r>
          <m:r>
            <m:rPr>
              <m:sty m:val="p"/>
            </m:rPr>
            <w:rPr>
              <w:rFonts w:ascii="Cambria Math" w:hAnsi="Cambria Math" w:cs="Times New Roman"/>
              <w:sz w:val="20"/>
              <w:szCs w:val="20"/>
              <w:lang w:val="en"/>
            </w:rPr>
            <m:t>+</m:t>
          </m:r>
          <m:r>
            <m:rPr>
              <m:nor/>
            </m:rPr>
            <w:rPr>
              <w:rFonts w:ascii="Times New Roman" w:hAnsi="Times New Roman" w:cs="Times New Roman"/>
              <w:sz w:val="20"/>
              <w:szCs w:val="20"/>
              <w:lang w:val="en"/>
            </w:rPr>
            <m:t>Sex</m:t>
          </m:r>
          <m:r>
            <m:rPr>
              <m:sty m:val="p"/>
            </m:rPr>
            <w:rPr>
              <w:rFonts w:ascii="Cambria Math" w:hAnsi="Cambria Math" w:cs="Times New Roman"/>
              <w:sz w:val="20"/>
              <w:szCs w:val="20"/>
              <w:lang w:val="en"/>
            </w:rPr>
            <m:t>+</m:t>
          </m:r>
          <m:r>
            <m:rPr>
              <m:nor/>
            </m:rPr>
            <w:rPr>
              <w:rFonts w:ascii="Times New Roman" w:hAnsi="Times New Roman" w:cs="Times New Roman"/>
              <w:sz w:val="20"/>
              <w:szCs w:val="20"/>
              <w:lang w:val="en"/>
            </w:rPr>
            <m:t>BMI</m:t>
          </m:r>
          <m:r>
            <m:rPr>
              <m:sty m:val="p"/>
            </m:rPr>
            <w:rPr>
              <w:rFonts w:ascii="Cambria Math" w:hAnsi="Cambria Math" w:cs="Times New Roman"/>
              <w:sz w:val="20"/>
              <w:szCs w:val="20"/>
              <w:lang w:val="en"/>
            </w:rPr>
            <m:t>+</m:t>
          </m:r>
          <m:r>
            <m:rPr>
              <m:nor/>
            </m:rPr>
            <w:rPr>
              <w:rFonts w:ascii="Times New Roman" w:hAnsi="Times New Roman" w:cs="Times New Roman"/>
              <w:sz w:val="20"/>
              <w:szCs w:val="20"/>
              <w:lang w:val="en"/>
            </w:rPr>
            <m:t>Laxatives</m:t>
          </m:r>
          <m:r>
            <m:rPr>
              <m:sty m:val="p"/>
            </m:rPr>
            <w:rPr>
              <w:rFonts w:ascii="Cambria Math" w:hAnsi="Cambria Math" w:cs="Times New Roman"/>
              <w:sz w:val="20"/>
              <w:szCs w:val="20"/>
              <w:lang w:val="en"/>
            </w:rPr>
            <m:t>+</m:t>
          </m:r>
          <m:r>
            <m:rPr>
              <m:nor/>
            </m:rPr>
            <w:rPr>
              <w:rFonts w:ascii="Times New Roman" w:hAnsi="Times New Roman" w:cs="Times New Roman"/>
              <w:sz w:val="20"/>
              <w:szCs w:val="20"/>
              <w:lang w:val="en"/>
            </w:rPr>
            <m:t>collection_method</m:t>
          </m:r>
        </m:oMath>
      </m:oMathPara>
    </w:p>
    <w:p w14:paraId="53671461" w14:textId="70083774"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To assess the PERMANOVA assumption of homogeneous multivariate dispersions, we used </w:t>
      </w:r>
      <w:r w:rsidR="00871CDC" w:rsidRPr="00E5029E">
        <w:rPr>
          <w:rFonts w:ascii="Times New Roman" w:hAnsi="Times New Roman" w:cs="Times New Roman"/>
          <w:sz w:val="20"/>
          <w:szCs w:val="20"/>
          <w:lang w:val="en"/>
        </w:rPr>
        <w:t>betadisper</w:t>
      </w:r>
      <w:r w:rsidR="00871CDC" w:rsidRPr="00871CDC">
        <w:rPr>
          <w:rFonts w:ascii="Times New Roman" w:hAnsi="Times New Roman" w:cs="Times New Roman"/>
          <w:sz w:val="20"/>
          <w:szCs w:val="20"/>
          <w:lang w:val="en"/>
        </w:rPr>
        <w:t xml:space="preserve"> (vegan package)</w:t>
      </w:r>
      <w:r w:rsidR="00871CDC">
        <w:rPr>
          <w:rFonts w:ascii="Times New Roman" w:hAnsi="Times New Roman" w:cs="Times New Roman"/>
          <w:sz w:val="20"/>
          <w:szCs w:val="20"/>
          <w:lang w:val="en"/>
        </w:rPr>
        <w:t xml:space="preserve"> </w:t>
      </w:r>
      <w:r w:rsidRPr="005C2D93">
        <w:rPr>
          <w:rFonts w:ascii="Times New Roman" w:hAnsi="Times New Roman" w:cs="Times New Roman"/>
          <w:sz w:val="20"/>
          <w:szCs w:val="20"/>
          <w:lang w:val="en"/>
        </w:rPr>
        <w:t xml:space="preserve">with permutation tests; dispersion </w:t>
      </w:r>
      <w:r w:rsidRPr="002F7AD8">
        <w:rPr>
          <w:rFonts w:ascii="Times New Roman" w:hAnsi="Times New Roman" w:cs="Times New Roman"/>
          <w:i/>
          <w:iCs/>
          <w:sz w:val="20"/>
          <w:szCs w:val="20"/>
          <w:lang w:val="en"/>
        </w:rPr>
        <w:t>P</w:t>
      </w:r>
      <w:r w:rsidRPr="005C2D93">
        <w:rPr>
          <w:rFonts w:ascii="Times New Roman" w:hAnsi="Times New Roman" w:cs="Times New Roman"/>
          <w:sz w:val="20"/>
          <w:szCs w:val="20"/>
          <w:lang w:val="en"/>
        </w:rPr>
        <w:t xml:space="preserve"> values are reported alongside PERMANOVA </w:t>
      </w:r>
      <w:r w:rsidR="000B002C" w:rsidRPr="00091B00">
        <w:rPr>
          <w:rFonts w:ascii="Times New Roman" w:hAnsi="Times New Roman" w:cs="Times New Roman"/>
          <w:i/>
          <w:iCs/>
          <w:sz w:val="20"/>
          <w:szCs w:val="20"/>
          <w:lang w:val="en"/>
        </w:rPr>
        <w:t>R</w:t>
      </w:r>
      <w:r w:rsidR="000B002C" w:rsidRPr="000B002C">
        <w:rPr>
          <w:rFonts w:ascii="Times New Roman" w:hAnsi="Times New Roman" w:cs="Times New Roman"/>
          <w:sz w:val="20"/>
          <w:szCs w:val="20"/>
          <w:vertAlign w:val="superscript"/>
          <w:lang w:val="en"/>
        </w:rPr>
        <w:t>2</w:t>
      </w:r>
      <w:r w:rsidRPr="005C2D93">
        <w:rPr>
          <w:rFonts w:ascii="Times New Roman" w:hAnsi="Times New Roman" w:cs="Times New Roman"/>
          <w:sz w:val="20"/>
          <w:szCs w:val="20"/>
          <w:lang w:val="en"/>
        </w:rPr>
        <w:t xml:space="preserve"> and FDR-adjusted </w:t>
      </w:r>
      <w:r w:rsidR="000B002C" w:rsidRPr="00091B00">
        <w:rPr>
          <w:rFonts w:ascii="Times New Roman" w:hAnsi="Times New Roman" w:cs="Times New Roman"/>
          <w:i/>
          <w:iCs/>
          <w:sz w:val="20"/>
          <w:szCs w:val="20"/>
          <w:lang w:val="en"/>
        </w:rPr>
        <w:t>q</w:t>
      </w:r>
      <w:r w:rsidR="000B002C">
        <w:rPr>
          <w:rFonts w:ascii="Times New Roman" w:hAnsi="Times New Roman" w:cs="Times New Roman"/>
          <w:sz w:val="20"/>
          <w:szCs w:val="20"/>
          <w:lang w:val="en"/>
        </w:rPr>
        <w:t>.</w:t>
      </w:r>
    </w:p>
    <w:p w14:paraId="3485B863"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Mathematical conventions and transformations</w:t>
      </w:r>
    </w:p>
    <w:p w14:paraId="08FF7E11" w14:textId="4F504626" w:rsidR="005C2D93" w:rsidRPr="000C043B" w:rsidRDefault="005C2D93" w:rsidP="000C043B">
      <w:pPr>
        <w:pStyle w:val="ListParagraph"/>
        <w:numPr>
          <w:ilvl w:val="0"/>
          <w:numId w:val="13"/>
        </w:numPr>
        <w:rPr>
          <w:rFonts w:ascii="Times New Roman" w:hAnsi="Times New Roman" w:cs="Times New Roman"/>
          <w:sz w:val="20"/>
          <w:szCs w:val="20"/>
          <w:lang w:val="en"/>
        </w:rPr>
      </w:pPr>
      <w:r w:rsidRPr="000C043B">
        <w:rPr>
          <w:rFonts w:ascii="Times New Roman" w:hAnsi="Times New Roman" w:cs="Times New Roman"/>
          <w:sz w:val="20"/>
          <w:szCs w:val="20"/>
          <w:lang w:val="en"/>
        </w:rPr>
        <w:t xml:space="preserve">CLR on RA </w:t>
      </w:r>
      <w:r w:rsidR="00882A99">
        <w:rPr>
          <w:rFonts w:ascii="Times New Roman" w:hAnsi="Times New Roman" w:cs="Times New Roman"/>
          <w:sz w:val="20"/>
          <w:szCs w:val="20"/>
          <w:lang w:val="en"/>
        </w:rPr>
        <w:t>vs.</w:t>
      </w:r>
      <w:r w:rsidR="000C043B">
        <w:rPr>
          <w:rFonts w:ascii="Times New Roman" w:hAnsi="Times New Roman" w:cs="Times New Roman"/>
          <w:sz w:val="20"/>
          <w:szCs w:val="20"/>
          <w:lang w:val="en"/>
        </w:rPr>
        <w:t xml:space="preserve"> </w:t>
      </w:r>
      <w:r w:rsidRPr="000C043B">
        <w:rPr>
          <w:rFonts w:ascii="Times New Roman" w:hAnsi="Times New Roman" w:cs="Times New Roman"/>
          <w:sz w:val="20"/>
          <w:szCs w:val="20"/>
          <w:lang w:val="en"/>
        </w:rPr>
        <w:t>counts</w:t>
      </w:r>
      <w:r w:rsidR="000C043B">
        <w:rPr>
          <w:rFonts w:ascii="Times New Roman" w:hAnsi="Times New Roman" w:cs="Times New Roman"/>
          <w:sz w:val="20"/>
          <w:szCs w:val="20"/>
          <w:lang w:val="en"/>
        </w:rPr>
        <w:t xml:space="preserve">: </w:t>
      </w:r>
      <w:r w:rsidRPr="000C043B">
        <w:rPr>
          <w:rFonts w:ascii="Times New Roman" w:hAnsi="Times New Roman" w:cs="Times New Roman"/>
          <w:sz w:val="20"/>
          <w:szCs w:val="20"/>
          <w:lang w:val="en"/>
        </w:rPr>
        <w:t xml:space="preserve">CLR is defined on compositions. We therefore work on RA and add a tiny pseudocount </w:t>
      </w:r>
      <m:oMath>
        <m:r>
          <w:rPr>
            <w:rFonts w:ascii="Cambria Math" w:hAnsi="Cambria Math" w:cs="Times New Roman"/>
            <w:sz w:val="20"/>
            <w:szCs w:val="20"/>
            <w:lang w:val="en"/>
          </w:rPr>
          <m:t>ε</m:t>
        </m:r>
        <m:r>
          <m:rPr>
            <m:sty m:val="p"/>
          </m:rPr>
          <w:rPr>
            <w:rFonts w:ascii="Cambria Math" w:hAnsi="Cambria Math" w:cs="Times New Roman"/>
            <w:sz w:val="20"/>
            <w:szCs w:val="20"/>
            <w:lang w:val="en"/>
          </w:rPr>
          <m:t>=</m:t>
        </m:r>
        <m:sSup>
          <m:sSupPr>
            <m:ctrlPr>
              <w:rPr>
                <w:rFonts w:ascii="Cambria Math" w:hAnsi="Cambria Math" w:cs="Times New Roman"/>
                <w:sz w:val="20"/>
                <w:szCs w:val="20"/>
                <w:lang w:val="en"/>
              </w:rPr>
            </m:ctrlPr>
          </m:sSupPr>
          <m:e>
            <m:r>
              <w:rPr>
                <w:rFonts w:ascii="Cambria Math" w:hAnsi="Cambria Math" w:cs="Times New Roman"/>
                <w:sz w:val="20"/>
                <w:szCs w:val="20"/>
                <w:lang w:val="en"/>
              </w:rPr>
              <m:t>10</m:t>
            </m:r>
          </m:e>
          <m:sup>
            <m:r>
              <m:rPr>
                <m:sty m:val="p"/>
              </m:rPr>
              <w:rPr>
                <w:rFonts w:ascii="Cambria Math" w:hAnsi="Cambria Math" w:cs="Times New Roman"/>
                <w:sz w:val="20"/>
                <w:szCs w:val="20"/>
                <w:lang w:val="en"/>
              </w:rPr>
              <m:t>-</m:t>
            </m:r>
            <m:r>
              <w:rPr>
                <w:rFonts w:ascii="Cambria Math" w:hAnsi="Cambria Math" w:cs="Times New Roman"/>
                <w:sz w:val="20"/>
                <w:szCs w:val="20"/>
                <w:lang w:val="en"/>
              </w:rPr>
              <m:t>6</m:t>
            </m:r>
          </m:sup>
        </m:sSup>
      </m:oMath>
      <w:r w:rsidRPr="000C043B">
        <w:rPr>
          <w:rFonts w:ascii="Times New Roman" w:hAnsi="Times New Roman" w:cs="Times New Roman"/>
          <w:sz w:val="20"/>
          <w:szCs w:val="20"/>
          <w:lang w:val="en"/>
        </w:rPr>
        <w:t xml:space="preserve"> to handle zeros before CLR. Using counts with a pseudocount and then CLR is algebraically equivalent to an additive constant that cancels under CLR centering; operating on RA keeps the interpretation explicitly compositional.</w:t>
      </w:r>
    </w:p>
    <w:p w14:paraId="4C940C52" w14:textId="7ED88ADA" w:rsidR="005C2D93" w:rsidRPr="005C2D93" w:rsidRDefault="005C2D93" w:rsidP="005C2D93">
      <w:pPr>
        <w:numPr>
          <w:ilvl w:val="0"/>
          <w:numId w:val="13"/>
        </w:numPr>
        <w:rPr>
          <w:rFonts w:ascii="Times New Roman" w:hAnsi="Times New Roman" w:cs="Times New Roman"/>
          <w:sz w:val="20"/>
          <w:szCs w:val="20"/>
          <w:lang w:val="en"/>
        </w:rPr>
      </w:pPr>
      <w:r w:rsidRPr="005C2D93">
        <w:rPr>
          <w:rFonts w:ascii="Times New Roman" w:hAnsi="Times New Roman" w:cs="Times New Roman"/>
          <w:sz w:val="20"/>
          <w:szCs w:val="20"/>
          <w:lang w:val="en"/>
        </w:rPr>
        <w:t>Aitchison distance</w:t>
      </w:r>
      <w:r w:rsidR="000C043B">
        <w:rPr>
          <w:rFonts w:ascii="Times New Roman" w:hAnsi="Times New Roman" w:cs="Times New Roman"/>
          <w:sz w:val="20"/>
          <w:szCs w:val="20"/>
          <w:lang w:val="en"/>
        </w:rPr>
        <w:t xml:space="preserve">: </w:t>
      </w:r>
      <w:r w:rsidR="00091B00">
        <w:rPr>
          <w:rFonts w:ascii="Times New Roman" w:hAnsi="Times New Roman" w:cs="Times New Roman"/>
          <w:sz w:val="20"/>
          <w:szCs w:val="20"/>
          <w:lang w:val="en"/>
        </w:rPr>
        <w:t>t</w:t>
      </w:r>
      <w:r w:rsidRPr="005C2D93">
        <w:rPr>
          <w:rFonts w:ascii="Times New Roman" w:hAnsi="Times New Roman" w:cs="Times New Roman"/>
          <w:sz w:val="20"/>
          <w:szCs w:val="20"/>
          <w:lang w:val="en"/>
        </w:rPr>
        <w:t xml:space="preserve">he compact norm form </w:t>
      </w:r>
      <m:oMath>
        <m:r>
          <m:rPr>
            <m:sty m:val="p"/>
          </m:rPr>
          <w:rPr>
            <w:rFonts w:ascii="Cambria Math" w:hAnsi="Cambria Math" w:cs="Times New Roman"/>
            <w:sz w:val="20"/>
            <w:szCs w:val="20"/>
            <w:lang w:val="en"/>
          </w:rPr>
          <m:t>∥</m:t>
        </m:r>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i</m:t>
            </m:r>
          </m:sub>
        </m:sSub>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j</m:t>
            </m:r>
          </m:sub>
        </m:sSub>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m:t>
            </m:r>
          </m:e>
          <m:sub>
            <m:r>
              <w:rPr>
                <w:rFonts w:ascii="Cambria Math" w:hAnsi="Cambria Math" w:cs="Times New Roman"/>
                <w:sz w:val="20"/>
                <w:szCs w:val="20"/>
                <w:lang w:val="en"/>
              </w:rPr>
              <m:t>2</m:t>
            </m:r>
          </m:sub>
        </m:sSub>
      </m:oMath>
      <w:r w:rsidRPr="005C2D93">
        <w:rPr>
          <w:rFonts w:ascii="Times New Roman" w:hAnsi="Times New Roman" w:cs="Times New Roman"/>
          <w:sz w:val="20"/>
          <w:szCs w:val="20"/>
          <w:lang w:val="en"/>
        </w:rPr>
        <w:t xml:space="preserve"> and the expanded square-root-of-sum-of-squares form above are mathematically identical; both are provided for clarity.</w:t>
      </w:r>
    </w:p>
    <w:p w14:paraId="66A97DD4" w14:textId="1E5380A1" w:rsidR="005C2D93" w:rsidRPr="005C2D93" w:rsidRDefault="005C2D93" w:rsidP="005C2D93">
      <w:pPr>
        <w:numPr>
          <w:ilvl w:val="0"/>
          <w:numId w:val="13"/>
        </w:numPr>
        <w:rPr>
          <w:rFonts w:ascii="Times New Roman" w:hAnsi="Times New Roman" w:cs="Times New Roman"/>
          <w:sz w:val="20"/>
          <w:szCs w:val="20"/>
          <w:lang w:val="en"/>
        </w:rPr>
      </w:pPr>
      <w:r w:rsidRPr="005C2D93">
        <w:rPr>
          <w:rFonts w:ascii="Times New Roman" w:hAnsi="Times New Roman" w:cs="Times New Roman"/>
          <w:sz w:val="20"/>
          <w:szCs w:val="20"/>
          <w:lang w:val="en"/>
        </w:rPr>
        <w:lastRenderedPageBreak/>
        <w:t>Log bases</w:t>
      </w:r>
      <w:r w:rsidR="000C043B">
        <w:rPr>
          <w:rFonts w:ascii="Times New Roman" w:hAnsi="Times New Roman" w:cs="Times New Roman"/>
          <w:sz w:val="20"/>
          <w:szCs w:val="20"/>
          <w:lang w:val="en"/>
        </w:rPr>
        <w:t xml:space="preserve">: </w:t>
      </w:r>
      <w:r w:rsidR="00091B00">
        <w:rPr>
          <w:rFonts w:ascii="Times New Roman" w:hAnsi="Times New Roman" w:cs="Times New Roman"/>
          <w:sz w:val="20"/>
          <w:szCs w:val="20"/>
          <w:lang w:val="en"/>
        </w:rPr>
        <w:t>w</w:t>
      </w:r>
      <w:r w:rsidRPr="005C2D93">
        <w:rPr>
          <w:rFonts w:ascii="Times New Roman" w:hAnsi="Times New Roman" w:cs="Times New Roman"/>
          <w:sz w:val="20"/>
          <w:szCs w:val="20"/>
          <w:lang w:val="en"/>
        </w:rPr>
        <w:t>e use the natural log for Shannon and for CLR (standard in information theory and compositional data analysis), and base-2 logs only for voom outputs (log2-CPM; hence pathway effects are reported as log2 fold-change).</w:t>
      </w:r>
    </w:p>
    <w:p w14:paraId="0F4D1844"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Differential abundance of taxa (compositional modeling)</w:t>
      </w:r>
    </w:p>
    <w:p w14:paraId="1BA8B1E9" w14:textId="77777777"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Because RA data are compositional, we modeled CLR-transformed taxa with limma:</w:t>
      </w:r>
    </w:p>
    <w:p w14:paraId="31BDFCE1" w14:textId="60E42071" w:rsidR="005C2D93" w:rsidRPr="00CF2583" w:rsidRDefault="005C2D93" w:rsidP="00CF2583">
      <w:pPr>
        <w:pStyle w:val="ListParagraph"/>
        <w:numPr>
          <w:ilvl w:val="0"/>
          <w:numId w:val="20"/>
        </w:numPr>
        <w:rPr>
          <w:rFonts w:ascii="Times New Roman" w:hAnsi="Times New Roman" w:cs="Times New Roman"/>
          <w:sz w:val="20"/>
          <w:szCs w:val="20"/>
          <w:lang w:val="en"/>
        </w:rPr>
      </w:pPr>
      <w:r w:rsidRPr="00CF2583">
        <w:rPr>
          <w:rFonts w:ascii="Times New Roman" w:hAnsi="Times New Roman" w:cs="Times New Roman"/>
          <w:sz w:val="20"/>
          <w:szCs w:val="20"/>
          <w:lang w:val="en"/>
        </w:rPr>
        <w:t xml:space="preserve">Transform: starting from the RA table </w:t>
      </w:r>
      <m:oMath>
        <m:d>
          <m:dPr>
            <m:begChr m:val="{"/>
            <m:endChr m:val="}"/>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e>
        </m:d>
      </m:oMath>
      <w:r w:rsidRPr="00CF2583">
        <w:rPr>
          <w:rFonts w:ascii="Times New Roman" w:hAnsi="Times New Roman" w:cs="Times New Roman"/>
          <w:sz w:val="20"/>
          <w:szCs w:val="20"/>
          <w:lang w:val="en"/>
        </w:rPr>
        <w:t xml:space="preserve">, add </w:t>
      </w:r>
      <m:oMath>
        <m:r>
          <w:rPr>
            <w:rFonts w:ascii="Cambria Math" w:hAnsi="Cambria Math" w:cs="Times New Roman"/>
            <w:sz w:val="20"/>
            <w:szCs w:val="20"/>
            <w:lang w:val="en"/>
          </w:rPr>
          <m:t>ε</m:t>
        </m:r>
        <m:r>
          <m:rPr>
            <m:sty m:val="p"/>
          </m:rPr>
          <w:rPr>
            <w:rFonts w:ascii="Cambria Math" w:hAnsi="Cambria Math" w:cs="Times New Roman"/>
            <w:sz w:val="20"/>
            <w:szCs w:val="20"/>
            <w:lang w:val="en"/>
          </w:rPr>
          <m:t>=</m:t>
        </m:r>
        <m:sSup>
          <m:sSupPr>
            <m:ctrlPr>
              <w:rPr>
                <w:rFonts w:ascii="Cambria Math" w:hAnsi="Cambria Math" w:cs="Times New Roman"/>
                <w:sz w:val="20"/>
                <w:szCs w:val="20"/>
                <w:lang w:val="en"/>
              </w:rPr>
            </m:ctrlPr>
          </m:sSupPr>
          <m:e>
            <m:r>
              <w:rPr>
                <w:rFonts w:ascii="Cambria Math" w:hAnsi="Cambria Math" w:cs="Times New Roman"/>
                <w:sz w:val="20"/>
                <w:szCs w:val="20"/>
                <w:lang w:val="en"/>
              </w:rPr>
              <m:t>10</m:t>
            </m:r>
          </m:e>
          <m:sup>
            <m:r>
              <m:rPr>
                <m:sty m:val="p"/>
              </m:rPr>
              <w:rPr>
                <w:rFonts w:ascii="Cambria Math" w:hAnsi="Cambria Math" w:cs="Times New Roman"/>
                <w:sz w:val="20"/>
                <w:szCs w:val="20"/>
                <w:lang w:val="en"/>
              </w:rPr>
              <m:t>-</m:t>
            </m:r>
            <m:r>
              <w:rPr>
                <w:rFonts w:ascii="Cambria Math" w:hAnsi="Cambria Math" w:cs="Times New Roman"/>
                <w:sz w:val="20"/>
                <w:szCs w:val="20"/>
                <w:lang w:val="en"/>
              </w:rPr>
              <m:t>6</m:t>
            </m:r>
          </m:sup>
        </m:sSup>
      </m:oMath>
      <w:r w:rsidRPr="00CF2583">
        <w:rPr>
          <w:rFonts w:ascii="Times New Roman" w:hAnsi="Times New Roman" w:cs="Times New Roman"/>
          <w:sz w:val="20"/>
          <w:szCs w:val="20"/>
          <w:lang w:val="en"/>
        </w:rPr>
        <w:t xml:space="preserve"> and compute</w:t>
      </w:r>
      <w:r w:rsidR="000C043B" w:rsidRPr="00CF2583">
        <w:rPr>
          <w:rFonts w:ascii="Times New Roman" w:hAnsi="Times New Roman" w:cs="Times New Roman"/>
          <w:sz w:val="20"/>
          <w:szCs w:val="20"/>
          <w:lang w:val="en"/>
        </w:rPr>
        <w:t>:</w:t>
      </w:r>
    </w:p>
    <w:p w14:paraId="609B1748" w14:textId="41583313"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clr</m:t>
              </m:r>
            </m:e>
            <m:sub>
              <m:r>
                <w:rPr>
                  <w:rFonts w:ascii="Cambria Math" w:hAnsi="Cambria Math" w:cs="Times New Roman"/>
                  <w:sz w:val="20"/>
                  <w:szCs w:val="20"/>
                  <w:lang w:val="en"/>
                </w:rPr>
                <m:t>ig</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r>
            <m:rPr>
              <m:sty m:val="p"/>
            </m:rPr>
            <w:rPr>
              <w:rFonts w:ascii="Cambria Math" w:hAnsi="Cambria Math" w:cs="Times New Roman"/>
              <w:sz w:val="20"/>
              <w:szCs w:val="20"/>
              <w:lang w:val="en"/>
            </w:rPr>
            <m:t>ln</m:t>
          </m:r>
          <m:r>
            <w:rPr>
              <w:rFonts w:ascii="Cambria Math" w:hAnsi="Cambria Math" w:cs="Times New Roman"/>
              <w:sz w:val="20"/>
              <w:szCs w:val="20"/>
              <w:lang w:val="en"/>
            </w:rPr>
            <m:t>​</m:t>
          </m:r>
          <m:d>
            <m:dPr>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ig</m:t>
                  </m:r>
                </m:sub>
              </m:sSub>
              <m:r>
                <m:rPr>
                  <m:sty m:val="p"/>
                </m:rPr>
                <w:rPr>
                  <w:rFonts w:ascii="Cambria Math" w:hAnsi="Cambria Math" w:cs="Times New Roman"/>
                  <w:sz w:val="20"/>
                  <w:szCs w:val="20"/>
                  <w:lang w:val="en"/>
                </w:rPr>
                <m:t>+</m:t>
              </m:r>
              <m:r>
                <w:rPr>
                  <w:rFonts w:ascii="Cambria Math" w:hAnsi="Cambria Math" w:cs="Times New Roman"/>
                  <w:sz w:val="20"/>
                  <w:szCs w:val="20"/>
                  <w:lang w:val="en"/>
                </w:rPr>
                <m:t>ε</m:t>
              </m:r>
            </m:e>
          </m:d>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f>
            <m:fPr>
              <m:ctrlPr>
                <w:rPr>
                  <w:rFonts w:ascii="Cambria Math" w:hAnsi="Cambria Math" w:cs="Times New Roman"/>
                  <w:sz w:val="20"/>
                  <w:szCs w:val="20"/>
                  <w:lang w:val="en"/>
                </w:rPr>
              </m:ctrlPr>
            </m:fPr>
            <m:num>
              <m:r>
                <w:rPr>
                  <w:rFonts w:ascii="Cambria Math" w:hAnsi="Cambria Math" w:cs="Times New Roman"/>
                  <w:sz w:val="20"/>
                  <w:szCs w:val="20"/>
                  <w:lang w:val="en"/>
                </w:rPr>
                <m:t>1</m:t>
              </m:r>
            </m:num>
            <m:den>
              <m:r>
                <w:rPr>
                  <w:rFonts w:ascii="Cambria Math" w:hAnsi="Cambria Math" w:cs="Times New Roman"/>
                  <w:sz w:val="20"/>
                  <w:szCs w:val="20"/>
                  <w:lang w:val="en"/>
                </w:rPr>
                <m:t>S</m:t>
              </m:r>
            </m:den>
          </m:f>
          <m:nary>
            <m:naryPr>
              <m:chr m:val="∑"/>
              <m:limLoc m:val="undOvr"/>
              <m:ctrlPr>
                <w:rPr>
                  <w:rFonts w:ascii="Cambria Math" w:hAnsi="Cambria Math" w:cs="Times New Roman"/>
                  <w:sz w:val="20"/>
                  <w:szCs w:val="20"/>
                  <w:lang w:val="en"/>
                </w:rPr>
              </m:ctrlPr>
            </m:naryPr>
            <m:sub>
              <m:r>
                <w:rPr>
                  <w:rFonts w:ascii="Cambria Math" w:hAnsi="Cambria Math" w:cs="Times New Roman"/>
                  <w:sz w:val="20"/>
                  <w:szCs w:val="20"/>
                  <w:lang w:val="en"/>
                </w:rPr>
                <m:t>h</m:t>
              </m:r>
              <m:r>
                <m:rPr>
                  <m:sty m:val="p"/>
                </m:rPr>
                <w:rPr>
                  <w:rFonts w:ascii="Cambria Math" w:hAnsi="Cambria Math" w:cs="Times New Roman"/>
                  <w:sz w:val="20"/>
                  <w:szCs w:val="20"/>
                  <w:lang w:val="en"/>
                </w:rPr>
                <m:t>=</m:t>
              </m:r>
              <m:r>
                <w:rPr>
                  <w:rFonts w:ascii="Cambria Math" w:hAnsi="Cambria Math" w:cs="Times New Roman"/>
                  <w:sz w:val="20"/>
                  <w:szCs w:val="20"/>
                  <w:lang w:val="en"/>
                </w:rPr>
                <m:t>1</m:t>
              </m:r>
            </m:sub>
            <m:sup>
              <m:r>
                <w:rPr>
                  <w:rFonts w:ascii="Cambria Math" w:hAnsi="Cambria Math" w:cs="Times New Roman"/>
                  <w:sz w:val="20"/>
                  <w:szCs w:val="20"/>
                  <w:lang w:val="en"/>
                </w:rPr>
                <m:t>S</m:t>
              </m:r>
            </m:sup>
            <m:e>
              <m:r>
                <m:rPr>
                  <m:sty m:val="p"/>
                </m:rPr>
                <w:rPr>
                  <w:rFonts w:ascii="Cambria Math" w:hAnsi="Cambria Math" w:cs="Times New Roman"/>
                  <w:sz w:val="20"/>
                  <w:szCs w:val="20"/>
                  <w:lang w:val="en"/>
                </w:rPr>
                <m:t>ln</m:t>
              </m:r>
            </m:e>
          </m:nary>
          <m:r>
            <w:rPr>
              <w:rFonts w:ascii="Cambria Math" w:hAnsi="Cambria Math" w:cs="Times New Roman"/>
              <w:sz w:val="20"/>
              <w:szCs w:val="20"/>
              <w:lang w:val="en"/>
            </w:rPr>
            <m:t>​</m:t>
          </m:r>
          <m:d>
            <m:dPr>
              <m:ctrlPr>
                <w:rPr>
                  <w:rFonts w:ascii="Cambria Math" w:hAnsi="Cambria Math" w:cs="Times New Roman"/>
                  <w:sz w:val="20"/>
                  <w:szCs w:val="20"/>
                  <w:lang w:val="en"/>
                </w:rPr>
              </m:ctrlPr>
            </m:dPr>
            <m:e>
              <m:sSub>
                <m:sSubPr>
                  <m:ctrlPr>
                    <w:rPr>
                      <w:rFonts w:ascii="Cambria Math" w:hAnsi="Cambria Math" w:cs="Times New Roman"/>
                      <w:sz w:val="20"/>
                      <w:szCs w:val="20"/>
                      <w:lang w:val="en"/>
                    </w:rPr>
                  </m:ctrlPr>
                </m:sSubPr>
                <m:e>
                  <m:r>
                    <w:rPr>
                      <w:rFonts w:ascii="Cambria Math" w:hAnsi="Cambria Math" w:cs="Times New Roman"/>
                      <w:sz w:val="20"/>
                      <w:szCs w:val="20"/>
                      <w:lang w:val="en"/>
                    </w:rPr>
                    <m:t>p</m:t>
                  </m:r>
                </m:e>
                <m:sub>
                  <m:r>
                    <w:rPr>
                      <w:rFonts w:ascii="Cambria Math" w:hAnsi="Cambria Math" w:cs="Times New Roman"/>
                      <w:sz w:val="20"/>
                      <w:szCs w:val="20"/>
                      <w:lang w:val="en"/>
                    </w:rPr>
                    <m:t>ih</m:t>
                  </m:r>
                </m:sub>
              </m:sSub>
              <m:r>
                <m:rPr>
                  <m:sty m:val="p"/>
                </m:rPr>
                <w:rPr>
                  <w:rFonts w:ascii="Cambria Math" w:hAnsi="Cambria Math" w:cs="Times New Roman"/>
                  <w:sz w:val="20"/>
                  <w:szCs w:val="20"/>
                  <w:lang w:val="en"/>
                </w:rPr>
                <m:t>+</m:t>
              </m:r>
              <m:r>
                <w:rPr>
                  <w:rFonts w:ascii="Cambria Math" w:hAnsi="Cambria Math" w:cs="Times New Roman"/>
                  <w:sz w:val="20"/>
                  <w:szCs w:val="20"/>
                  <w:lang w:val="en"/>
                </w:rPr>
                <m:t>ε</m:t>
              </m:r>
            </m:e>
          </m:d>
        </m:oMath>
      </m:oMathPara>
    </w:p>
    <w:p w14:paraId="38D9134D" w14:textId="68827107" w:rsidR="005C2D93" w:rsidRPr="000C043B" w:rsidRDefault="00CF2583" w:rsidP="000C043B">
      <w:pPr>
        <w:pStyle w:val="ListParagraph"/>
        <w:numPr>
          <w:ilvl w:val="0"/>
          <w:numId w:val="15"/>
        </w:numPr>
        <w:rPr>
          <w:rFonts w:ascii="Times New Roman" w:hAnsi="Times New Roman" w:cs="Times New Roman"/>
          <w:sz w:val="20"/>
          <w:szCs w:val="20"/>
          <w:lang w:val="en"/>
        </w:rPr>
      </w:pPr>
      <w:r>
        <w:rPr>
          <w:rFonts w:ascii="Times New Roman" w:hAnsi="Times New Roman" w:cs="Times New Roman"/>
          <w:sz w:val="20"/>
          <w:szCs w:val="20"/>
          <w:lang w:val="en"/>
        </w:rPr>
        <w:t xml:space="preserve"> </w:t>
      </w:r>
      <w:r w:rsidR="005C2D93" w:rsidRPr="000C043B">
        <w:rPr>
          <w:rFonts w:ascii="Times New Roman" w:hAnsi="Times New Roman" w:cs="Times New Roman"/>
          <w:sz w:val="20"/>
          <w:szCs w:val="20"/>
          <w:lang w:val="en"/>
        </w:rPr>
        <w:t xml:space="preserve">Prevalence filter: retain taxa with </w:t>
      </w:r>
      <m:oMath>
        <m:r>
          <m:rPr>
            <m:sty m:val="p"/>
          </m:rPr>
          <w:rPr>
            <w:rFonts w:ascii="Cambria Math" w:hAnsi="Cambria Math" w:cs="Times New Roman"/>
            <w:sz w:val="20"/>
            <w:szCs w:val="20"/>
            <w:lang w:val="en"/>
          </w:rPr>
          <m:t>Pr</m:t>
        </m:r>
        <m:d>
          <m:dPr>
            <m:ctrlPr>
              <w:rPr>
                <w:rFonts w:ascii="Cambria Math" w:hAnsi="Cambria Math" w:cs="Times New Roman"/>
                <w:sz w:val="20"/>
                <w:szCs w:val="20"/>
                <w:lang w:val="en"/>
              </w:rPr>
            </m:ctrlPr>
          </m:dPr>
          <m:e>
            <m:r>
              <m:rPr>
                <m:sty m:val="p"/>
              </m:rPr>
              <w:rPr>
                <w:rFonts w:ascii="Cambria Math" w:hAnsi="Cambria Math" w:cs="Times New Roman"/>
                <w:sz w:val="20"/>
                <w:szCs w:val="20"/>
                <w:lang w:val="en"/>
              </w:rPr>
              <m:t>RA&gt;</m:t>
            </m:r>
            <m:r>
              <w:rPr>
                <w:rFonts w:ascii="Cambria Math" w:hAnsi="Cambria Math" w:cs="Times New Roman"/>
                <w:sz w:val="20"/>
                <w:szCs w:val="20"/>
                <w:lang w:val="en"/>
              </w:rPr>
              <m:t>1</m:t>
            </m:r>
            <m:r>
              <m:rPr>
                <m:sty m:val="p"/>
              </m:rPr>
              <w:rPr>
                <w:rFonts w:ascii="Cambria Math" w:hAnsi="Cambria Math" w:cs="Times New Roman"/>
                <w:sz w:val="20"/>
                <w:szCs w:val="20"/>
                <w:lang w:val="en"/>
              </w:rPr>
              <m:t>×</m:t>
            </m:r>
            <m:sSup>
              <m:sSupPr>
                <m:ctrlPr>
                  <w:rPr>
                    <w:rFonts w:ascii="Cambria Math" w:hAnsi="Cambria Math" w:cs="Times New Roman"/>
                    <w:sz w:val="20"/>
                    <w:szCs w:val="20"/>
                    <w:lang w:val="en"/>
                  </w:rPr>
                </m:ctrlPr>
              </m:sSupPr>
              <m:e>
                <m:r>
                  <w:rPr>
                    <w:rFonts w:ascii="Cambria Math" w:hAnsi="Cambria Math" w:cs="Times New Roman"/>
                    <w:sz w:val="20"/>
                    <w:szCs w:val="20"/>
                    <w:lang w:val="en"/>
                  </w:rPr>
                  <m:t>10</m:t>
                </m:r>
              </m:e>
              <m:sup>
                <m:r>
                  <m:rPr>
                    <m:sty m:val="p"/>
                  </m:rPr>
                  <w:rPr>
                    <w:rFonts w:ascii="Cambria Math" w:hAnsi="Cambria Math" w:cs="Times New Roman"/>
                    <w:sz w:val="20"/>
                    <w:szCs w:val="20"/>
                    <w:lang w:val="en"/>
                  </w:rPr>
                  <m:t>-</m:t>
                </m:r>
                <m:r>
                  <w:rPr>
                    <w:rFonts w:ascii="Cambria Math" w:hAnsi="Cambria Math" w:cs="Times New Roman"/>
                    <w:sz w:val="20"/>
                    <w:szCs w:val="20"/>
                    <w:lang w:val="en"/>
                  </w:rPr>
                  <m:t>4</m:t>
                </m:r>
              </m:sup>
            </m:sSup>
          </m:e>
        </m:d>
        <m:r>
          <m:rPr>
            <m:sty m:val="p"/>
          </m:rPr>
          <w:rPr>
            <w:rFonts w:ascii="Cambria Math" w:hAnsi="Cambria Math" w:cs="Times New Roman"/>
            <w:sz w:val="20"/>
            <w:szCs w:val="20"/>
            <w:lang w:val="en"/>
          </w:rPr>
          <m:t>≥</m:t>
        </m:r>
        <m:r>
          <w:rPr>
            <w:rFonts w:ascii="Cambria Math" w:hAnsi="Cambria Math" w:cs="Times New Roman"/>
            <w:sz w:val="20"/>
            <w:szCs w:val="20"/>
            <w:lang w:val="en"/>
          </w:rPr>
          <m:t>5</m:t>
        </m:r>
        <m:r>
          <m:rPr>
            <m:sty m:val="p"/>
          </m:rPr>
          <w:rPr>
            <w:rFonts w:ascii="Cambria Math" w:hAnsi="Cambria Math" w:cs="Times New Roman"/>
            <w:sz w:val="20"/>
            <w:szCs w:val="20"/>
            <w:lang w:val="en"/>
          </w:rPr>
          <m:t>%</m:t>
        </m:r>
      </m:oMath>
      <w:r w:rsidR="005C2D93" w:rsidRPr="000C043B">
        <w:rPr>
          <w:rFonts w:ascii="Times New Roman" w:hAnsi="Times New Roman" w:cs="Times New Roman"/>
          <w:sz w:val="20"/>
          <w:szCs w:val="20"/>
          <w:lang w:val="en"/>
        </w:rPr>
        <w:t xml:space="preserve"> of samples and non-zero CLR variance.</w:t>
      </w:r>
    </w:p>
    <w:p w14:paraId="7AC64B42" w14:textId="5C176356" w:rsidR="005C2D93" w:rsidRPr="005C2D93" w:rsidRDefault="005C2D93" w:rsidP="005C2D93">
      <w:pPr>
        <w:numPr>
          <w:ilvl w:val="0"/>
          <w:numId w:val="15"/>
        </w:num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Design alignment: build the design matrix </w:t>
      </w:r>
      <w:r w:rsidR="008D2388" w:rsidRPr="008D2388">
        <w:rPr>
          <w:rFonts w:ascii="Times New Roman" w:hAnsi="Times New Roman" w:cs="Times New Roman"/>
          <w:i/>
          <w:iCs/>
          <w:sz w:val="20"/>
          <w:szCs w:val="20"/>
          <w:lang w:val="en"/>
        </w:rPr>
        <w:t>X</w:t>
      </w:r>
      <w:r w:rsidRPr="005C2D93">
        <w:rPr>
          <w:rFonts w:ascii="Times New Roman" w:hAnsi="Times New Roman" w:cs="Times New Roman"/>
          <w:sz w:val="20"/>
          <w:szCs w:val="20"/>
          <w:lang w:val="en"/>
        </w:rPr>
        <w:t xml:space="preserve"> with Group + covariates (Age, Sex, BMI, Laxatives, collection_method); use complete-case rows so </w:t>
      </w:r>
      <m:oMath>
        <m:sSub>
          <m:sSubPr>
            <m:ctrlPr>
              <w:rPr>
                <w:rFonts w:ascii="Cambria Math" w:hAnsi="Cambria Math" w:cs="Times New Roman"/>
                <w:sz w:val="20"/>
                <w:szCs w:val="20"/>
                <w:lang w:val="en"/>
              </w:rPr>
            </m:ctrlPr>
          </m:sSubPr>
          <m:e>
            <m:r>
              <w:rPr>
                <w:rFonts w:ascii="Cambria Math" w:hAnsi="Cambria Math" w:cs="Times New Roman"/>
                <w:sz w:val="20"/>
                <w:szCs w:val="20"/>
                <w:lang w:val="en"/>
              </w:rPr>
              <m:t>n</m:t>
            </m:r>
          </m:e>
          <m:sub>
            <m:r>
              <m:rPr>
                <m:nor/>
              </m:rPr>
              <w:rPr>
                <w:rFonts w:ascii="Times New Roman" w:hAnsi="Times New Roman" w:cs="Times New Roman"/>
                <w:sz w:val="20"/>
                <w:szCs w:val="20"/>
                <w:lang w:val="en"/>
              </w:rPr>
              <m:t>rows</m:t>
            </m:r>
          </m:sub>
        </m:sSub>
        <m:d>
          <m:dPr>
            <m:ctrlPr>
              <w:rPr>
                <w:rFonts w:ascii="Cambria Math" w:hAnsi="Cambria Math" w:cs="Times New Roman"/>
                <w:sz w:val="20"/>
                <w:szCs w:val="20"/>
                <w:lang w:val="en"/>
              </w:rPr>
            </m:ctrlPr>
          </m:dPr>
          <m:e>
            <m:r>
              <w:rPr>
                <w:rFonts w:ascii="Cambria Math" w:hAnsi="Cambria Math" w:cs="Times New Roman"/>
                <w:sz w:val="20"/>
                <w:szCs w:val="20"/>
                <w:lang w:val="en"/>
              </w:rPr>
              <m:t>X</m:t>
            </m:r>
          </m:e>
        </m:d>
        <m:r>
          <m:rPr>
            <m:sty m:val="p"/>
          </m:rPr>
          <w:rPr>
            <w:rFonts w:ascii="Cambria Math" w:hAnsi="Cambria Math" w:cs="Times New Roman"/>
            <w:sz w:val="20"/>
            <w:szCs w:val="20"/>
            <w:lang w:val="en"/>
          </w:rPr>
          <m:t>=</m:t>
        </m:r>
        <m:sSub>
          <m:sSubPr>
            <m:ctrlPr>
              <w:rPr>
                <w:rFonts w:ascii="Cambria Math" w:hAnsi="Cambria Math" w:cs="Times New Roman"/>
                <w:sz w:val="20"/>
                <w:szCs w:val="20"/>
                <w:lang w:val="en"/>
              </w:rPr>
            </m:ctrlPr>
          </m:sSubPr>
          <m:e>
            <m:r>
              <w:rPr>
                <w:rFonts w:ascii="Cambria Math" w:hAnsi="Cambria Math" w:cs="Times New Roman"/>
                <w:sz w:val="20"/>
                <w:szCs w:val="20"/>
                <w:lang w:val="en"/>
              </w:rPr>
              <m:t>n</m:t>
            </m:r>
          </m:e>
          <m:sub>
            <m:r>
              <m:rPr>
                <m:nor/>
              </m:rPr>
              <w:rPr>
                <w:rFonts w:ascii="Times New Roman" w:hAnsi="Times New Roman" w:cs="Times New Roman"/>
                <w:sz w:val="20"/>
                <w:szCs w:val="20"/>
                <w:lang w:val="en"/>
              </w:rPr>
              <m:t>samples</m:t>
            </m:r>
          </m:sub>
        </m:sSub>
      </m:oMath>
      <w:r w:rsidRPr="005C2D93">
        <w:rPr>
          <w:rFonts w:ascii="Times New Roman" w:hAnsi="Times New Roman" w:cs="Times New Roman"/>
          <w:sz w:val="20"/>
          <w:szCs w:val="20"/>
          <w:lang w:val="en"/>
        </w:rPr>
        <w:t>.</w:t>
      </w:r>
    </w:p>
    <w:p w14:paraId="24421E76" w14:textId="3F46B5A2" w:rsidR="005C2D93" w:rsidRPr="005C2D93" w:rsidRDefault="005C2D93" w:rsidP="005C2D93">
      <w:pPr>
        <w:numPr>
          <w:ilvl w:val="0"/>
          <w:numId w:val="15"/>
        </w:num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Model and test: fit gene-wise linear models with empirical-Bayes moderation (limma), testing the Group coefficient (case </w:t>
      </w:r>
      <w:r w:rsidR="00882A99">
        <w:rPr>
          <w:rFonts w:ascii="Times New Roman" w:hAnsi="Times New Roman" w:cs="Times New Roman"/>
          <w:sz w:val="20"/>
          <w:szCs w:val="20"/>
          <w:lang w:val="en"/>
        </w:rPr>
        <w:t>vs.</w:t>
      </w:r>
      <w:r w:rsidRPr="005C2D93">
        <w:rPr>
          <w:rFonts w:ascii="Times New Roman" w:hAnsi="Times New Roman" w:cs="Times New Roman"/>
          <w:sz w:val="20"/>
          <w:szCs w:val="20"/>
          <w:lang w:val="en"/>
        </w:rPr>
        <w:t xml:space="preserve"> control):</w:t>
      </w:r>
    </w:p>
    <w:p w14:paraId="17975588" w14:textId="6FAC2EA6" w:rsidR="005C2D93" w:rsidRPr="00E13D9C" w:rsidRDefault="00000000" w:rsidP="005C2D93">
      <w:pPr>
        <w:rPr>
          <w:rFonts w:ascii="Times New Roman" w:hAnsi="Times New Roman" w:cs="Times New Roman"/>
          <w:sz w:val="20"/>
          <w:szCs w:val="20"/>
          <w:lang w:val="en"/>
        </w:rPr>
      </w:pPr>
      <m:oMathPara>
        <m:oMathParaPr>
          <m:jc m:val="center"/>
        </m:oMathParaPr>
        <m:oMath>
          <m:sSub>
            <m:sSubPr>
              <m:ctrlPr>
                <w:rPr>
                  <w:rFonts w:ascii="Cambria Math" w:hAnsi="Cambria Math" w:cs="Times New Roman"/>
                  <w:sz w:val="20"/>
                  <w:szCs w:val="20"/>
                  <w:lang w:val="en"/>
                </w:rPr>
              </m:ctrlPr>
            </m:sSubPr>
            <m:e>
              <m:r>
                <w:rPr>
                  <w:rFonts w:ascii="Cambria Math" w:hAnsi="Cambria Math" w:cs="Times New Roman"/>
                  <w:sz w:val="20"/>
                  <w:szCs w:val="20"/>
                  <w:lang w:val="en"/>
                </w:rPr>
                <m:t>y</m:t>
              </m:r>
            </m:e>
            <m:sub>
              <m:r>
                <w:rPr>
                  <w:rFonts w:ascii="Cambria Math" w:hAnsi="Cambria Math" w:cs="Times New Roman"/>
                  <w:sz w:val="20"/>
                  <w:szCs w:val="20"/>
                  <w:lang w:val="en"/>
                </w:rPr>
                <m:t>gi</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w:rPr>
                  <w:rFonts w:ascii="Cambria Math" w:hAnsi="Cambria Math" w:cs="Times New Roman"/>
                  <w:sz w:val="20"/>
                  <w:szCs w:val="20"/>
                  <w:lang w:val="en"/>
                </w:rPr>
                <m:t>β</m:t>
              </m:r>
            </m:e>
            <m:sub>
              <m:r>
                <w:rPr>
                  <w:rFonts w:ascii="Cambria Math" w:hAnsi="Cambria Math" w:cs="Times New Roman"/>
                  <w:sz w:val="20"/>
                  <w:szCs w:val="20"/>
                  <w:lang w:val="en"/>
                </w:rPr>
                <m:t>0g</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w:rPr>
                  <w:rFonts w:ascii="Cambria Math" w:hAnsi="Cambria Math" w:cs="Times New Roman"/>
                  <w:sz w:val="20"/>
                  <w:szCs w:val="20"/>
                  <w:lang w:val="en"/>
                </w:rPr>
                <m:t>β</m:t>
              </m:r>
            </m:e>
            <m:sub>
              <m:r>
                <w:rPr>
                  <w:rFonts w:ascii="Cambria Math" w:hAnsi="Cambria Math" w:cs="Times New Roman"/>
                  <w:sz w:val="20"/>
                  <w:szCs w:val="20"/>
                  <w:lang w:val="en"/>
                </w:rPr>
                <m:t>1g</m:t>
              </m:r>
            </m:sub>
          </m:sSub>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m:rPr>
                  <m:nor/>
                </m:rPr>
                <w:rPr>
                  <w:rFonts w:ascii="Times New Roman" w:hAnsi="Times New Roman" w:cs="Times New Roman"/>
                  <w:sz w:val="20"/>
                  <w:szCs w:val="20"/>
                  <w:lang w:val="en"/>
                </w:rPr>
                <m:t>Group</m:t>
              </m:r>
            </m:e>
            <m:sub>
              <m:r>
                <w:rPr>
                  <w:rFonts w:ascii="Cambria Math" w:hAnsi="Cambria Math" w:cs="Times New Roman"/>
                  <w:sz w:val="20"/>
                  <w:szCs w:val="20"/>
                  <w:lang w:val="en"/>
                </w:rPr>
                <m:t>i</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sSubSup>
            <m:sSubSupPr>
              <m:ctrlPr>
                <w:rPr>
                  <w:rFonts w:ascii="Cambria Math" w:hAnsi="Cambria Math" w:cs="Times New Roman"/>
                  <w:sz w:val="20"/>
                  <w:szCs w:val="20"/>
                  <w:lang w:val="en"/>
                </w:rPr>
              </m:ctrlPr>
            </m:sSubSupPr>
            <m:e>
              <m:r>
                <m:rPr>
                  <m:sty m:val="p"/>
                </m:rPr>
                <w:rPr>
                  <w:rFonts w:ascii="Cambria Math" w:hAnsi="Cambria Math" w:cs="Times New Roman"/>
                  <w:sz w:val="20"/>
                  <w:szCs w:val="20"/>
                  <w:lang w:val="en"/>
                </w:rPr>
                <m:t>γ</m:t>
              </m:r>
            </m:e>
            <m:sub>
              <m:r>
                <w:rPr>
                  <w:rFonts w:ascii="Cambria Math" w:hAnsi="Cambria Math" w:cs="Times New Roman"/>
                  <w:sz w:val="20"/>
                  <w:szCs w:val="20"/>
                  <w:lang w:val="en"/>
                </w:rPr>
                <m:t>g</m:t>
              </m:r>
            </m:sub>
            <m:sup>
              <m:r>
                <m:rPr>
                  <m:sty m:val="p"/>
                </m:rPr>
                <w:rPr>
                  <w:rFonts w:ascii="Cambria Math" w:hAnsi="Cambria Math" w:cs="Times New Roman"/>
                  <w:sz w:val="20"/>
                  <w:szCs w:val="20"/>
                  <w:lang w:val="en"/>
                </w:rPr>
                <m:t>⊤</m:t>
              </m:r>
            </m:sup>
          </m:sSubSup>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m:t>
              </m:r>
            </m:e>
            <m:sub>
              <m:r>
                <w:rPr>
                  <w:rFonts w:ascii="Cambria Math" w:hAnsi="Cambria Math" w:cs="Times New Roman"/>
                  <w:sz w:val="20"/>
                  <w:szCs w:val="20"/>
                  <w:lang w:val="en"/>
                </w:rPr>
                <m:t>i</m:t>
              </m:r>
            </m:sub>
          </m:sSub>
          <m:r>
            <w:rPr>
              <w:rFonts w:ascii="Cambria Math" w:hAnsi="Cambria Math" w:cs="Times New Roman"/>
              <w:sz w:val="20"/>
              <w:szCs w:val="20"/>
              <w:lang w:val="en"/>
            </w:rPr>
            <m:t> </m:t>
          </m:r>
          <m:r>
            <m:rPr>
              <m:sty m:val="p"/>
            </m:rPr>
            <w:rPr>
              <w:rFonts w:ascii="Cambria Math" w:hAnsi="Cambria Math" w:cs="Times New Roman"/>
              <w:sz w:val="20"/>
              <w:szCs w:val="20"/>
              <w:lang w:val="en"/>
            </w:rPr>
            <m:t>+</m:t>
          </m:r>
          <m:r>
            <w:rPr>
              <w:rFonts w:ascii="Cambria Math" w:hAnsi="Cambria Math" w:cs="Times New Roman"/>
              <w:sz w:val="20"/>
              <w:szCs w:val="20"/>
              <w:lang w:val="en"/>
            </w:rPr>
            <m:t> </m:t>
          </m:r>
          <m:sSub>
            <m:sSubPr>
              <m:ctrlPr>
                <w:rPr>
                  <w:rFonts w:ascii="Cambria Math" w:hAnsi="Cambria Math" w:cs="Times New Roman"/>
                  <w:sz w:val="20"/>
                  <w:szCs w:val="20"/>
                  <w:lang w:val="en"/>
                </w:rPr>
              </m:ctrlPr>
            </m:sSubPr>
            <m:e>
              <m:r>
                <w:rPr>
                  <w:rFonts w:ascii="Cambria Math" w:hAnsi="Cambria Math" w:cs="Times New Roman"/>
                  <w:sz w:val="20"/>
                  <w:szCs w:val="20"/>
                  <w:lang w:val="en"/>
                </w:rPr>
                <m:t>ε</m:t>
              </m:r>
            </m:e>
            <m:sub>
              <m:r>
                <w:rPr>
                  <w:rFonts w:ascii="Cambria Math" w:hAnsi="Cambria Math" w:cs="Times New Roman"/>
                  <w:sz w:val="20"/>
                  <w:szCs w:val="20"/>
                  <w:lang w:val="en"/>
                </w:rPr>
                <m:t>gi</m:t>
              </m:r>
            </m:sub>
          </m:sSub>
        </m:oMath>
      </m:oMathPara>
    </w:p>
    <w:p w14:paraId="23B912E2" w14:textId="3ECA0CA6"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where </w:t>
      </w:r>
      <m:oMath>
        <m:sSub>
          <m:sSubPr>
            <m:ctrlPr>
              <w:rPr>
                <w:rFonts w:ascii="Cambria Math" w:hAnsi="Cambria Math" w:cs="Times New Roman"/>
                <w:sz w:val="20"/>
                <w:szCs w:val="20"/>
                <w:lang w:val="en"/>
              </w:rPr>
            </m:ctrlPr>
          </m:sSubPr>
          <m:e>
            <m:r>
              <w:rPr>
                <w:rFonts w:ascii="Cambria Math" w:hAnsi="Cambria Math" w:cs="Times New Roman"/>
                <w:sz w:val="20"/>
                <w:szCs w:val="20"/>
                <w:lang w:val="en"/>
              </w:rPr>
              <m:t>y</m:t>
            </m:r>
          </m:e>
          <m:sub>
            <m:r>
              <w:rPr>
                <w:rFonts w:ascii="Cambria Math" w:hAnsi="Cambria Math" w:cs="Times New Roman"/>
                <w:sz w:val="20"/>
                <w:szCs w:val="20"/>
                <w:lang w:val="en"/>
              </w:rPr>
              <m:t>gi</m:t>
            </m:r>
          </m:sub>
        </m:sSub>
      </m:oMath>
      <w:r w:rsidRPr="005C2D93">
        <w:rPr>
          <w:rFonts w:ascii="Times New Roman" w:hAnsi="Times New Roman" w:cs="Times New Roman"/>
          <w:sz w:val="20"/>
          <w:szCs w:val="20"/>
          <w:lang w:val="en"/>
        </w:rPr>
        <w:t xml:space="preserve"> is the CLR abundance of taxon </w:t>
      </w:r>
      <w:r w:rsidR="008D2388" w:rsidRPr="008D2388">
        <w:rPr>
          <w:rFonts w:ascii="Times New Roman" w:hAnsi="Times New Roman" w:cs="Times New Roman"/>
          <w:i/>
          <w:iCs/>
          <w:sz w:val="20"/>
          <w:szCs w:val="20"/>
          <w:lang w:val="en"/>
        </w:rPr>
        <w:t>g</w:t>
      </w:r>
      <w:r w:rsidR="008D2388">
        <w:rPr>
          <w:rFonts w:ascii="Times New Roman" w:hAnsi="Times New Roman" w:cs="Times New Roman"/>
          <w:sz w:val="20"/>
          <w:szCs w:val="20"/>
          <w:lang w:val="en"/>
        </w:rPr>
        <w:t xml:space="preserve"> </w:t>
      </w:r>
      <w:r w:rsidRPr="005C2D93">
        <w:rPr>
          <w:rFonts w:ascii="Times New Roman" w:hAnsi="Times New Roman" w:cs="Times New Roman"/>
          <w:sz w:val="20"/>
          <w:szCs w:val="20"/>
          <w:lang w:val="en"/>
        </w:rPr>
        <w:t xml:space="preserve">in sample </w:t>
      </w:r>
      <w:r w:rsidR="008D2388" w:rsidRPr="008D2388">
        <w:rPr>
          <w:rFonts w:ascii="Times New Roman" w:hAnsi="Times New Roman" w:cs="Times New Roman"/>
          <w:i/>
          <w:iCs/>
          <w:sz w:val="20"/>
          <w:szCs w:val="20"/>
          <w:lang w:val="en"/>
        </w:rPr>
        <w:t>i</w:t>
      </w:r>
      <w:r w:rsidRPr="005C2D93">
        <w:rPr>
          <w:rFonts w:ascii="Times New Roman" w:hAnsi="Times New Roman" w:cs="Times New Roman"/>
          <w:sz w:val="20"/>
          <w:szCs w:val="20"/>
          <w:lang w:val="en"/>
        </w:rPr>
        <w:t xml:space="preserve">, </w:t>
      </w:r>
      <m:oMath>
        <m:sSub>
          <m:sSubPr>
            <m:ctrlPr>
              <w:rPr>
                <w:rFonts w:ascii="Cambria Math" w:hAnsi="Cambria Math" w:cs="Times New Roman"/>
                <w:sz w:val="20"/>
                <w:szCs w:val="20"/>
                <w:lang w:val="en"/>
              </w:rPr>
            </m:ctrlPr>
          </m:sSubPr>
          <m:e>
            <m:r>
              <m:rPr>
                <m:sty m:val="p"/>
              </m:rPr>
              <w:rPr>
                <w:rFonts w:ascii="Cambria Math" w:hAnsi="Cambria Math" w:cs="Times New Roman"/>
                <w:sz w:val="20"/>
                <w:szCs w:val="20"/>
                <w:lang w:val="en"/>
              </w:rPr>
              <m:t>C</m:t>
            </m:r>
          </m:e>
          <m:sub>
            <m:r>
              <w:rPr>
                <w:rFonts w:ascii="Cambria Math" w:hAnsi="Cambria Math" w:cs="Times New Roman"/>
                <w:sz w:val="20"/>
                <w:szCs w:val="20"/>
                <w:lang w:val="en"/>
              </w:rPr>
              <m:t>i</m:t>
            </m:r>
          </m:sub>
        </m:sSub>
      </m:oMath>
      <w:r w:rsidRPr="005C2D93">
        <w:rPr>
          <w:rFonts w:ascii="Times New Roman" w:hAnsi="Times New Roman" w:cs="Times New Roman"/>
          <w:sz w:val="20"/>
          <w:szCs w:val="20"/>
          <w:lang w:val="en"/>
        </w:rPr>
        <w:t xml:space="preserve"> are covariates, and </w:t>
      </w:r>
      <m:oMath>
        <m:sSub>
          <m:sSubPr>
            <m:ctrlPr>
              <w:rPr>
                <w:rFonts w:ascii="Cambria Math" w:hAnsi="Cambria Math" w:cs="Times New Roman"/>
                <w:sz w:val="20"/>
                <w:szCs w:val="20"/>
                <w:lang w:val="en"/>
              </w:rPr>
            </m:ctrlPr>
          </m:sSubPr>
          <m:e>
            <m:r>
              <w:rPr>
                <w:rFonts w:ascii="Cambria Math" w:hAnsi="Cambria Math" w:cs="Times New Roman"/>
                <w:sz w:val="20"/>
                <w:szCs w:val="20"/>
                <w:lang w:val="en"/>
              </w:rPr>
              <m:t>β</m:t>
            </m:r>
          </m:e>
          <m:sub>
            <m:r>
              <w:rPr>
                <w:rFonts w:ascii="Cambria Math" w:hAnsi="Cambria Math" w:cs="Times New Roman"/>
                <w:sz w:val="20"/>
                <w:szCs w:val="20"/>
                <w:lang w:val="en"/>
              </w:rPr>
              <m:t>1g</m:t>
            </m:r>
          </m:sub>
        </m:sSub>
      </m:oMath>
      <w:r w:rsidRPr="005C2D93">
        <w:rPr>
          <w:rFonts w:ascii="Times New Roman" w:hAnsi="Times New Roman" w:cs="Times New Roman"/>
          <w:sz w:val="20"/>
          <w:szCs w:val="20"/>
          <w:lang w:val="en"/>
        </w:rPr>
        <w:t xml:space="preserve"> estimates the mean difference (case </w:t>
      </w:r>
      <w:r w:rsidR="000C043B">
        <w:rPr>
          <w:rFonts w:ascii="Times New Roman" w:hAnsi="Times New Roman" w:cs="Times New Roman"/>
          <w:sz w:val="20"/>
          <w:szCs w:val="20"/>
          <w:lang w:val="en"/>
        </w:rPr>
        <w:t>-</w:t>
      </w:r>
      <w:r w:rsidRPr="005C2D93">
        <w:rPr>
          <w:rFonts w:ascii="Times New Roman" w:hAnsi="Times New Roman" w:cs="Times New Roman"/>
          <w:sz w:val="20"/>
          <w:szCs w:val="20"/>
          <w:lang w:val="en"/>
        </w:rPr>
        <w:t xml:space="preserve"> control) on the natural-log CLR scale.</w:t>
      </w:r>
    </w:p>
    <w:p w14:paraId="0E161EBA" w14:textId="33427667"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Effect sizes are reported as limma logFC (here, a difference on the ln-CLR scale; positive = higher in cases). Multiple testing used Benjamini</w:t>
      </w:r>
      <w:r w:rsidR="00CF2583">
        <w:rPr>
          <w:rFonts w:ascii="Times New Roman" w:hAnsi="Times New Roman" w:cs="Times New Roman"/>
          <w:sz w:val="20"/>
          <w:szCs w:val="20"/>
          <w:lang w:val="en"/>
        </w:rPr>
        <w:t>-</w:t>
      </w:r>
      <w:r w:rsidRPr="005C2D93">
        <w:rPr>
          <w:rFonts w:ascii="Times New Roman" w:hAnsi="Times New Roman" w:cs="Times New Roman"/>
          <w:sz w:val="20"/>
          <w:szCs w:val="20"/>
          <w:lang w:val="en"/>
        </w:rPr>
        <w:t xml:space="preserve">Hochberg (BH) FDR across taxa; </w:t>
      </w:r>
      <w:r w:rsidR="00B738AF">
        <w:rPr>
          <w:rFonts w:ascii="Times New Roman" w:hAnsi="Times New Roman" w:cs="Times New Roman"/>
          <w:sz w:val="20"/>
          <w:szCs w:val="20"/>
          <w:lang w:val="en"/>
        </w:rPr>
        <w:t>e</w:t>
      </w:r>
      <w:r w:rsidR="00B738AF" w:rsidRPr="00B738AF">
        <w:rPr>
          <w:rFonts w:ascii="Times New Roman" w:hAnsi="Times New Roman" w:cs="Times New Roman"/>
          <w:sz w:val="20"/>
          <w:szCs w:val="20"/>
          <w:lang w:val="en"/>
        </w:rPr>
        <w:t xml:space="preserve">xceedingly small </w:t>
      </w:r>
      <w:r w:rsidR="00B738AF" w:rsidRPr="00541162">
        <w:rPr>
          <w:rFonts w:ascii="Times New Roman" w:hAnsi="Times New Roman" w:cs="Times New Roman"/>
          <w:i/>
          <w:iCs/>
          <w:sz w:val="20"/>
          <w:szCs w:val="20"/>
          <w:lang w:val="en"/>
        </w:rPr>
        <w:t>P</w:t>
      </w:r>
      <w:r w:rsidR="00B738AF" w:rsidRPr="00B738AF">
        <w:rPr>
          <w:rFonts w:ascii="Times New Roman" w:hAnsi="Times New Roman" w:cs="Times New Roman"/>
          <w:sz w:val="20"/>
          <w:szCs w:val="20"/>
          <w:lang w:val="en"/>
        </w:rPr>
        <w:t>/</w:t>
      </w:r>
      <w:r w:rsidR="00B738AF" w:rsidRPr="00541162">
        <w:rPr>
          <w:rFonts w:ascii="Times New Roman" w:hAnsi="Times New Roman" w:cs="Times New Roman"/>
          <w:i/>
          <w:iCs/>
          <w:sz w:val="20"/>
          <w:szCs w:val="20"/>
          <w:lang w:val="en"/>
        </w:rPr>
        <w:t>q</w:t>
      </w:r>
      <w:r w:rsidR="00B738AF" w:rsidRPr="00B738AF">
        <w:rPr>
          <w:rFonts w:ascii="Times New Roman" w:hAnsi="Times New Roman" w:cs="Times New Roman"/>
          <w:sz w:val="20"/>
          <w:szCs w:val="20"/>
          <w:lang w:val="en"/>
        </w:rPr>
        <w:t xml:space="preserve"> are printed as “&lt;1e−16”.</w:t>
      </w:r>
      <w:r w:rsidR="00D8559D">
        <w:rPr>
          <w:rFonts w:ascii="Times New Roman" w:hAnsi="Times New Roman" w:cs="Times New Roman"/>
          <w:sz w:val="20"/>
          <w:szCs w:val="20"/>
          <w:lang w:val="en"/>
        </w:rPr>
        <w:t xml:space="preserve"> </w:t>
      </w:r>
      <w:r w:rsidR="00D8559D" w:rsidRPr="00D8559D">
        <w:rPr>
          <w:rFonts w:ascii="Times New Roman" w:hAnsi="Times New Roman" w:cs="Times New Roman"/>
          <w:sz w:val="20"/>
          <w:szCs w:val="20"/>
          <w:lang w:val="en"/>
        </w:rPr>
        <w:t>The present analysis used CLR + limma on relative abundance; no DESeq2 path is implemented in this pipeline</w:t>
      </w:r>
      <w:r w:rsidR="008D2388">
        <w:rPr>
          <w:rFonts w:ascii="Times New Roman" w:hAnsi="Times New Roman" w:cs="Times New Roman"/>
          <w:sz w:val="20"/>
          <w:szCs w:val="20"/>
          <w:lang w:val="en"/>
        </w:rPr>
        <w:t>.</w:t>
      </w:r>
    </w:p>
    <w:p w14:paraId="01A58903"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Differential abundance of microbial pathways</w:t>
      </w:r>
    </w:p>
    <w:p w14:paraId="4685D77C" w14:textId="3D002554"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HUMAnN pathway count tables were analyzed with </w:t>
      </w:r>
      <w:r w:rsidR="00882A99">
        <w:rPr>
          <w:rFonts w:ascii="Times New Roman" w:hAnsi="Times New Roman" w:cs="Times New Roman"/>
          <w:sz w:val="20"/>
          <w:szCs w:val="20"/>
          <w:lang w:val="en"/>
        </w:rPr>
        <w:t>voom–limma</w:t>
      </w:r>
      <w:r w:rsidRPr="005C2D93">
        <w:rPr>
          <w:rFonts w:ascii="Times New Roman" w:hAnsi="Times New Roman" w:cs="Times New Roman"/>
          <w:sz w:val="20"/>
          <w:szCs w:val="20"/>
          <w:lang w:val="en"/>
        </w:rPr>
        <w:t>:</w:t>
      </w:r>
    </w:p>
    <w:p w14:paraId="17A88E03" w14:textId="5399915D" w:rsidR="005C2D93" w:rsidRPr="000C043B" w:rsidRDefault="005C2D93" w:rsidP="000C043B">
      <w:pPr>
        <w:pStyle w:val="ListParagraph"/>
        <w:numPr>
          <w:ilvl w:val="0"/>
          <w:numId w:val="16"/>
        </w:numPr>
        <w:rPr>
          <w:rFonts w:ascii="Times New Roman" w:hAnsi="Times New Roman" w:cs="Times New Roman"/>
          <w:sz w:val="20"/>
          <w:szCs w:val="20"/>
          <w:lang w:val="en"/>
        </w:rPr>
      </w:pPr>
      <w:r w:rsidRPr="000C043B">
        <w:rPr>
          <w:rFonts w:ascii="Times New Roman" w:hAnsi="Times New Roman" w:cs="Times New Roman"/>
          <w:sz w:val="20"/>
          <w:szCs w:val="20"/>
          <w:lang w:val="en"/>
        </w:rPr>
        <w:t>Align samples and design as above.</w:t>
      </w:r>
    </w:p>
    <w:p w14:paraId="385CBF7D" w14:textId="77777777" w:rsidR="005C2D93" w:rsidRPr="005C2D93" w:rsidRDefault="005C2D93" w:rsidP="005C2D93">
      <w:pPr>
        <w:numPr>
          <w:ilvl w:val="0"/>
          <w:numId w:val="16"/>
        </w:numPr>
        <w:rPr>
          <w:rFonts w:ascii="Times New Roman" w:hAnsi="Times New Roman" w:cs="Times New Roman"/>
          <w:sz w:val="20"/>
          <w:szCs w:val="20"/>
          <w:lang w:val="en"/>
        </w:rPr>
      </w:pPr>
      <w:r w:rsidRPr="005C2D93">
        <w:rPr>
          <w:rFonts w:ascii="Times New Roman" w:hAnsi="Times New Roman" w:cs="Times New Roman"/>
          <w:sz w:val="20"/>
          <w:szCs w:val="20"/>
          <w:lang w:val="en"/>
        </w:rPr>
        <w:t>Library-size normalization (edgeR TMM), then voom to obtain precision-weighted log2-CPM.</w:t>
      </w:r>
    </w:p>
    <w:p w14:paraId="592AF34D" w14:textId="21DB6238" w:rsidR="005C2D93" w:rsidRPr="005C2D93" w:rsidRDefault="005C2D93" w:rsidP="005C2D93">
      <w:pPr>
        <w:numPr>
          <w:ilvl w:val="0"/>
          <w:numId w:val="16"/>
        </w:num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Fit limma models and test the Group coefficient, reporting log2 fold-change (log2FC) and BH-adjusted </w:t>
      </w:r>
      <w:r w:rsidR="008D2388" w:rsidRPr="008D2388">
        <w:rPr>
          <w:rFonts w:ascii="Times New Roman" w:hAnsi="Times New Roman" w:cs="Times New Roman"/>
          <w:i/>
          <w:iCs/>
          <w:sz w:val="20"/>
          <w:szCs w:val="20"/>
          <w:lang w:val="en"/>
        </w:rPr>
        <w:t>q</w:t>
      </w:r>
      <w:r w:rsidR="008D2388">
        <w:rPr>
          <w:rFonts w:ascii="Times New Roman" w:hAnsi="Times New Roman" w:cs="Times New Roman"/>
          <w:sz w:val="20"/>
          <w:szCs w:val="20"/>
          <w:lang w:val="en"/>
        </w:rPr>
        <w:t>.</w:t>
      </w:r>
    </w:p>
    <w:p w14:paraId="5FC4C975" w14:textId="7853CE5D"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For interpretability, we also report group-wise mean normalized abundances (CPM).</w:t>
      </w:r>
      <w:r w:rsidR="00564869">
        <w:rPr>
          <w:rFonts w:ascii="Times New Roman" w:hAnsi="Times New Roman" w:cs="Times New Roman"/>
          <w:sz w:val="20"/>
          <w:szCs w:val="20"/>
          <w:lang w:val="en"/>
        </w:rPr>
        <w:t xml:space="preserve"> </w:t>
      </w:r>
      <w:r w:rsidR="00564869" w:rsidRPr="00564869">
        <w:rPr>
          <w:rFonts w:ascii="Times New Roman" w:hAnsi="Times New Roman" w:cs="Times New Roman"/>
          <w:sz w:val="20"/>
          <w:szCs w:val="20"/>
          <w:lang w:val="en"/>
        </w:rPr>
        <w:t>Positive log2FC indicates higher in cases (constipated PD)</w:t>
      </w:r>
      <w:r w:rsidR="008D2388">
        <w:rPr>
          <w:rFonts w:ascii="Times New Roman" w:hAnsi="Times New Roman" w:cs="Times New Roman"/>
          <w:sz w:val="20"/>
          <w:szCs w:val="20"/>
          <w:lang w:val="en"/>
        </w:rPr>
        <w:t>.</w:t>
      </w:r>
      <w:r w:rsidR="00564869">
        <w:rPr>
          <w:rFonts w:ascii="Times New Roman" w:hAnsi="Times New Roman" w:cs="Times New Roman"/>
          <w:sz w:val="20"/>
          <w:szCs w:val="20"/>
          <w:lang w:val="en"/>
        </w:rPr>
        <w:t xml:space="preserve"> </w:t>
      </w:r>
    </w:p>
    <w:p w14:paraId="1B716A58"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Enterotype inference and group comparison</w:t>
      </w:r>
    </w:p>
    <w:p w14:paraId="69096777" w14:textId="056BBD72"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We summarized community structure into enterotypes using model-based clustering (mclust) on the CLR matrix reduced by PCA to the smallest number of PCs explaining </w:t>
      </w:r>
      <w:r w:rsidR="00777E4B" w:rsidRPr="00777E4B">
        <w:rPr>
          <w:rFonts w:ascii="Times New Roman" w:hAnsi="Times New Roman" w:cs="Times New Roman"/>
          <w:sz w:val="20"/>
          <w:szCs w:val="20"/>
          <w:lang w:val="en"/>
        </w:rPr>
        <w:t>≥</w:t>
      </w:r>
      <w:r w:rsidR="00777E4B">
        <w:rPr>
          <w:rFonts w:ascii="Times New Roman" w:hAnsi="Times New Roman" w:cs="Times New Roman"/>
          <w:sz w:val="20"/>
          <w:szCs w:val="20"/>
          <w:lang w:val="en"/>
        </w:rPr>
        <w:t xml:space="preserve"> </w:t>
      </w:r>
      <w:r w:rsidR="00777E4B" w:rsidRPr="00777E4B">
        <w:rPr>
          <w:rFonts w:ascii="Times New Roman" w:hAnsi="Times New Roman" w:cs="Times New Roman"/>
          <w:sz w:val="20"/>
          <w:szCs w:val="20"/>
          <w:lang w:val="en"/>
        </w:rPr>
        <w:t>8</w:t>
      </w:r>
      <w:r w:rsidR="00777E4B">
        <w:rPr>
          <w:rFonts w:ascii="Times New Roman" w:hAnsi="Times New Roman" w:cs="Times New Roman"/>
          <w:sz w:val="20"/>
          <w:szCs w:val="20"/>
          <w:lang w:val="en"/>
        </w:rPr>
        <w:t xml:space="preserve"> </w:t>
      </w:r>
      <w:r w:rsidR="00777E4B" w:rsidRPr="00777E4B">
        <w:rPr>
          <w:rFonts w:ascii="Times New Roman" w:hAnsi="Times New Roman" w:cs="Times New Roman"/>
          <w:sz w:val="20"/>
          <w:szCs w:val="20"/>
          <w:lang w:val="en"/>
        </w:rPr>
        <w:t>of variance (capped at 10 PCs). The Bayesian</w:t>
      </w:r>
      <w:r w:rsidR="00777E4B">
        <w:rPr>
          <w:rFonts w:ascii="Times New Roman" w:hAnsi="Times New Roman" w:cs="Times New Roman"/>
          <w:sz w:val="20"/>
          <w:szCs w:val="20"/>
          <w:lang w:val="en"/>
        </w:rPr>
        <w:t xml:space="preserve"> </w:t>
      </w:r>
      <w:r w:rsidRPr="005C2D93">
        <w:rPr>
          <w:rFonts w:ascii="Times New Roman" w:hAnsi="Times New Roman" w:cs="Times New Roman"/>
          <w:sz w:val="20"/>
          <w:szCs w:val="20"/>
          <w:lang w:val="en"/>
        </w:rPr>
        <w:t xml:space="preserve">Information Criterion (BIC) selected the number of clusters </w:t>
      </w:r>
      <w:r w:rsidR="00777E4B" w:rsidRPr="00777E4B">
        <w:rPr>
          <w:rFonts w:ascii="Times New Roman" w:hAnsi="Times New Roman" w:cs="Times New Roman"/>
          <w:i/>
          <w:iCs/>
          <w:sz w:val="20"/>
          <w:szCs w:val="20"/>
          <w:lang w:val="en"/>
        </w:rPr>
        <w:t>k</w:t>
      </w:r>
      <w:r w:rsidR="00652710">
        <w:rPr>
          <w:rFonts w:ascii="Times New Roman" w:hAnsi="Times New Roman" w:cs="Times New Roman"/>
          <w:sz w:val="20"/>
          <w:szCs w:val="20"/>
          <w:lang w:val="en"/>
        </w:rPr>
        <w:t>, a</w:t>
      </w:r>
      <w:r w:rsidR="00652710" w:rsidRPr="00652710">
        <w:rPr>
          <w:rFonts w:ascii="Times New Roman" w:hAnsi="Times New Roman" w:cs="Times New Roman"/>
          <w:sz w:val="20"/>
          <w:szCs w:val="20"/>
          <w:lang w:val="en"/>
        </w:rPr>
        <w:t>ll clustering used seed = 42.</w:t>
      </w:r>
      <w:r w:rsidRPr="005C2D93">
        <w:rPr>
          <w:rFonts w:ascii="Times New Roman" w:hAnsi="Times New Roman" w:cs="Times New Roman"/>
          <w:sz w:val="20"/>
          <w:szCs w:val="20"/>
          <w:lang w:val="en"/>
        </w:rPr>
        <w:t xml:space="preserve"> If model-based clustering failed to converge, we used </w:t>
      </w:r>
      <w:r w:rsidRPr="00541162">
        <w:rPr>
          <w:rFonts w:ascii="Times New Roman" w:hAnsi="Times New Roman" w:cs="Times New Roman"/>
          <w:i/>
          <w:iCs/>
          <w:sz w:val="20"/>
          <w:szCs w:val="20"/>
          <w:lang w:val="en"/>
        </w:rPr>
        <w:t>k</w:t>
      </w:r>
      <w:r w:rsidRPr="005C2D93">
        <w:rPr>
          <w:rFonts w:ascii="Times New Roman" w:hAnsi="Times New Roman" w:cs="Times New Roman"/>
          <w:sz w:val="20"/>
          <w:szCs w:val="20"/>
          <w:lang w:val="en"/>
        </w:rPr>
        <w:t xml:space="preserve">-means (centers </w:t>
      </w:r>
      <m:oMath>
        <m:r>
          <w:rPr>
            <w:rFonts w:ascii="Cambria Math" w:hAnsi="Cambria Math" w:cs="Times New Roman"/>
            <w:sz w:val="20"/>
            <w:szCs w:val="20"/>
            <w:lang w:val="en"/>
          </w:rPr>
          <m:t>k</m:t>
        </m:r>
        <m:r>
          <m:rPr>
            <m:sty m:val="p"/>
          </m:rPr>
          <w:rPr>
            <w:rFonts w:ascii="Cambria Math" w:hAnsi="Cambria Math" w:cs="Times New Roman"/>
            <w:sz w:val="20"/>
            <w:szCs w:val="20"/>
            <w:lang w:val="en"/>
          </w:rPr>
          <m:t>=</m:t>
        </m:r>
        <m:r>
          <w:rPr>
            <w:rFonts w:ascii="Cambria Math" w:hAnsi="Cambria Math" w:cs="Times New Roman"/>
            <w:sz w:val="20"/>
            <w:szCs w:val="20"/>
            <w:lang w:val="en"/>
          </w:rPr>
          <m:t>2</m:t>
        </m:r>
        <m:r>
          <m:rPr>
            <m:sty m:val="p"/>
          </m:rPr>
          <w:rPr>
            <w:rFonts w:ascii="Cambria Math" w:hAnsi="Cambria Math" w:cs="Times New Roman"/>
            <w:sz w:val="20"/>
            <w:szCs w:val="20"/>
            <w:lang w:val="en"/>
          </w:rPr>
          <m:t>,…,</m:t>
        </m:r>
        <m:r>
          <w:rPr>
            <w:rFonts w:ascii="Cambria Math" w:hAnsi="Cambria Math" w:cs="Times New Roman"/>
            <w:sz w:val="20"/>
            <w:szCs w:val="20"/>
            <w:lang w:val="en"/>
          </w:rPr>
          <m:t>6</m:t>
        </m:r>
      </m:oMath>
      <w:r w:rsidRPr="005C2D93">
        <w:rPr>
          <w:rFonts w:ascii="Times New Roman" w:hAnsi="Times New Roman" w:cs="Times New Roman"/>
          <w:sz w:val="20"/>
          <w:szCs w:val="20"/>
          <w:lang w:val="en"/>
        </w:rPr>
        <w:t>) with model selection by mean silhouette; the chosen approach and selection metrics were exported.</w:t>
      </w:r>
    </w:p>
    <w:p w14:paraId="28D33499" w14:textId="6E1F701D" w:rsidR="005C2D93" w:rsidRP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t xml:space="preserve">Differences in enterotype distributions between groups were tested using Fisher’s exact test on the enterotype </w:t>
      </w:r>
      <w:r w:rsidR="00777E4B">
        <w:rPr>
          <w:rFonts w:ascii="Times New Roman" w:hAnsi="Times New Roman" w:cs="Times New Roman"/>
          <w:sz w:val="20"/>
          <w:szCs w:val="20"/>
          <w:lang w:val="en"/>
        </w:rPr>
        <w:t xml:space="preserve">X </w:t>
      </w:r>
      <w:r w:rsidRPr="005C2D93">
        <w:rPr>
          <w:rFonts w:ascii="Times New Roman" w:hAnsi="Times New Roman" w:cs="Times New Roman"/>
          <w:sz w:val="20"/>
          <w:szCs w:val="20"/>
          <w:lang w:val="en"/>
        </w:rPr>
        <w:t>Group contingency table.</w:t>
      </w:r>
    </w:p>
    <w:p w14:paraId="4995886E"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Multiple testing, reporting, and diagnostics</w:t>
      </w:r>
    </w:p>
    <w:p w14:paraId="089FBC4E" w14:textId="30A5D4BA" w:rsidR="005C2D93" w:rsidRDefault="005C2D93" w:rsidP="005C2D93">
      <w:pPr>
        <w:rPr>
          <w:rFonts w:ascii="Times New Roman" w:hAnsi="Times New Roman" w:cs="Times New Roman"/>
          <w:sz w:val="20"/>
          <w:szCs w:val="20"/>
          <w:lang w:val="en"/>
        </w:rPr>
      </w:pPr>
      <w:r w:rsidRPr="005C2D93">
        <w:rPr>
          <w:rFonts w:ascii="Times New Roman" w:hAnsi="Times New Roman" w:cs="Times New Roman"/>
          <w:sz w:val="20"/>
          <w:szCs w:val="20"/>
          <w:lang w:val="en"/>
        </w:rPr>
        <w:lastRenderedPageBreak/>
        <w:t xml:space="preserve">All families of feature-level tests (taxa, pathways) controlled BH FDR; we report both </w:t>
      </w:r>
      <w:r w:rsidRPr="00541162">
        <w:rPr>
          <w:rFonts w:ascii="Times New Roman" w:hAnsi="Times New Roman" w:cs="Times New Roman"/>
          <w:i/>
          <w:iCs/>
          <w:sz w:val="20"/>
          <w:szCs w:val="20"/>
          <w:lang w:val="en"/>
        </w:rPr>
        <w:t>P</w:t>
      </w:r>
      <w:r w:rsidRPr="005C2D93">
        <w:rPr>
          <w:rFonts w:ascii="Times New Roman" w:hAnsi="Times New Roman" w:cs="Times New Roman"/>
          <w:sz w:val="20"/>
          <w:szCs w:val="20"/>
          <w:lang w:val="en"/>
        </w:rPr>
        <w:t xml:space="preserve"> and </w:t>
      </w:r>
      <m:oMath>
        <m:r>
          <w:rPr>
            <w:rFonts w:ascii="Cambria Math" w:hAnsi="Cambria Math" w:cs="Times New Roman"/>
            <w:sz w:val="20"/>
            <w:szCs w:val="20"/>
            <w:lang w:val="en"/>
          </w:rPr>
          <m:t>q</m:t>
        </m:r>
      </m:oMath>
      <w:r w:rsidRPr="005C2D93">
        <w:rPr>
          <w:rFonts w:ascii="Times New Roman" w:hAnsi="Times New Roman" w:cs="Times New Roman"/>
          <w:sz w:val="20"/>
          <w:szCs w:val="20"/>
          <w:lang w:val="en"/>
        </w:rPr>
        <w:t>, with</w:t>
      </w:r>
      <w:r w:rsidR="00455862" w:rsidRPr="00455862">
        <w:rPr>
          <w:rFonts w:ascii="Cambria Math" w:hAnsi="Cambria Math" w:cs="Times New Roman"/>
          <w:i/>
          <w:sz w:val="20"/>
          <w:szCs w:val="20"/>
          <w:lang w:val="en"/>
        </w:rPr>
        <w:t xml:space="preserve"> </w:t>
      </w:r>
      <m:oMath>
        <m:r>
          <w:rPr>
            <w:rFonts w:ascii="Cambria Math" w:hAnsi="Cambria Math" w:cs="Times New Roman"/>
            <w:sz w:val="20"/>
            <w:szCs w:val="20"/>
            <w:lang w:val="en"/>
          </w:rPr>
          <m:t>q</m:t>
        </m:r>
        <m:r>
          <m:rPr>
            <m:sty m:val="p"/>
          </m:rPr>
          <w:rPr>
            <w:rFonts w:ascii="Cambria Math" w:hAnsi="Cambria Math" w:cs="Times New Roman"/>
            <w:sz w:val="20"/>
            <w:szCs w:val="20"/>
            <w:lang w:val="en"/>
          </w:rPr>
          <m:t>&lt;</m:t>
        </m:r>
        <m:r>
          <w:rPr>
            <w:rFonts w:ascii="Cambria Math" w:hAnsi="Cambria Math" w:cs="Times New Roman"/>
            <w:sz w:val="20"/>
            <w:szCs w:val="20"/>
            <w:lang w:val="en"/>
          </w:rPr>
          <m:t>0.05</m:t>
        </m:r>
      </m:oMath>
      <w:r w:rsidRPr="005C2D93">
        <w:rPr>
          <w:rFonts w:ascii="Times New Roman" w:hAnsi="Times New Roman" w:cs="Times New Roman"/>
          <w:sz w:val="20"/>
          <w:szCs w:val="20"/>
          <w:lang w:val="en"/>
        </w:rPr>
        <w:t xml:space="preserve"> treated as statistically significant. The number of features tested after filtering is stated in each results table. The pipeline exports diagnostic reports for sample-ID alignment and design-matrix complete-case drops.</w:t>
      </w:r>
    </w:p>
    <w:p w14:paraId="09286BF1" w14:textId="0A02555E" w:rsidR="00CF2583" w:rsidRPr="00CF2583" w:rsidRDefault="00CF2583" w:rsidP="005C2D93">
      <w:pPr>
        <w:rPr>
          <w:rFonts w:ascii="Times New Roman" w:hAnsi="Times New Roman" w:cs="Times New Roman"/>
          <w:b/>
          <w:bCs/>
          <w:sz w:val="22"/>
          <w:szCs w:val="22"/>
          <w:lang w:val="en"/>
        </w:rPr>
      </w:pPr>
      <w:r w:rsidRPr="00CF2583">
        <w:rPr>
          <w:rFonts w:ascii="Times New Roman" w:hAnsi="Times New Roman" w:cs="Times New Roman"/>
          <w:b/>
          <w:bCs/>
          <w:sz w:val="22"/>
          <w:szCs w:val="22"/>
          <w:lang w:val="en"/>
        </w:rPr>
        <w:t xml:space="preserve">Use of </w:t>
      </w:r>
      <w:r w:rsidR="00455862">
        <w:rPr>
          <w:rFonts w:ascii="Times New Roman" w:hAnsi="Times New Roman" w:cs="Times New Roman"/>
          <w:b/>
          <w:bCs/>
          <w:sz w:val="22"/>
          <w:szCs w:val="22"/>
          <w:lang w:val="en"/>
        </w:rPr>
        <w:t xml:space="preserve">a </w:t>
      </w:r>
      <w:r w:rsidRPr="00CF2583">
        <w:rPr>
          <w:rFonts w:ascii="Times New Roman" w:hAnsi="Times New Roman" w:cs="Times New Roman"/>
          <w:b/>
          <w:bCs/>
          <w:sz w:val="22"/>
          <w:szCs w:val="22"/>
          <w:lang w:val="en"/>
        </w:rPr>
        <w:t>large language model (LLM)</w:t>
      </w:r>
    </w:p>
    <w:p w14:paraId="1CB09B8F" w14:textId="7A4F9ECE" w:rsidR="00CF2583" w:rsidRPr="005C2D93" w:rsidRDefault="00CF2583" w:rsidP="005C2D93">
      <w:pPr>
        <w:rPr>
          <w:rFonts w:ascii="Times New Roman" w:hAnsi="Times New Roman" w:cs="Times New Roman"/>
          <w:sz w:val="20"/>
          <w:szCs w:val="20"/>
          <w:lang w:val="en"/>
        </w:rPr>
      </w:pPr>
      <w:r w:rsidRPr="00CF2583">
        <w:rPr>
          <w:rFonts w:ascii="Times New Roman" w:hAnsi="Times New Roman" w:cs="Times New Roman"/>
          <w:sz w:val="20"/>
          <w:szCs w:val="20"/>
          <w:lang w:val="en"/>
        </w:rPr>
        <w:t xml:space="preserve">An LLM, ChatGPT-4.5 (OpenAI), was used solely during the analytical phase to assist with R troubleshooting (identifying and correcting coding errors, debugging scripts, clarifying error messages, and annotating </w:t>
      </w:r>
      <w:r w:rsidR="00010A6B">
        <w:rPr>
          <w:rFonts w:ascii="Times New Roman" w:hAnsi="Times New Roman" w:cs="Times New Roman"/>
          <w:sz w:val="20"/>
          <w:szCs w:val="20"/>
          <w:lang w:val="en"/>
        </w:rPr>
        <w:t>sections of the pipeline script for ease of reading</w:t>
      </w:r>
      <w:r w:rsidRPr="00CF2583">
        <w:rPr>
          <w:rFonts w:ascii="Times New Roman" w:hAnsi="Times New Roman" w:cs="Times New Roman"/>
          <w:sz w:val="20"/>
          <w:szCs w:val="20"/>
          <w:lang w:val="en"/>
        </w:rPr>
        <w:t xml:space="preserve">). The LLM was not used for study design, hypothesis generation, interpretation of results, statistical decision-making, or substantive manuscript drafting. </w:t>
      </w:r>
      <w:r w:rsidR="00B20FFD">
        <w:rPr>
          <w:rFonts w:ascii="Times New Roman" w:hAnsi="Times New Roman" w:cs="Times New Roman"/>
          <w:sz w:val="20"/>
          <w:szCs w:val="20"/>
          <w:lang w:val="en"/>
        </w:rPr>
        <w:t xml:space="preserve">No </w:t>
      </w:r>
      <w:r w:rsidR="00D2247F" w:rsidRPr="00D2247F">
        <w:rPr>
          <w:rFonts w:ascii="Times New Roman" w:hAnsi="Times New Roman" w:cs="Times New Roman"/>
          <w:sz w:val="20"/>
          <w:szCs w:val="20"/>
          <w:lang w:val="en"/>
        </w:rPr>
        <w:t>AI-generated images were used in this study; all visualizations were derived from code and source data.</w:t>
      </w:r>
      <w:r w:rsidRPr="00CF2583">
        <w:rPr>
          <w:rFonts w:ascii="Times New Roman" w:hAnsi="Times New Roman" w:cs="Times New Roman"/>
          <w:sz w:val="20"/>
          <w:szCs w:val="20"/>
          <w:lang w:val="en"/>
        </w:rPr>
        <w:t xml:space="preserve"> No participant-level or sensitive data were shared with the LLM; all the interactions were limited to de-identified code snippets and error text. All LLM suggestions were independently reviewed and verified by the authors and incorporated only when reproduced in version-controlled scripts.</w:t>
      </w:r>
    </w:p>
    <w:p w14:paraId="7307B5BA" w14:textId="77777777" w:rsidR="005C2D93" w:rsidRPr="005C2D93" w:rsidRDefault="005C2D93" w:rsidP="005C2D93">
      <w:pPr>
        <w:rPr>
          <w:rFonts w:ascii="Times New Roman" w:hAnsi="Times New Roman" w:cs="Times New Roman"/>
          <w:b/>
          <w:bCs/>
          <w:sz w:val="22"/>
          <w:szCs w:val="22"/>
          <w:lang w:val="en"/>
        </w:rPr>
      </w:pPr>
      <w:r w:rsidRPr="005C2D93">
        <w:rPr>
          <w:rFonts w:ascii="Times New Roman" w:hAnsi="Times New Roman" w:cs="Times New Roman"/>
          <w:b/>
          <w:bCs/>
          <w:sz w:val="22"/>
          <w:szCs w:val="22"/>
          <w:lang w:val="en"/>
        </w:rPr>
        <w:t>Software and reproducibility</w:t>
      </w:r>
    </w:p>
    <w:p w14:paraId="4C4B6ACA" w14:textId="31C76C36" w:rsidR="00B20FFD" w:rsidRDefault="00453458">
      <w:pPr>
        <w:rPr>
          <w:rFonts w:ascii="Times New Roman" w:hAnsi="Times New Roman" w:cs="Times New Roman"/>
          <w:sz w:val="20"/>
          <w:szCs w:val="20"/>
          <w:lang w:val="en"/>
        </w:rPr>
      </w:pPr>
      <w:r w:rsidRPr="00453458">
        <w:rPr>
          <w:rFonts w:ascii="Times New Roman" w:hAnsi="Times New Roman" w:cs="Times New Roman"/>
          <w:sz w:val="20"/>
          <w:szCs w:val="20"/>
          <w:lang w:val="en"/>
        </w:rPr>
        <w:t>Analyses were performed in R version 4.4.2 using vegan (ordination, PERMANOVA, betadisper), phyloseq (data handling), limma/edgeR (voom–limma), mclust, and cluster (enterotypes), and tidyverse/patchwork (data wrangling/visualization).</w:t>
      </w:r>
      <w:r w:rsidR="005C2D93" w:rsidRPr="005C2D93">
        <w:rPr>
          <w:rFonts w:ascii="Times New Roman" w:hAnsi="Times New Roman" w:cs="Times New Roman"/>
          <w:sz w:val="20"/>
          <w:szCs w:val="20"/>
          <w:lang w:val="en"/>
        </w:rPr>
        <w:t xml:space="preserve"> The exact script (versioned) produces all figures (PNG + PDF), main tables (CSV + HTML), and </w:t>
      </w:r>
      <w:r w:rsidR="00777E4B">
        <w:rPr>
          <w:rFonts w:ascii="Times New Roman" w:hAnsi="Times New Roman" w:cs="Times New Roman"/>
          <w:sz w:val="20"/>
          <w:szCs w:val="20"/>
          <w:lang w:val="en"/>
        </w:rPr>
        <w:t>s</w:t>
      </w:r>
      <w:r w:rsidR="005C2D93" w:rsidRPr="005C2D93">
        <w:rPr>
          <w:rFonts w:ascii="Times New Roman" w:hAnsi="Times New Roman" w:cs="Times New Roman"/>
          <w:sz w:val="20"/>
          <w:szCs w:val="20"/>
          <w:lang w:val="en"/>
        </w:rPr>
        <w:t>upplementary files; repository links and data locations are provided in the Data availability and Code availability sections.</w:t>
      </w:r>
    </w:p>
    <w:p w14:paraId="0B2535A2" w14:textId="77777777" w:rsidR="00B20FFD" w:rsidRDefault="00B20FFD">
      <w:pPr>
        <w:rPr>
          <w:rFonts w:ascii="Times New Roman" w:hAnsi="Times New Roman" w:cs="Times New Roman"/>
          <w:sz w:val="20"/>
          <w:szCs w:val="20"/>
          <w:lang w:val="en"/>
        </w:rPr>
      </w:pPr>
    </w:p>
    <w:p w14:paraId="4DF63C9E" w14:textId="044CA366" w:rsidR="00FA4740" w:rsidRPr="00B20FFD" w:rsidRDefault="00FA4740">
      <w:pPr>
        <w:rPr>
          <w:rFonts w:ascii="Times New Roman" w:hAnsi="Times New Roman" w:cs="Times New Roman"/>
          <w:sz w:val="20"/>
          <w:szCs w:val="20"/>
          <w:lang w:val="en"/>
        </w:rPr>
      </w:pPr>
      <w:r w:rsidRPr="00657143">
        <w:rPr>
          <w:rFonts w:ascii="Times New Roman" w:eastAsiaTheme="minorEastAsia" w:hAnsi="Times New Roman" w:cs="Times New Roman"/>
          <w:b/>
          <w:bCs/>
          <w:iCs/>
        </w:rPr>
        <w:t>Results</w:t>
      </w:r>
    </w:p>
    <w:p w14:paraId="3E160DE3" w14:textId="07A7F7A8" w:rsidR="00C809F5" w:rsidRDefault="000962DE" w:rsidP="00C809F5">
      <w:pPr>
        <w:rPr>
          <w:rFonts w:ascii="Times New Roman" w:eastAsiaTheme="minorEastAsia" w:hAnsi="Times New Roman" w:cs="Times New Roman"/>
          <w:b/>
          <w:bCs/>
          <w:iCs/>
          <w:sz w:val="22"/>
          <w:szCs w:val="22"/>
        </w:rPr>
      </w:pPr>
      <w:r w:rsidRPr="000962DE">
        <w:rPr>
          <w:rFonts w:ascii="Times New Roman" w:eastAsiaTheme="minorEastAsia" w:hAnsi="Times New Roman" w:cs="Times New Roman"/>
          <w:b/>
          <w:bCs/>
          <w:iCs/>
          <w:sz w:val="22"/>
          <w:szCs w:val="22"/>
        </w:rPr>
        <w:t>Cohort used in analyses (PD-only set)</w:t>
      </w:r>
    </w:p>
    <w:p w14:paraId="0927F091" w14:textId="611EBC9D" w:rsidR="00E15888" w:rsidRDefault="00575E80" w:rsidP="00E15888">
      <w:pPr>
        <w:keepNext/>
        <w:rPr>
          <w:rFonts w:ascii="Times New Roman" w:eastAsiaTheme="minorEastAsia" w:hAnsi="Times New Roman" w:cs="Times New Roman"/>
          <w:iCs/>
          <w:sz w:val="20"/>
          <w:szCs w:val="20"/>
        </w:rPr>
      </w:pPr>
      <w:r w:rsidRPr="00575E80">
        <w:rPr>
          <w:rFonts w:ascii="Times New Roman" w:eastAsiaTheme="minorEastAsia" w:hAnsi="Times New Roman" w:cs="Times New Roman"/>
          <w:iCs/>
          <w:sz w:val="20"/>
          <w:szCs w:val="20"/>
        </w:rPr>
        <w:t xml:space="preserve">After sample-ID alignment across metadata and abundance tables, we analyzed </w:t>
      </w:r>
      <w:r w:rsidRPr="00575E80">
        <w:rPr>
          <w:rFonts w:ascii="Times New Roman" w:eastAsiaTheme="minorEastAsia" w:hAnsi="Times New Roman" w:cs="Times New Roman"/>
          <w:i/>
          <w:sz w:val="20"/>
          <w:szCs w:val="20"/>
        </w:rPr>
        <w:t>n</w:t>
      </w:r>
      <w:r w:rsidRPr="00575E80">
        <w:rPr>
          <w:rFonts w:ascii="Times New Roman" w:eastAsiaTheme="minorEastAsia" w:hAnsi="Times New Roman" w:cs="Times New Roman"/>
          <w:iCs/>
          <w:sz w:val="20"/>
          <w:szCs w:val="20"/>
        </w:rPr>
        <w:t xml:space="preserve"> = 490 individuals with PD: control (non-constipated PD),</w:t>
      </w:r>
      <w:r w:rsidR="00D5244E">
        <w:rPr>
          <w:rFonts w:ascii="Times New Roman" w:eastAsiaTheme="minorEastAsia" w:hAnsi="Times New Roman" w:cs="Times New Roman"/>
          <w:iCs/>
          <w:sz w:val="20"/>
          <w:szCs w:val="20"/>
        </w:rPr>
        <w:t xml:space="preserve"> </w:t>
      </w:r>
      <w:r w:rsidRPr="00575E80">
        <w:rPr>
          <w:rFonts w:ascii="Times New Roman" w:eastAsiaTheme="minorEastAsia" w:hAnsi="Times New Roman" w:cs="Times New Roman"/>
          <w:i/>
          <w:sz w:val="20"/>
          <w:szCs w:val="20"/>
        </w:rPr>
        <w:t>n</w:t>
      </w:r>
      <w:r w:rsidRPr="00575E80">
        <w:rPr>
          <w:rFonts w:ascii="Times New Roman" w:eastAsiaTheme="minorEastAsia" w:hAnsi="Times New Roman" w:cs="Times New Roman"/>
          <w:iCs/>
          <w:sz w:val="20"/>
          <w:szCs w:val="20"/>
        </w:rPr>
        <w:t xml:space="preserve"> =</w:t>
      </w:r>
      <w:r w:rsidR="00D5244E">
        <w:rPr>
          <w:rFonts w:ascii="Times New Roman" w:eastAsiaTheme="minorEastAsia" w:hAnsi="Times New Roman" w:cs="Times New Roman"/>
          <w:iCs/>
          <w:sz w:val="20"/>
          <w:szCs w:val="20"/>
        </w:rPr>
        <w:t xml:space="preserve"> </w:t>
      </w:r>
      <w:r w:rsidRPr="00575E80">
        <w:rPr>
          <w:rFonts w:ascii="Times New Roman" w:eastAsiaTheme="minorEastAsia" w:hAnsi="Times New Roman" w:cs="Times New Roman"/>
          <w:iCs/>
          <w:sz w:val="20"/>
          <w:szCs w:val="20"/>
        </w:rPr>
        <w:t xml:space="preserve">282; case (constipated PD), </w:t>
      </w:r>
      <w:r w:rsidRPr="00575E80">
        <w:rPr>
          <w:rFonts w:ascii="Times New Roman" w:eastAsiaTheme="minorEastAsia" w:hAnsi="Times New Roman" w:cs="Times New Roman"/>
          <w:i/>
          <w:sz w:val="20"/>
          <w:szCs w:val="20"/>
        </w:rPr>
        <w:t>n</w:t>
      </w:r>
      <w:r w:rsidRPr="00575E80">
        <w:rPr>
          <w:rFonts w:ascii="Times New Roman" w:eastAsiaTheme="minorEastAsia" w:hAnsi="Times New Roman" w:cs="Times New Roman"/>
          <w:iCs/>
          <w:sz w:val="20"/>
          <w:szCs w:val="20"/>
        </w:rPr>
        <w:t xml:space="preserve"> =</w:t>
      </w:r>
      <w:r w:rsidR="00D5244E">
        <w:rPr>
          <w:rFonts w:ascii="Times New Roman" w:eastAsiaTheme="minorEastAsia" w:hAnsi="Times New Roman" w:cs="Times New Roman"/>
          <w:iCs/>
          <w:sz w:val="20"/>
          <w:szCs w:val="20"/>
        </w:rPr>
        <w:t xml:space="preserve"> </w:t>
      </w:r>
      <w:r w:rsidRPr="00575E80">
        <w:rPr>
          <w:rFonts w:ascii="Times New Roman" w:eastAsiaTheme="minorEastAsia" w:hAnsi="Times New Roman" w:cs="Times New Roman"/>
          <w:iCs/>
          <w:sz w:val="20"/>
          <w:szCs w:val="20"/>
        </w:rPr>
        <w:t>208 (Table 1).</w:t>
      </w:r>
      <w:r w:rsidR="00E15888" w:rsidRPr="00E15888">
        <w:rPr>
          <w:rFonts w:ascii="Times New Roman" w:eastAsiaTheme="minorEastAsia" w:hAnsi="Times New Roman" w:cs="Times New Roman"/>
          <w:iCs/>
          <w:sz w:val="20"/>
          <w:szCs w:val="20"/>
        </w:rPr>
        <w:t xml:space="preserve"> Alignment/complete-case diagnostics are provided in the Supplementary information section (Supplementary Table S6; ID and design-drop reports)</w:t>
      </w:r>
      <w:r w:rsidR="00E15888">
        <w:rPr>
          <w:rFonts w:ascii="Times New Roman" w:eastAsiaTheme="minorEastAsia" w:hAnsi="Times New Roman" w:cs="Times New Roman"/>
          <w:iCs/>
          <w:sz w:val="20"/>
          <w:szCs w:val="20"/>
        </w:rPr>
        <w:t>.</w:t>
      </w:r>
    </w:p>
    <w:p w14:paraId="1D953643" w14:textId="2D732B44" w:rsidR="000962DE" w:rsidRDefault="00E15888" w:rsidP="00263FD8">
      <w:pPr>
        <w:keepNext/>
        <w:jc w:val="center"/>
      </w:pPr>
      <w:r>
        <w:rPr>
          <w:noProof/>
        </w:rPr>
        <w:drawing>
          <wp:inline distT="0" distB="0" distL="0" distR="0" wp14:anchorId="57999E9A" wp14:editId="7170CCBD">
            <wp:extent cx="5943600" cy="1022350"/>
            <wp:effectExtent l="0" t="0" r="0" b="6350"/>
            <wp:docPr id="738456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56334" name="Picture 1"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p>
    <w:p w14:paraId="660808C2" w14:textId="4FB36369" w:rsidR="000962DE" w:rsidRDefault="000962DE" w:rsidP="00C809F5">
      <w:pPr>
        <w:rPr>
          <w:rFonts w:ascii="Times New Roman" w:eastAsiaTheme="minorEastAsia" w:hAnsi="Times New Roman" w:cs="Times New Roman"/>
          <w:iCs/>
          <w:sz w:val="20"/>
          <w:szCs w:val="20"/>
        </w:rPr>
      </w:pPr>
      <w:r w:rsidRPr="000962DE">
        <w:rPr>
          <w:rFonts w:ascii="Times New Roman" w:eastAsiaTheme="minorEastAsia" w:hAnsi="Times New Roman" w:cs="Times New Roman"/>
          <w:b/>
          <w:bCs/>
          <w:iCs/>
          <w:sz w:val="20"/>
          <w:szCs w:val="20"/>
        </w:rPr>
        <w:t xml:space="preserve">Table 1 | </w:t>
      </w:r>
      <w:r w:rsidR="00E15888" w:rsidRPr="00E15888">
        <w:rPr>
          <w:rFonts w:ascii="Times New Roman" w:eastAsiaTheme="minorEastAsia" w:hAnsi="Times New Roman" w:cs="Times New Roman"/>
          <w:b/>
          <w:bCs/>
          <w:iCs/>
          <w:sz w:val="20"/>
          <w:szCs w:val="20"/>
        </w:rPr>
        <w:t xml:space="preserve">PD-only cohort counts used in analyses. </w:t>
      </w:r>
      <w:r w:rsidR="00E15888" w:rsidRPr="00E15888">
        <w:rPr>
          <w:rFonts w:ascii="Times New Roman" w:eastAsiaTheme="minorEastAsia" w:hAnsi="Times New Roman" w:cs="Times New Roman"/>
          <w:iCs/>
          <w:sz w:val="20"/>
          <w:szCs w:val="20"/>
        </w:rPr>
        <w:t xml:space="preserve">Control = non-constipated PD; </w:t>
      </w:r>
      <w:r w:rsidR="00263FD8">
        <w:rPr>
          <w:rFonts w:ascii="Times New Roman" w:eastAsiaTheme="minorEastAsia" w:hAnsi="Times New Roman" w:cs="Times New Roman"/>
          <w:iCs/>
          <w:sz w:val="20"/>
          <w:szCs w:val="20"/>
        </w:rPr>
        <w:t>c</w:t>
      </w:r>
      <w:r w:rsidR="00E15888" w:rsidRPr="00E15888">
        <w:rPr>
          <w:rFonts w:ascii="Times New Roman" w:eastAsiaTheme="minorEastAsia" w:hAnsi="Times New Roman" w:cs="Times New Roman"/>
          <w:iCs/>
          <w:sz w:val="20"/>
          <w:szCs w:val="20"/>
        </w:rPr>
        <w:t>ase = constipated PD. Counts reflect the intersection of sample IDs across metadata and abundance tables.</w:t>
      </w:r>
    </w:p>
    <w:p w14:paraId="32611DB5" w14:textId="19BCE1B5" w:rsidR="00E15888" w:rsidRDefault="00E15888" w:rsidP="000962DE">
      <w:pPr>
        <w:rPr>
          <w:rFonts w:ascii="Times New Roman" w:eastAsiaTheme="minorEastAsia" w:hAnsi="Times New Roman" w:cs="Times New Roman"/>
          <w:b/>
          <w:bCs/>
          <w:iCs/>
          <w:sz w:val="22"/>
          <w:szCs w:val="22"/>
        </w:rPr>
      </w:pPr>
      <w:r w:rsidRPr="00E15888">
        <w:rPr>
          <w:rFonts w:ascii="Times New Roman" w:eastAsiaTheme="minorEastAsia" w:hAnsi="Times New Roman" w:cs="Times New Roman"/>
          <w:b/>
          <w:bCs/>
          <w:iCs/>
          <w:sz w:val="22"/>
          <w:szCs w:val="22"/>
        </w:rPr>
        <w:t>α-diversity is broadly similar; observed richness is modestly higher in constipated PD</w:t>
      </w:r>
    </w:p>
    <w:p w14:paraId="538F8016" w14:textId="3874565B" w:rsidR="00263FD8" w:rsidRDefault="00263FD8" w:rsidP="00263FD8">
      <w:pPr>
        <w:keepNext/>
        <w:rPr>
          <w:rFonts w:ascii="Times New Roman" w:eastAsiaTheme="minorEastAsia" w:hAnsi="Times New Roman" w:cs="Times New Roman"/>
          <w:iCs/>
          <w:sz w:val="20"/>
          <w:szCs w:val="20"/>
        </w:rPr>
      </w:pPr>
      <w:r w:rsidRPr="00263FD8">
        <w:rPr>
          <w:rFonts w:ascii="Times New Roman" w:eastAsiaTheme="minorEastAsia" w:hAnsi="Times New Roman" w:cs="Times New Roman"/>
          <w:iCs/>
          <w:sz w:val="20"/>
          <w:szCs w:val="20"/>
        </w:rPr>
        <w:t xml:space="preserve">Across Shannon and </w:t>
      </w:r>
      <w:r w:rsidR="00BA14A4">
        <w:rPr>
          <w:rFonts w:ascii="Times New Roman" w:eastAsiaTheme="minorEastAsia" w:hAnsi="Times New Roman" w:cs="Times New Roman"/>
          <w:iCs/>
          <w:sz w:val="20"/>
          <w:szCs w:val="20"/>
        </w:rPr>
        <w:t>Gini–Simpson</w:t>
      </w:r>
      <w:r w:rsidRPr="00263FD8">
        <w:rPr>
          <w:rFonts w:ascii="Times New Roman" w:eastAsiaTheme="minorEastAsia" w:hAnsi="Times New Roman" w:cs="Times New Roman"/>
          <w:iCs/>
          <w:sz w:val="20"/>
          <w:szCs w:val="20"/>
        </w:rPr>
        <w:t xml:space="preserve"> </w:t>
      </w:r>
      <w:r w:rsidR="00B738AF">
        <w:rPr>
          <w:rFonts w:ascii="Times New Roman" w:eastAsiaTheme="minorEastAsia" w:hAnsi="Times New Roman" w:cs="Times New Roman"/>
          <w:iCs/>
          <w:sz w:val="20"/>
          <w:szCs w:val="20"/>
        </w:rPr>
        <w:t>(1−D)</w:t>
      </w:r>
      <w:r w:rsidRPr="00263FD8">
        <w:rPr>
          <w:rFonts w:ascii="Times New Roman" w:eastAsiaTheme="minorEastAsia" w:hAnsi="Times New Roman" w:cs="Times New Roman"/>
          <w:iCs/>
          <w:sz w:val="20"/>
          <w:szCs w:val="20"/>
        </w:rPr>
        <w:t xml:space="preserve"> indices, groups were similar (Wilcoxon, two-sided: Shannon </w:t>
      </w:r>
      <w:r w:rsidR="00C60278" w:rsidRPr="00C60278">
        <w:rPr>
          <w:rFonts w:ascii="Times New Roman" w:eastAsiaTheme="minorEastAsia" w:hAnsi="Times New Roman" w:cs="Times New Roman"/>
          <w:i/>
          <w:iCs/>
          <w:sz w:val="20"/>
          <w:szCs w:val="20"/>
        </w:rPr>
        <w:t xml:space="preserve">P = </w:t>
      </w:r>
      <w:r w:rsidRPr="00263FD8">
        <w:rPr>
          <w:rFonts w:ascii="Times New Roman" w:eastAsiaTheme="minorEastAsia" w:hAnsi="Times New Roman" w:cs="Times New Roman"/>
          <w:iCs/>
          <w:sz w:val="20"/>
          <w:szCs w:val="20"/>
        </w:rPr>
        <w:t xml:space="preserve">0.802; </w:t>
      </w:r>
      <w:r w:rsidR="00BA14A4">
        <w:rPr>
          <w:rFonts w:ascii="Times New Roman" w:eastAsiaTheme="minorEastAsia" w:hAnsi="Times New Roman" w:cs="Times New Roman"/>
          <w:iCs/>
          <w:sz w:val="20"/>
          <w:szCs w:val="20"/>
        </w:rPr>
        <w:t>Gini–Simpson</w:t>
      </w:r>
      <w:r w:rsidRPr="00263FD8">
        <w:rPr>
          <w:rFonts w:ascii="Times New Roman" w:eastAsiaTheme="minorEastAsia" w:hAnsi="Times New Roman" w:cs="Times New Roman"/>
          <w:iCs/>
          <w:sz w:val="20"/>
          <w:szCs w:val="20"/>
        </w:rPr>
        <w:t xml:space="preserve"> </w:t>
      </w:r>
      <w:r w:rsidR="00C60278" w:rsidRPr="00C60278">
        <w:rPr>
          <w:rFonts w:ascii="Times New Roman" w:eastAsiaTheme="minorEastAsia" w:hAnsi="Times New Roman" w:cs="Times New Roman"/>
          <w:i/>
          <w:iCs/>
          <w:sz w:val="20"/>
          <w:szCs w:val="20"/>
        </w:rPr>
        <w:t xml:space="preserve">P = </w:t>
      </w:r>
      <w:r w:rsidRPr="00263FD8">
        <w:rPr>
          <w:rFonts w:ascii="Times New Roman" w:eastAsiaTheme="minorEastAsia" w:hAnsi="Times New Roman" w:cs="Times New Roman"/>
          <w:iCs/>
          <w:sz w:val="20"/>
          <w:szCs w:val="20"/>
        </w:rPr>
        <w:t xml:space="preserve">0.984). Observed richness (presence/absence on the relative-abundance table) was modestly </w:t>
      </w:r>
      <w:r w:rsidRPr="00263FD8">
        <w:rPr>
          <w:rFonts w:ascii="Times New Roman" w:eastAsiaTheme="minorEastAsia" w:hAnsi="Times New Roman" w:cs="Times New Roman"/>
          <w:iCs/>
          <w:sz w:val="20"/>
          <w:szCs w:val="20"/>
        </w:rPr>
        <w:lastRenderedPageBreak/>
        <w:t xml:space="preserve">higher in constipated PD (median 94 </w:t>
      </w:r>
      <w:r w:rsidR="00882A99">
        <w:rPr>
          <w:rFonts w:ascii="Times New Roman" w:eastAsiaTheme="minorEastAsia" w:hAnsi="Times New Roman" w:cs="Times New Roman"/>
          <w:iCs/>
          <w:sz w:val="20"/>
          <w:szCs w:val="20"/>
        </w:rPr>
        <w:t>vs.</w:t>
      </w:r>
      <w:r w:rsidRPr="00263FD8">
        <w:rPr>
          <w:rFonts w:ascii="Times New Roman" w:eastAsiaTheme="minorEastAsia" w:hAnsi="Times New Roman" w:cs="Times New Roman"/>
          <w:iCs/>
          <w:sz w:val="20"/>
          <w:szCs w:val="20"/>
        </w:rPr>
        <w:t xml:space="preserve"> 89; </w:t>
      </w:r>
      <w:r w:rsidR="00C60278" w:rsidRPr="00C60278">
        <w:rPr>
          <w:rFonts w:ascii="Times New Roman" w:eastAsiaTheme="minorEastAsia" w:hAnsi="Times New Roman" w:cs="Times New Roman"/>
          <w:i/>
          <w:iCs/>
          <w:sz w:val="20"/>
          <w:szCs w:val="20"/>
        </w:rPr>
        <w:t xml:space="preserve">P = </w:t>
      </w:r>
      <w:r w:rsidRPr="00263FD8">
        <w:rPr>
          <w:rFonts w:ascii="Times New Roman" w:eastAsiaTheme="minorEastAsia" w:hAnsi="Times New Roman" w:cs="Times New Roman"/>
          <w:iCs/>
          <w:sz w:val="20"/>
          <w:szCs w:val="20"/>
        </w:rPr>
        <w:t>0.002) (Supplementary Table S1). Representative distributions are shown in Fig. 1a</w:t>
      </w:r>
      <w:r w:rsidR="00882A99" w:rsidRPr="00882A99">
        <w:rPr>
          <w:rFonts w:ascii="Times New Roman" w:eastAsiaTheme="minorEastAsia" w:hAnsi="Times New Roman" w:cs="Times New Roman"/>
          <w:iCs/>
          <w:sz w:val="20"/>
          <w:szCs w:val="20"/>
        </w:rPr>
        <w:t>–</w:t>
      </w:r>
      <w:r w:rsidRPr="00263FD8">
        <w:rPr>
          <w:rFonts w:ascii="Times New Roman" w:eastAsiaTheme="minorEastAsia" w:hAnsi="Times New Roman" w:cs="Times New Roman"/>
          <w:iCs/>
          <w:sz w:val="20"/>
          <w:szCs w:val="20"/>
        </w:rPr>
        <w:t>c.</w:t>
      </w:r>
    </w:p>
    <w:p w14:paraId="19962E3C" w14:textId="76A92F7B" w:rsidR="000962DE" w:rsidRDefault="00E15888" w:rsidP="00263FD8">
      <w:pPr>
        <w:keepNext/>
        <w:jc w:val="center"/>
      </w:pPr>
      <w:r>
        <w:rPr>
          <w:rFonts w:ascii="Times New Roman" w:eastAsiaTheme="minorEastAsia" w:hAnsi="Times New Roman" w:cs="Times New Roman"/>
          <w:iCs/>
          <w:noProof/>
          <w:sz w:val="20"/>
          <w:szCs w:val="20"/>
        </w:rPr>
        <w:drawing>
          <wp:inline distT="0" distB="0" distL="0" distR="0" wp14:anchorId="17331A52" wp14:editId="5503F566">
            <wp:extent cx="5939790" cy="2472690"/>
            <wp:effectExtent l="0" t="0" r="3810" b="3810"/>
            <wp:docPr id="1384271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472690"/>
                    </a:xfrm>
                    <a:prstGeom prst="rect">
                      <a:avLst/>
                    </a:prstGeom>
                    <a:noFill/>
                    <a:ln>
                      <a:noFill/>
                    </a:ln>
                  </pic:spPr>
                </pic:pic>
              </a:graphicData>
            </a:graphic>
          </wp:inline>
        </w:drawing>
      </w:r>
    </w:p>
    <w:p w14:paraId="78D73C6B" w14:textId="283717F4" w:rsidR="000962DE" w:rsidRPr="00E15888" w:rsidRDefault="000962DE" w:rsidP="000962DE">
      <w:pPr>
        <w:rPr>
          <w:rFonts w:ascii="Times New Roman" w:eastAsiaTheme="minorEastAsia" w:hAnsi="Times New Roman" w:cs="Times New Roman"/>
          <w:iCs/>
          <w:sz w:val="20"/>
          <w:szCs w:val="20"/>
        </w:rPr>
      </w:pPr>
      <w:r w:rsidRPr="000962DE">
        <w:rPr>
          <w:rFonts w:ascii="Times New Roman" w:eastAsiaTheme="minorEastAsia" w:hAnsi="Times New Roman" w:cs="Times New Roman"/>
          <w:b/>
          <w:bCs/>
          <w:iCs/>
          <w:sz w:val="20"/>
          <w:szCs w:val="20"/>
        </w:rPr>
        <w:t xml:space="preserve">Figure 1 | </w:t>
      </w:r>
      <w:r w:rsidR="00962B99" w:rsidRPr="00962B99">
        <w:rPr>
          <w:rFonts w:ascii="Times New Roman" w:eastAsiaTheme="minorEastAsia" w:hAnsi="Times New Roman" w:cs="Times New Roman"/>
          <w:b/>
          <w:bCs/>
          <w:iCs/>
          <w:sz w:val="20"/>
          <w:szCs w:val="20"/>
        </w:rPr>
        <w:t>α</w:t>
      </w:r>
      <w:r w:rsidR="00962B99">
        <w:rPr>
          <w:rFonts w:ascii="Times New Roman" w:eastAsiaTheme="minorEastAsia" w:hAnsi="Times New Roman" w:cs="Times New Roman"/>
          <w:b/>
          <w:bCs/>
          <w:iCs/>
          <w:sz w:val="20"/>
          <w:szCs w:val="20"/>
        </w:rPr>
        <w:t>-</w:t>
      </w:r>
      <w:r w:rsidR="00E15888" w:rsidRPr="00E15888">
        <w:rPr>
          <w:rFonts w:ascii="Times New Roman" w:eastAsiaTheme="minorEastAsia" w:hAnsi="Times New Roman" w:cs="Times New Roman"/>
          <w:b/>
          <w:bCs/>
          <w:iCs/>
          <w:sz w:val="20"/>
          <w:szCs w:val="20"/>
        </w:rPr>
        <w:t xml:space="preserve">diversity in PD (constipated </w:t>
      </w:r>
      <w:r w:rsidR="00882A99">
        <w:rPr>
          <w:rFonts w:ascii="Times New Roman" w:eastAsiaTheme="minorEastAsia" w:hAnsi="Times New Roman" w:cs="Times New Roman"/>
          <w:b/>
          <w:bCs/>
          <w:iCs/>
          <w:sz w:val="20"/>
          <w:szCs w:val="20"/>
        </w:rPr>
        <w:t>vs.</w:t>
      </w:r>
      <w:r w:rsidR="00E15888" w:rsidRPr="00E15888">
        <w:rPr>
          <w:rFonts w:ascii="Times New Roman" w:eastAsiaTheme="minorEastAsia" w:hAnsi="Times New Roman" w:cs="Times New Roman"/>
          <w:b/>
          <w:bCs/>
          <w:iCs/>
          <w:sz w:val="20"/>
          <w:szCs w:val="20"/>
        </w:rPr>
        <w:t xml:space="preserve"> non-constipated). </w:t>
      </w:r>
      <w:r w:rsidR="00E15888" w:rsidRPr="00E15888">
        <w:rPr>
          <w:rFonts w:ascii="Times New Roman" w:eastAsiaTheme="minorEastAsia" w:hAnsi="Times New Roman" w:cs="Times New Roman"/>
          <w:iCs/>
          <w:sz w:val="20"/>
          <w:szCs w:val="20"/>
        </w:rPr>
        <w:t xml:space="preserve">(a) Shannon; (b) </w:t>
      </w:r>
      <w:r w:rsidR="00BA14A4">
        <w:rPr>
          <w:rFonts w:ascii="Times New Roman" w:eastAsiaTheme="minorEastAsia" w:hAnsi="Times New Roman" w:cs="Times New Roman"/>
          <w:iCs/>
          <w:sz w:val="20"/>
          <w:szCs w:val="20"/>
        </w:rPr>
        <w:t>Gini–Simpson</w:t>
      </w:r>
      <w:r w:rsidR="00E15888" w:rsidRPr="00E15888">
        <w:rPr>
          <w:rFonts w:ascii="Times New Roman" w:eastAsiaTheme="minorEastAsia" w:hAnsi="Times New Roman" w:cs="Times New Roman"/>
          <w:iCs/>
          <w:sz w:val="20"/>
          <w:szCs w:val="20"/>
        </w:rPr>
        <w:t xml:space="preserve"> </w:t>
      </w:r>
      <w:r w:rsidR="00B738AF">
        <w:rPr>
          <w:rFonts w:ascii="Times New Roman" w:eastAsiaTheme="minorEastAsia" w:hAnsi="Times New Roman" w:cs="Times New Roman"/>
          <w:iCs/>
          <w:sz w:val="20"/>
          <w:szCs w:val="20"/>
        </w:rPr>
        <w:t>(1−D)</w:t>
      </w:r>
      <w:r w:rsidR="00E15888" w:rsidRPr="00E15888">
        <w:rPr>
          <w:rFonts w:ascii="Times New Roman" w:eastAsiaTheme="minorEastAsia" w:hAnsi="Times New Roman" w:cs="Times New Roman"/>
          <w:iCs/>
          <w:sz w:val="20"/>
          <w:szCs w:val="20"/>
        </w:rPr>
        <w:t xml:space="preserve">; (c) Observed richness. Points are individual samples; boxes show IQR and median. Wilcoxon two-sided tests; PD-only </w:t>
      </w:r>
      <w:r w:rsidR="00E15888" w:rsidRPr="00575E80">
        <w:rPr>
          <w:rFonts w:ascii="Times New Roman" w:eastAsiaTheme="minorEastAsia" w:hAnsi="Times New Roman" w:cs="Times New Roman"/>
          <w:i/>
          <w:sz w:val="20"/>
          <w:szCs w:val="20"/>
        </w:rPr>
        <w:t>n</w:t>
      </w:r>
      <w:r w:rsidR="00E15888" w:rsidRPr="00E15888">
        <w:rPr>
          <w:rFonts w:ascii="Times New Roman" w:eastAsiaTheme="minorEastAsia" w:hAnsi="Times New Roman" w:cs="Times New Roman"/>
          <w:iCs/>
          <w:sz w:val="20"/>
          <w:szCs w:val="20"/>
        </w:rPr>
        <w:t>: control = 282, case = 208. Complete statistics in Supplementary Table S1.</w:t>
      </w:r>
    </w:p>
    <w:p w14:paraId="6FFC2A69" w14:textId="3ED00DB6" w:rsidR="00E15888" w:rsidRDefault="00E15888" w:rsidP="000962DE">
      <w:pPr>
        <w:rPr>
          <w:rFonts w:ascii="Times New Roman" w:eastAsiaTheme="minorEastAsia" w:hAnsi="Times New Roman" w:cs="Times New Roman"/>
          <w:b/>
          <w:bCs/>
          <w:iCs/>
          <w:sz w:val="22"/>
          <w:szCs w:val="22"/>
        </w:rPr>
      </w:pPr>
      <w:r w:rsidRPr="00E15888">
        <w:rPr>
          <w:rFonts w:ascii="Times New Roman" w:eastAsiaTheme="minorEastAsia" w:hAnsi="Times New Roman" w:cs="Times New Roman"/>
          <w:b/>
          <w:bCs/>
          <w:iCs/>
          <w:sz w:val="22"/>
          <w:szCs w:val="22"/>
        </w:rPr>
        <w:t xml:space="preserve">β-diversity shows small but detectable group separation; dispersion differs for </w:t>
      </w:r>
      <w:r w:rsidR="00BA14A4">
        <w:rPr>
          <w:rFonts w:ascii="Times New Roman" w:eastAsiaTheme="minorEastAsia" w:hAnsi="Times New Roman" w:cs="Times New Roman"/>
          <w:b/>
          <w:bCs/>
          <w:iCs/>
          <w:sz w:val="22"/>
          <w:szCs w:val="22"/>
        </w:rPr>
        <w:t>Bray–Curtis</w:t>
      </w:r>
    </w:p>
    <w:p w14:paraId="28660172" w14:textId="43FAD7BE" w:rsidR="00E15888" w:rsidRDefault="00E15888" w:rsidP="00E15888">
      <w:pPr>
        <w:keepNext/>
        <w:rPr>
          <w:rFonts w:ascii="Times New Roman" w:eastAsiaTheme="minorEastAsia" w:hAnsi="Times New Roman" w:cs="Times New Roman"/>
          <w:iCs/>
          <w:sz w:val="20"/>
          <w:szCs w:val="20"/>
        </w:rPr>
      </w:pPr>
      <w:r w:rsidRPr="00E15888">
        <w:rPr>
          <w:rFonts w:ascii="Times New Roman" w:eastAsiaTheme="minorEastAsia" w:hAnsi="Times New Roman" w:cs="Times New Roman"/>
          <w:iCs/>
          <w:sz w:val="20"/>
          <w:szCs w:val="20"/>
        </w:rPr>
        <w:t xml:space="preserve">PCoA ordinations show broad overlap between groups for both </w:t>
      </w:r>
      <w:r w:rsidR="00BA14A4">
        <w:rPr>
          <w:rFonts w:ascii="Times New Roman" w:eastAsiaTheme="minorEastAsia" w:hAnsi="Times New Roman" w:cs="Times New Roman"/>
          <w:iCs/>
          <w:sz w:val="20"/>
          <w:szCs w:val="20"/>
        </w:rPr>
        <w:t>Bray–Curtis</w:t>
      </w:r>
      <w:r w:rsidRPr="00E15888">
        <w:rPr>
          <w:rFonts w:ascii="Times New Roman" w:eastAsiaTheme="minorEastAsia" w:hAnsi="Times New Roman" w:cs="Times New Roman"/>
          <w:iCs/>
          <w:sz w:val="20"/>
          <w:szCs w:val="20"/>
        </w:rPr>
        <w:t xml:space="preserve"> and Aitchison (CLR) distances (Fig. 2a</w:t>
      </w:r>
      <w:r w:rsidR="002F7AD8" w:rsidRPr="00882A99">
        <w:rPr>
          <w:rFonts w:ascii="Times New Roman" w:eastAsiaTheme="minorEastAsia" w:hAnsi="Times New Roman" w:cs="Times New Roman"/>
          <w:iCs/>
          <w:sz w:val="20"/>
          <w:szCs w:val="20"/>
        </w:rPr>
        <w:t>–</w:t>
      </w:r>
      <w:r w:rsidRPr="00E15888">
        <w:rPr>
          <w:rFonts w:ascii="Times New Roman" w:eastAsiaTheme="minorEastAsia" w:hAnsi="Times New Roman" w:cs="Times New Roman"/>
          <w:iCs/>
          <w:sz w:val="20"/>
          <w:szCs w:val="20"/>
        </w:rPr>
        <w:t>b). In PERMANOVA models adjusting for Age, Sex, BMI, Laxatives, and collection_method, Group explained a small but statistically significant proportion of variance (</w:t>
      </w:r>
      <w:r w:rsidR="00BA14A4">
        <w:rPr>
          <w:rFonts w:ascii="Times New Roman" w:eastAsiaTheme="minorEastAsia" w:hAnsi="Times New Roman" w:cs="Times New Roman"/>
          <w:iCs/>
          <w:sz w:val="20"/>
          <w:szCs w:val="20"/>
        </w:rPr>
        <w:t>Bray–Curtis</w:t>
      </w:r>
      <w:r w:rsidRPr="00E15888">
        <w:rPr>
          <w:rFonts w:ascii="Times New Roman" w:eastAsiaTheme="minorEastAsia" w:hAnsi="Times New Roman" w:cs="Times New Roman"/>
          <w:iCs/>
          <w:sz w:val="20"/>
          <w:szCs w:val="20"/>
        </w:rPr>
        <w:t xml:space="preserve"> </w:t>
      </w:r>
      <w:r w:rsidR="00C60278" w:rsidRPr="00C60278">
        <w:rPr>
          <w:rFonts w:ascii="Times New Roman" w:eastAsiaTheme="minorEastAsia" w:hAnsi="Times New Roman" w:cs="Times New Roman"/>
          <w:i/>
          <w:iCs/>
          <w:sz w:val="20"/>
          <w:szCs w:val="20"/>
        </w:rPr>
        <w:t>R</w:t>
      </w:r>
      <w:r w:rsidR="00091B00" w:rsidRPr="00091B00">
        <w:rPr>
          <w:rFonts w:ascii="Times New Roman" w:eastAsiaTheme="minorEastAsia" w:hAnsi="Times New Roman" w:cs="Times New Roman"/>
          <w:iCs/>
          <w:sz w:val="20"/>
          <w:szCs w:val="20"/>
        </w:rPr>
        <w:t>²</w:t>
      </w:r>
      <w:r w:rsidRPr="00E15888">
        <w:rPr>
          <w:rFonts w:ascii="Times New Roman" w:eastAsiaTheme="minorEastAsia" w:hAnsi="Times New Roman" w:cs="Times New Roman"/>
          <w:iCs/>
          <w:sz w:val="20"/>
          <w:szCs w:val="20"/>
        </w:rPr>
        <w:t xml:space="preserve"> = 0.008, </w:t>
      </w:r>
      <w:r w:rsidR="00C60278" w:rsidRPr="00C60278">
        <w:rPr>
          <w:rFonts w:ascii="Times New Roman" w:eastAsiaTheme="minorEastAsia" w:hAnsi="Times New Roman" w:cs="Times New Roman"/>
          <w:i/>
          <w:iCs/>
          <w:sz w:val="20"/>
          <w:szCs w:val="20"/>
        </w:rPr>
        <w:t xml:space="preserve">q = </w:t>
      </w:r>
      <w:r w:rsidRPr="00E15888">
        <w:rPr>
          <w:rFonts w:ascii="Times New Roman" w:eastAsiaTheme="minorEastAsia" w:hAnsi="Times New Roman" w:cs="Times New Roman"/>
          <w:iCs/>
          <w:sz w:val="20"/>
          <w:szCs w:val="20"/>
        </w:rPr>
        <w:t xml:space="preserve">0.001; Aitchison </w:t>
      </w:r>
      <w:r w:rsidR="00C60278" w:rsidRPr="00C60278">
        <w:rPr>
          <w:rFonts w:ascii="Times New Roman" w:eastAsiaTheme="minorEastAsia" w:hAnsi="Times New Roman" w:cs="Times New Roman"/>
          <w:i/>
          <w:iCs/>
          <w:sz w:val="20"/>
          <w:szCs w:val="20"/>
        </w:rPr>
        <w:t>R</w:t>
      </w:r>
      <w:r w:rsidR="00091B00" w:rsidRPr="00091B00">
        <w:rPr>
          <w:rFonts w:ascii="Times New Roman" w:eastAsiaTheme="minorEastAsia" w:hAnsi="Times New Roman" w:cs="Times New Roman"/>
          <w:iCs/>
          <w:sz w:val="20"/>
          <w:szCs w:val="20"/>
        </w:rPr>
        <w:t>²</w:t>
      </w:r>
      <w:r w:rsidRPr="00E15888">
        <w:rPr>
          <w:rFonts w:ascii="Times New Roman" w:eastAsiaTheme="minorEastAsia" w:hAnsi="Times New Roman" w:cs="Times New Roman"/>
          <w:iCs/>
          <w:sz w:val="20"/>
          <w:szCs w:val="20"/>
        </w:rPr>
        <w:t xml:space="preserve"> = 0.005, </w:t>
      </w:r>
      <w:r w:rsidR="00C60278" w:rsidRPr="00C60278">
        <w:rPr>
          <w:rFonts w:ascii="Times New Roman" w:eastAsiaTheme="minorEastAsia" w:hAnsi="Times New Roman" w:cs="Times New Roman"/>
          <w:i/>
          <w:iCs/>
          <w:sz w:val="20"/>
          <w:szCs w:val="20"/>
        </w:rPr>
        <w:t>q =</w:t>
      </w:r>
      <w:r w:rsidRPr="00E15888">
        <w:rPr>
          <w:rFonts w:ascii="Times New Roman" w:eastAsiaTheme="minorEastAsia" w:hAnsi="Times New Roman" w:cs="Times New Roman"/>
          <w:iCs/>
          <w:sz w:val="20"/>
          <w:szCs w:val="20"/>
        </w:rPr>
        <w:t xml:space="preserve"> 0.001; 999 permutations; Supplementary Table S4). Homogeneity</w:t>
      </w:r>
      <w:r w:rsidR="00F7503E">
        <w:rPr>
          <w:rFonts w:ascii="Times New Roman" w:eastAsiaTheme="minorEastAsia" w:hAnsi="Times New Roman" w:cs="Times New Roman"/>
          <w:iCs/>
          <w:sz w:val="20"/>
          <w:szCs w:val="20"/>
        </w:rPr>
        <w:t xml:space="preserve"> </w:t>
      </w:r>
      <w:r w:rsidRPr="00E15888">
        <w:rPr>
          <w:rFonts w:ascii="Times New Roman" w:eastAsiaTheme="minorEastAsia" w:hAnsi="Times New Roman" w:cs="Times New Roman"/>
          <w:iCs/>
          <w:sz w:val="20"/>
          <w:szCs w:val="20"/>
        </w:rPr>
        <w:t>of</w:t>
      </w:r>
      <w:r w:rsidR="00F7503E">
        <w:rPr>
          <w:rFonts w:ascii="Times New Roman" w:eastAsiaTheme="minorEastAsia" w:hAnsi="Times New Roman" w:cs="Times New Roman"/>
          <w:iCs/>
          <w:sz w:val="20"/>
          <w:szCs w:val="20"/>
        </w:rPr>
        <w:t xml:space="preserve"> </w:t>
      </w:r>
      <w:r w:rsidRPr="00E15888">
        <w:rPr>
          <w:rFonts w:ascii="Times New Roman" w:eastAsiaTheme="minorEastAsia" w:hAnsi="Times New Roman" w:cs="Times New Roman"/>
          <w:iCs/>
          <w:sz w:val="20"/>
          <w:szCs w:val="20"/>
        </w:rPr>
        <w:t xml:space="preserve">dispersions (betadisper) differed for </w:t>
      </w:r>
      <w:r w:rsidR="00BA14A4">
        <w:rPr>
          <w:rFonts w:ascii="Times New Roman" w:eastAsiaTheme="minorEastAsia" w:hAnsi="Times New Roman" w:cs="Times New Roman"/>
          <w:iCs/>
          <w:sz w:val="20"/>
          <w:szCs w:val="20"/>
        </w:rPr>
        <w:t>Bray–Curtis</w:t>
      </w:r>
      <w:r w:rsidRPr="00E15888">
        <w:rPr>
          <w:rFonts w:ascii="Times New Roman" w:eastAsiaTheme="minorEastAsia" w:hAnsi="Times New Roman" w:cs="Times New Roman"/>
          <w:iCs/>
          <w:sz w:val="20"/>
          <w:szCs w:val="20"/>
        </w:rPr>
        <w:t xml:space="preserve"> but not for Aitchison (permutation </w:t>
      </w:r>
      <w:r w:rsidRPr="002F7AD8">
        <w:rPr>
          <w:rFonts w:ascii="Times New Roman" w:eastAsiaTheme="minorEastAsia" w:hAnsi="Times New Roman" w:cs="Times New Roman"/>
          <w:i/>
          <w:sz w:val="20"/>
          <w:szCs w:val="20"/>
        </w:rPr>
        <w:t>P</w:t>
      </w:r>
      <w:r w:rsidRPr="00E15888">
        <w:rPr>
          <w:rFonts w:ascii="Times New Roman" w:eastAsiaTheme="minorEastAsia" w:hAnsi="Times New Roman" w:cs="Times New Roman"/>
          <w:iCs/>
          <w:sz w:val="20"/>
          <w:szCs w:val="20"/>
        </w:rPr>
        <w:t xml:space="preserve"> values in Supplementary Table S4). Thus, group differences are minor in </w:t>
      </w:r>
      <w:r w:rsidRPr="00E15888">
        <w:rPr>
          <w:rFonts w:ascii="Times New Roman" w:eastAsiaTheme="minorEastAsia" w:hAnsi="Times New Roman" w:cs="Times New Roman"/>
          <w:iCs/>
          <w:sz w:val="20"/>
          <w:szCs w:val="20"/>
        </w:rPr>
        <w:lastRenderedPageBreak/>
        <w:t xml:space="preserve">magnitude and partly confounded by dispersion for </w:t>
      </w:r>
      <w:r w:rsidR="00BA14A4">
        <w:rPr>
          <w:rFonts w:ascii="Times New Roman" w:eastAsiaTheme="minorEastAsia" w:hAnsi="Times New Roman" w:cs="Times New Roman"/>
          <w:iCs/>
          <w:sz w:val="20"/>
          <w:szCs w:val="20"/>
        </w:rPr>
        <w:t>Bray–Curtis</w:t>
      </w:r>
      <w:r w:rsidRPr="00E15888">
        <w:rPr>
          <w:rFonts w:ascii="Times New Roman" w:eastAsiaTheme="minorEastAsia" w:hAnsi="Times New Roman" w:cs="Times New Roman"/>
          <w:iCs/>
          <w:sz w:val="20"/>
          <w:szCs w:val="20"/>
        </w:rPr>
        <w:t>; the Aitchison result is less sensitive to this assumption.</w:t>
      </w:r>
    </w:p>
    <w:p w14:paraId="6A06B0CE" w14:textId="2D8B8997" w:rsidR="000962DE" w:rsidRDefault="00E15888" w:rsidP="00E15888">
      <w:pPr>
        <w:keepNext/>
        <w:jc w:val="center"/>
      </w:pPr>
      <w:r>
        <w:rPr>
          <w:rFonts w:ascii="Times New Roman" w:eastAsiaTheme="minorEastAsia" w:hAnsi="Times New Roman" w:cs="Times New Roman"/>
          <w:iCs/>
          <w:noProof/>
          <w:sz w:val="20"/>
          <w:szCs w:val="20"/>
        </w:rPr>
        <w:drawing>
          <wp:inline distT="0" distB="0" distL="0" distR="0" wp14:anchorId="793CE9D6" wp14:editId="15AAD040">
            <wp:extent cx="5939790" cy="2886075"/>
            <wp:effectExtent l="0" t="0" r="3810" b="9525"/>
            <wp:docPr id="1992095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886075"/>
                    </a:xfrm>
                    <a:prstGeom prst="rect">
                      <a:avLst/>
                    </a:prstGeom>
                    <a:noFill/>
                    <a:ln>
                      <a:noFill/>
                    </a:ln>
                  </pic:spPr>
                </pic:pic>
              </a:graphicData>
            </a:graphic>
          </wp:inline>
        </w:drawing>
      </w:r>
    </w:p>
    <w:p w14:paraId="14AA3DD7" w14:textId="29D6E3D5" w:rsidR="000962DE" w:rsidRDefault="000962DE" w:rsidP="000962DE">
      <w:pPr>
        <w:pStyle w:val="Caption"/>
        <w:rPr>
          <w:rFonts w:ascii="Times New Roman" w:eastAsiaTheme="minorEastAsia" w:hAnsi="Times New Roman" w:cs="Times New Roman"/>
          <w:i w:val="0"/>
          <w:color w:val="auto"/>
          <w:sz w:val="20"/>
          <w:szCs w:val="20"/>
        </w:rPr>
      </w:pPr>
      <w:r w:rsidRPr="000962DE">
        <w:rPr>
          <w:rFonts w:ascii="Times New Roman" w:eastAsiaTheme="minorEastAsia" w:hAnsi="Times New Roman" w:cs="Times New Roman"/>
          <w:b/>
          <w:bCs/>
          <w:i w:val="0"/>
          <w:color w:val="auto"/>
          <w:sz w:val="20"/>
          <w:szCs w:val="20"/>
        </w:rPr>
        <w:t xml:space="preserve">Figure 2 | </w:t>
      </w:r>
      <w:r w:rsidR="00E15888" w:rsidRPr="00E15888">
        <w:rPr>
          <w:rFonts w:ascii="Times New Roman" w:eastAsiaTheme="minorEastAsia" w:hAnsi="Times New Roman" w:cs="Times New Roman"/>
          <w:b/>
          <w:bCs/>
          <w:i w:val="0"/>
          <w:color w:val="auto"/>
          <w:sz w:val="20"/>
          <w:szCs w:val="20"/>
        </w:rPr>
        <w:t xml:space="preserve">PCoA of community structure in PD. </w:t>
      </w:r>
      <w:r w:rsidR="00E15888" w:rsidRPr="00E15888">
        <w:rPr>
          <w:rFonts w:ascii="Times New Roman" w:eastAsiaTheme="minorEastAsia" w:hAnsi="Times New Roman" w:cs="Times New Roman"/>
          <w:i w:val="0"/>
          <w:color w:val="auto"/>
          <w:sz w:val="20"/>
          <w:szCs w:val="20"/>
        </w:rPr>
        <w:t xml:space="preserve">(a) </w:t>
      </w:r>
      <w:r w:rsidR="00BA14A4">
        <w:rPr>
          <w:rFonts w:ascii="Times New Roman" w:eastAsiaTheme="minorEastAsia" w:hAnsi="Times New Roman" w:cs="Times New Roman"/>
          <w:i w:val="0"/>
          <w:color w:val="auto"/>
          <w:sz w:val="20"/>
          <w:szCs w:val="20"/>
        </w:rPr>
        <w:t>Bray–Curtis</w:t>
      </w:r>
      <w:r w:rsidR="00E15888" w:rsidRPr="00E15888">
        <w:rPr>
          <w:rFonts w:ascii="Times New Roman" w:eastAsiaTheme="minorEastAsia" w:hAnsi="Times New Roman" w:cs="Times New Roman"/>
          <w:i w:val="0"/>
          <w:color w:val="auto"/>
          <w:sz w:val="20"/>
          <w:szCs w:val="20"/>
        </w:rPr>
        <w:t xml:space="preserve">; (b) Aitchison/CLR. PERMANOVA (by terms) with covariates as listed; 999 permutations. Caption annotations show </w:t>
      </w:r>
      <w:r w:rsidR="00C60278" w:rsidRPr="00C60278">
        <w:rPr>
          <w:rFonts w:ascii="Times New Roman" w:eastAsiaTheme="minorEastAsia" w:hAnsi="Times New Roman" w:cs="Times New Roman"/>
          <w:color w:val="auto"/>
          <w:sz w:val="20"/>
          <w:szCs w:val="20"/>
        </w:rPr>
        <w:t>R</w:t>
      </w:r>
      <w:r w:rsidR="00091B00" w:rsidRPr="00091B00">
        <w:rPr>
          <w:rFonts w:ascii="Times New Roman" w:eastAsiaTheme="minorEastAsia" w:hAnsi="Times New Roman" w:cs="Times New Roman"/>
          <w:i w:val="0"/>
          <w:color w:val="auto"/>
          <w:sz w:val="20"/>
          <w:szCs w:val="20"/>
        </w:rPr>
        <w:t>²</w:t>
      </w:r>
      <w:r w:rsidR="00E15888" w:rsidRPr="00E15888">
        <w:rPr>
          <w:rFonts w:ascii="Times New Roman" w:eastAsiaTheme="minorEastAsia" w:hAnsi="Times New Roman" w:cs="Times New Roman"/>
          <w:i w:val="0"/>
          <w:color w:val="auto"/>
          <w:sz w:val="20"/>
          <w:szCs w:val="20"/>
        </w:rPr>
        <w:t xml:space="preserve"> and BH-adjusted q for Group. Dispersion permutation </w:t>
      </w:r>
      <w:r w:rsidR="00E15888" w:rsidRPr="002F7AD8">
        <w:rPr>
          <w:rFonts w:ascii="Times New Roman" w:eastAsiaTheme="minorEastAsia" w:hAnsi="Times New Roman" w:cs="Times New Roman"/>
          <w:iCs w:val="0"/>
          <w:color w:val="auto"/>
          <w:sz w:val="20"/>
          <w:szCs w:val="20"/>
        </w:rPr>
        <w:t>P</w:t>
      </w:r>
      <w:r w:rsidR="00E15888" w:rsidRPr="00E15888">
        <w:rPr>
          <w:rFonts w:ascii="Times New Roman" w:eastAsiaTheme="minorEastAsia" w:hAnsi="Times New Roman" w:cs="Times New Roman"/>
          <w:i w:val="0"/>
          <w:color w:val="auto"/>
          <w:sz w:val="20"/>
          <w:szCs w:val="20"/>
        </w:rPr>
        <w:t xml:space="preserve"> values are provided in Supplementary Table S4.</w:t>
      </w:r>
    </w:p>
    <w:p w14:paraId="6EE65B9F" w14:textId="77777777" w:rsidR="00E15888" w:rsidRDefault="00E15888" w:rsidP="0045362A">
      <w:pPr>
        <w:keepNext/>
        <w:rPr>
          <w:rFonts w:ascii="Times New Roman" w:eastAsiaTheme="minorEastAsia" w:hAnsi="Times New Roman" w:cs="Times New Roman"/>
          <w:b/>
          <w:bCs/>
          <w:iCs/>
          <w:sz w:val="22"/>
          <w:szCs w:val="22"/>
        </w:rPr>
      </w:pPr>
      <w:r w:rsidRPr="00E15888">
        <w:rPr>
          <w:rFonts w:ascii="Times New Roman" w:eastAsiaTheme="minorEastAsia" w:hAnsi="Times New Roman" w:cs="Times New Roman"/>
          <w:b/>
          <w:bCs/>
          <w:iCs/>
          <w:sz w:val="22"/>
          <w:szCs w:val="22"/>
        </w:rPr>
        <w:t>One taxon differs after FDR correction; several others show trends</w:t>
      </w:r>
    </w:p>
    <w:p w14:paraId="50F44845" w14:textId="7D3B3883" w:rsidR="00E15888" w:rsidRPr="00263FD8" w:rsidRDefault="00E15888" w:rsidP="0045362A">
      <w:pPr>
        <w:keepNext/>
        <w:rPr>
          <w:rFonts w:ascii="Times New Roman" w:eastAsiaTheme="minorEastAsia" w:hAnsi="Times New Roman" w:cs="Times New Roman"/>
          <w:iCs/>
          <w:sz w:val="20"/>
          <w:szCs w:val="20"/>
        </w:rPr>
      </w:pPr>
      <w:r w:rsidRPr="00263FD8">
        <w:rPr>
          <w:rFonts w:ascii="Times New Roman" w:eastAsiaTheme="minorEastAsia" w:hAnsi="Times New Roman" w:cs="Times New Roman"/>
          <w:iCs/>
          <w:sz w:val="20"/>
          <w:szCs w:val="20"/>
        </w:rPr>
        <w:t>After prevalence filtering (RA &gt; 1×10⁻⁴ in</w:t>
      </w:r>
      <w:r w:rsidR="00263FD8">
        <w:rPr>
          <w:rFonts w:ascii="Times New Roman" w:eastAsiaTheme="minorEastAsia" w:hAnsi="Times New Roman" w:cs="Times New Roman"/>
          <w:iCs/>
          <w:sz w:val="20"/>
          <w:szCs w:val="20"/>
        </w:rPr>
        <w:t xml:space="preserve"> </w:t>
      </w:r>
      <w:r w:rsidRPr="00263FD8">
        <w:rPr>
          <w:rFonts w:ascii="Times New Roman" w:eastAsiaTheme="minorEastAsia" w:hAnsi="Times New Roman" w:cs="Times New Roman"/>
          <w:iCs/>
          <w:sz w:val="20"/>
          <w:szCs w:val="20"/>
        </w:rPr>
        <w:t xml:space="preserve">≥5% of samples), 230 taxa were tested using CLR + limma with covariate adjustment. One taxon met </w:t>
      </w:r>
      <w:r w:rsidR="00F7503E" w:rsidRPr="00F7503E">
        <w:rPr>
          <w:rFonts w:ascii="Times New Roman" w:eastAsiaTheme="minorEastAsia" w:hAnsi="Times New Roman" w:cs="Times New Roman"/>
          <w:iCs/>
          <w:sz w:val="20"/>
          <w:szCs w:val="20"/>
        </w:rPr>
        <w:t>FDR (</w:t>
      </w:r>
      <w:r w:rsidR="00F7503E" w:rsidRPr="00F7503E">
        <w:rPr>
          <w:rFonts w:ascii="Times New Roman" w:eastAsiaTheme="minorEastAsia" w:hAnsi="Times New Roman" w:cs="Times New Roman"/>
          <w:i/>
          <w:sz w:val="20"/>
          <w:szCs w:val="20"/>
        </w:rPr>
        <w:t>q</w:t>
      </w:r>
      <w:r w:rsidR="00F7503E" w:rsidRPr="00F7503E">
        <w:rPr>
          <w:rFonts w:ascii="Times New Roman" w:eastAsiaTheme="minorEastAsia" w:hAnsi="Times New Roman" w:cs="Times New Roman"/>
          <w:iCs/>
          <w:sz w:val="20"/>
          <w:szCs w:val="20"/>
        </w:rPr>
        <w:t xml:space="preserve">) &lt; 0.05: </w:t>
      </w:r>
      <w:r w:rsidR="00F7503E" w:rsidRPr="00F7503E">
        <w:rPr>
          <w:rFonts w:ascii="Times New Roman" w:eastAsiaTheme="minorEastAsia" w:hAnsi="Times New Roman" w:cs="Times New Roman"/>
          <w:i/>
          <w:sz w:val="20"/>
          <w:szCs w:val="20"/>
        </w:rPr>
        <w:t>Ruthenibacterium lactatiformans</w:t>
      </w:r>
      <w:r w:rsidRPr="00263FD8">
        <w:rPr>
          <w:rFonts w:ascii="Times New Roman" w:eastAsiaTheme="minorEastAsia" w:hAnsi="Times New Roman" w:cs="Times New Roman"/>
          <w:iCs/>
          <w:sz w:val="20"/>
          <w:szCs w:val="20"/>
        </w:rPr>
        <w:t xml:space="preserve"> (logFC = 0.696, </w:t>
      </w:r>
      <w:r w:rsidR="00C60278" w:rsidRPr="00C60278">
        <w:rPr>
          <w:rFonts w:ascii="Times New Roman" w:eastAsiaTheme="minorEastAsia" w:hAnsi="Times New Roman" w:cs="Times New Roman"/>
          <w:i/>
          <w:iCs/>
          <w:sz w:val="20"/>
          <w:szCs w:val="20"/>
        </w:rPr>
        <w:t>q =</w:t>
      </w:r>
      <w:r w:rsidRPr="00263FD8">
        <w:rPr>
          <w:rFonts w:ascii="Times New Roman" w:eastAsiaTheme="minorEastAsia" w:hAnsi="Times New Roman" w:cs="Times New Roman"/>
          <w:iCs/>
          <w:sz w:val="20"/>
          <w:szCs w:val="20"/>
        </w:rPr>
        <w:t xml:space="preserve"> 0.015; higher in cases). Several taxa exhibited non-significant trends (e.g., </w:t>
      </w:r>
      <w:r w:rsidRPr="00263FD8">
        <w:rPr>
          <w:rFonts w:ascii="Times New Roman" w:eastAsiaTheme="minorEastAsia" w:hAnsi="Times New Roman" w:cs="Times New Roman"/>
          <w:i/>
          <w:iCs/>
          <w:sz w:val="20"/>
          <w:szCs w:val="20"/>
        </w:rPr>
        <w:t>Faecalibacterium prausnitzii</w:t>
      </w:r>
      <w:r w:rsidRPr="00263FD8">
        <w:rPr>
          <w:rFonts w:ascii="Times New Roman" w:eastAsiaTheme="minorEastAsia" w:hAnsi="Times New Roman" w:cs="Times New Roman"/>
          <w:iCs/>
          <w:sz w:val="20"/>
          <w:szCs w:val="20"/>
        </w:rPr>
        <w:t xml:space="preserve"> and </w:t>
      </w:r>
      <w:r w:rsidRPr="00263FD8">
        <w:rPr>
          <w:rFonts w:ascii="Times New Roman" w:eastAsiaTheme="minorEastAsia" w:hAnsi="Times New Roman" w:cs="Times New Roman"/>
          <w:i/>
          <w:iCs/>
          <w:sz w:val="20"/>
          <w:szCs w:val="20"/>
        </w:rPr>
        <w:t>Coprococcus comes</w:t>
      </w:r>
      <w:r w:rsidRPr="00263FD8">
        <w:rPr>
          <w:rFonts w:ascii="Times New Roman" w:eastAsiaTheme="minorEastAsia" w:hAnsi="Times New Roman" w:cs="Times New Roman"/>
          <w:iCs/>
          <w:sz w:val="20"/>
          <w:szCs w:val="20"/>
        </w:rPr>
        <w:t xml:space="preserve"> </w:t>
      </w:r>
      <w:r w:rsidRPr="00263FD8">
        <w:rPr>
          <w:rFonts w:ascii="Times New Roman" w:eastAsiaTheme="minorEastAsia" w:hAnsi="Times New Roman" w:cs="Times New Roman"/>
          <w:iCs/>
          <w:sz w:val="20"/>
          <w:szCs w:val="20"/>
        </w:rPr>
        <w:lastRenderedPageBreak/>
        <w:t xml:space="preserve">lower in cases; </w:t>
      </w:r>
      <w:r w:rsidRPr="00263FD8">
        <w:rPr>
          <w:rFonts w:ascii="Times New Roman" w:eastAsiaTheme="minorEastAsia" w:hAnsi="Times New Roman" w:cs="Times New Roman"/>
          <w:i/>
          <w:iCs/>
          <w:sz w:val="20"/>
          <w:szCs w:val="20"/>
        </w:rPr>
        <w:t>Escherichia coli</w:t>
      </w:r>
      <w:r w:rsidRPr="00263FD8">
        <w:rPr>
          <w:rFonts w:ascii="Times New Roman" w:eastAsiaTheme="minorEastAsia" w:hAnsi="Times New Roman" w:cs="Times New Roman"/>
          <w:iCs/>
          <w:sz w:val="20"/>
          <w:szCs w:val="20"/>
        </w:rPr>
        <w:t xml:space="preserve"> higher), summarized in Fig. 3a</w:t>
      </w:r>
      <w:r w:rsidR="0004326E" w:rsidRPr="0004326E">
        <w:rPr>
          <w:rFonts w:ascii="Times New Roman" w:eastAsiaTheme="minorEastAsia" w:hAnsi="Times New Roman" w:cs="Times New Roman"/>
          <w:iCs/>
          <w:sz w:val="20"/>
          <w:szCs w:val="20"/>
        </w:rPr>
        <w:t>–</w:t>
      </w:r>
      <w:r w:rsidRPr="00263FD8">
        <w:rPr>
          <w:rFonts w:ascii="Times New Roman" w:eastAsiaTheme="minorEastAsia" w:hAnsi="Times New Roman" w:cs="Times New Roman"/>
          <w:iCs/>
          <w:sz w:val="20"/>
          <w:szCs w:val="20"/>
        </w:rPr>
        <w:t>b and Table 2. The complete results (all 230 taxa) are in Supplementary Table S2.</w:t>
      </w:r>
    </w:p>
    <w:p w14:paraId="4EC29BB9" w14:textId="4CEB82DA" w:rsidR="00472A12" w:rsidRDefault="00E15888" w:rsidP="00E15888">
      <w:pPr>
        <w:keepNext/>
        <w:jc w:val="center"/>
      </w:pPr>
      <w:r>
        <w:rPr>
          <w:rFonts w:ascii="Times New Roman" w:eastAsiaTheme="minorEastAsia" w:hAnsi="Times New Roman" w:cs="Times New Roman"/>
          <w:iCs/>
          <w:noProof/>
          <w:sz w:val="20"/>
          <w:szCs w:val="20"/>
        </w:rPr>
        <w:drawing>
          <wp:inline distT="0" distB="0" distL="0" distR="0" wp14:anchorId="7AEBDD09" wp14:editId="5F7B3B9D">
            <wp:extent cx="5939790" cy="3283585"/>
            <wp:effectExtent l="0" t="0" r="3810" b="0"/>
            <wp:docPr id="15996605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p w14:paraId="4336009B" w14:textId="7FB05D20" w:rsidR="00472A12" w:rsidRDefault="00472A12" w:rsidP="00472A12">
      <w:pPr>
        <w:pStyle w:val="Caption"/>
        <w:rPr>
          <w:rFonts w:ascii="Times New Roman" w:eastAsiaTheme="minorEastAsia" w:hAnsi="Times New Roman" w:cs="Times New Roman"/>
          <w:i w:val="0"/>
          <w:color w:val="auto"/>
          <w:sz w:val="20"/>
          <w:szCs w:val="20"/>
        </w:rPr>
      </w:pPr>
      <w:r w:rsidRPr="000962DE">
        <w:rPr>
          <w:rFonts w:ascii="Times New Roman" w:eastAsiaTheme="minorEastAsia" w:hAnsi="Times New Roman" w:cs="Times New Roman"/>
          <w:b/>
          <w:bCs/>
          <w:i w:val="0"/>
          <w:color w:val="auto"/>
          <w:sz w:val="20"/>
          <w:szCs w:val="20"/>
        </w:rPr>
        <w:t xml:space="preserve">Figure </w:t>
      </w:r>
      <w:r>
        <w:rPr>
          <w:rFonts w:ascii="Times New Roman" w:eastAsiaTheme="minorEastAsia" w:hAnsi="Times New Roman" w:cs="Times New Roman"/>
          <w:b/>
          <w:bCs/>
          <w:i w:val="0"/>
          <w:color w:val="auto"/>
          <w:sz w:val="20"/>
          <w:szCs w:val="20"/>
        </w:rPr>
        <w:t>3</w:t>
      </w:r>
      <w:r w:rsidRPr="000962DE">
        <w:rPr>
          <w:rFonts w:ascii="Times New Roman" w:eastAsiaTheme="minorEastAsia" w:hAnsi="Times New Roman" w:cs="Times New Roman"/>
          <w:b/>
          <w:bCs/>
          <w:i w:val="0"/>
          <w:color w:val="auto"/>
          <w:sz w:val="20"/>
          <w:szCs w:val="20"/>
        </w:rPr>
        <w:t xml:space="preserve"> | </w:t>
      </w:r>
      <w:r w:rsidR="00E15888" w:rsidRPr="00E15888">
        <w:rPr>
          <w:rFonts w:ascii="Times New Roman" w:eastAsiaTheme="minorEastAsia" w:hAnsi="Times New Roman" w:cs="Times New Roman"/>
          <w:b/>
          <w:bCs/>
          <w:i w:val="0"/>
          <w:color w:val="auto"/>
          <w:sz w:val="20"/>
          <w:szCs w:val="20"/>
        </w:rPr>
        <w:t xml:space="preserve">Differential taxa in PD (case </w:t>
      </w:r>
      <w:r w:rsidR="00882A99">
        <w:rPr>
          <w:rFonts w:ascii="Times New Roman" w:eastAsiaTheme="minorEastAsia" w:hAnsi="Times New Roman" w:cs="Times New Roman"/>
          <w:b/>
          <w:bCs/>
          <w:i w:val="0"/>
          <w:color w:val="auto"/>
          <w:sz w:val="20"/>
          <w:szCs w:val="20"/>
        </w:rPr>
        <w:t>vs.</w:t>
      </w:r>
      <w:r w:rsidR="00E15888" w:rsidRPr="00E15888">
        <w:rPr>
          <w:rFonts w:ascii="Times New Roman" w:eastAsiaTheme="minorEastAsia" w:hAnsi="Times New Roman" w:cs="Times New Roman"/>
          <w:b/>
          <w:bCs/>
          <w:i w:val="0"/>
          <w:color w:val="auto"/>
          <w:sz w:val="20"/>
          <w:szCs w:val="20"/>
        </w:rPr>
        <w:t xml:space="preserve"> control; CLR + limma). </w:t>
      </w:r>
      <w:r w:rsidR="00E15888" w:rsidRPr="00E15888">
        <w:rPr>
          <w:rFonts w:ascii="Times New Roman" w:eastAsiaTheme="minorEastAsia" w:hAnsi="Times New Roman" w:cs="Times New Roman"/>
          <w:i w:val="0"/>
          <w:color w:val="auto"/>
          <w:sz w:val="20"/>
          <w:szCs w:val="20"/>
        </w:rPr>
        <w:t xml:space="preserve">(a) Volcano plot (dashed lines: |logFC| = 0.1, </w:t>
      </w:r>
      <w:r w:rsidR="00C60278" w:rsidRPr="00C60278">
        <w:rPr>
          <w:rFonts w:ascii="Times New Roman" w:eastAsiaTheme="minorEastAsia" w:hAnsi="Times New Roman" w:cs="Times New Roman"/>
          <w:color w:val="auto"/>
          <w:sz w:val="20"/>
          <w:szCs w:val="20"/>
        </w:rPr>
        <w:t>q =</w:t>
      </w:r>
      <w:r w:rsidR="00E15888" w:rsidRPr="00E15888">
        <w:rPr>
          <w:rFonts w:ascii="Times New Roman" w:eastAsiaTheme="minorEastAsia" w:hAnsi="Times New Roman" w:cs="Times New Roman"/>
          <w:i w:val="0"/>
          <w:color w:val="auto"/>
          <w:sz w:val="20"/>
          <w:szCs w:val="20"/>
        </w:rPr>
        <w:t xml:space="preserve"> 0.</w:t>
      </w:r>
      <w:r w:rsidR="002F291D">
        <w:rPr>
          <w:rFonts w:ascii="Times New Roman" w:eastAsiaTheme="minorEastAsia" w:hAnsi="Times New Roman" w:cs="Times New Roman"/>
          <w:i w:val="0"/>
          <w:color w:val="auto"/>
          <w:sz w:val="20"/>
          <w:szCs w:val="20"/>
        </w:rPr>
        <w:t>05</w:t>
      </w:r>
      <w:r w:rsidR="00E15888" w:rsidRPr="00E15888">
        <w:rPr>
          <w:rFonts w:ascii="Times New Roman" w:eastAsiaTheme="minorEastAsia" w:hAnsi="Times New Roman" w:cs="Times New Roman"/>
          <w:i w:val="0"/>
          <w:color w:val="auto"/>
          <w:sz w:val="20"/>
          <w:szCs w:val="20"/>
        </w:rPr>
        <w:t xml:space="preserve">); orange = higher in cases, blue = higher in controls. (b) </w:t>
      </w:r>
      <w:r w:rsidR="00B738AF" w:rsidRPr="00B738AF">
        <w:rPr>
          <w:rFonts w:ascii="Times New Roman" w:eastAsiaTheme="minorEastAsia" w:hAnsi="Times New Roman" w:cs="Times New Roman"/>
          <w:i w:val="0"/>
          <w:color w:val="auto"/>
          <w:sz w:val="20"/>
          <w:szCs w:val="20"/>
        </w:rPr>
        <w:t xml:space="preserve">Bar plot of </w:t>
      </w:r>
      <w:r w:rsidR="00B20FFD">
        <w:rPr>
          <w:rFonts w:ascii="Times New Roman" w:eastAsiaTheme="minorEastAsia" w:hAnsi="Times New Roman" w:cs="Times New Roman"/>
          <w:i w:val="0"/>
          <w:color w:val="auto"/>
          <w:sz w:val="20"/>
          <w:szCs w:val="20"/>
        </w:rPr>
        <w:t>T</w:t>
      </w:r>
      <w:r w:rsidR="00B20FFD" w:rsidRPr="00B20FFD">
        <w:rPr>
          <w:rFonts w:ascii="Times New Roman" w:eastAsiaTheme="minorEastAsia" w:hAnsi="Times New Roman" w:cs="Times New Roman"/>
          <w:i w:val="0"/>
          <w:color w:val="auto"/>
          <w:sz w:val="20"/>
          <w:szCs w:val="20"/>
        </w:rPr>
        <w:t>op-20 taxa ranked by FDR (</w:t>
      </w:r>
      <w:r w:rsidR="00D8559D">
        <w:rPr>
          <w:rFonts w:ascii="Times New Roman" w:eastAsiaTheme="minorEastAsia" w:hAnsi="Times New Roman" w:cs="Times New Roman"/>
          <w:i w:val="0"/>
          <w:color w:val="auto"/>
          <w:sz w:val="20"/>
          <w:szCs w:val="20"/>
        </w:rPr>
        <w:t>q</w:t>
      </w:r>
      <w:r w:rsidR="00B20FFD" w:rsidRPr="00B20FFD">
        <w:rPr>
          <w:rFonts w:ascii="Times New Roman" w:eastAsiaTheme="minorEastAsia" w:hAnsi="Times New Roman" w:cs="Times New Roman"/>
          <w:i w:val="0"/>
          <w:color w:val="auto"/>
          <w:sz w:val="20"/>
          <w:szCs w:val="20"/>
        </w:rPr>
        <w:t>) and |logFC| (direction colored by group).</w:t>
      </w:r>
      <w:r w:rsidR="00B738AF" w:rsidRPr="00B738AF">
        <w:rPr>
          <w:rFonts w:ascii="Times New Roman" w:eastAsiaTheme="minorEastAsia" w:hAnsi="Times New Roman" w:cs="Times New Roman"/>
          <w:i w:val="0"/>
          <w:color w:val="auto"/>
          <w:sz w:val="20"/>
          <w:szCs w:val="20"/>
        </w:rPr>
        <w:t xml:space="preserve"> </w:t>
      </w:r>
      <w:r w:rsidR="002F1F05" w:rsidRPr="002F1F05">
        <w:rPr>
          <w:rFonts w:ascii="Times New Roman" w:eastAsiaTheme="minorEastAsia" w:hAnsi="Times New Roman" w:cs="Times New Roman"/>
          <w:i w:val="0"/>
          <w:color w:val="auto"/>
          <w:sz w:val="20"/>
          <w:szCs w:val="20"/>
        </w:rPr>
        <w:t xml:space="preserve">Taxa logFC is on the CLR (natural-log) scale; positive = higher in cases. Models adjust for Age, Sex, BMI, Laxatives, and collection_method. </w:t>
      </w:r>
      <w:r w:rsidR="00091B00" w:rsidRPr="00091B00">
        <w:rPr>
          <w:rFonts w:ascii="Times New Roman" w:eastAsiaTheme="minorEastAsia" w:hAnsi="Times New Roman" w:cs="Times New Roman"/>
          <w:color w:val="auto"/>
          <w:sz w:val="20"/>
          <w:szCs w:val="20"/>
        </w:rPr>
        <w:t xml:space="preserve">n = </w:t>
      </w:r>
      <w:r w:rsidR="002F1F05" w:rsidRPr="002F1F05">
        <w:rPr>
          <w:rFonts w:ascii="Times New Roman" w:eastAsiaTheme="minorEastAsia" w:hAnsi="Times New Roman" w:cs="Times New Roman"/>
          <w:i w:val="0"/>
          <w:color w:val="auto"/>
          <w:sz w:val="20"/>
          <w:szCs w:val="20"/>
        </w:rPr>
        <w:t>230 taxa tested; BH FDR applied. Full table in Supplementary Table S2.</w:t>
      </w:r>
      <w:r w:rsidR="00D2247F" w:rsidRPr="00D2247F">
        <w:rPr>
          <w:i w:val="0"/>
          <w:iCs w:val="0"/>
          <w:color w:val="auto"/>
          <w:sz w:val="24"/>
          <w:szCs w:val="24"/>
        </w:rPr>
        <w:t xml:space="preserve"> </w:t>
      </w:r>
    </w:p>
    <w:p w14:paraId="5D3E95D8" w14:textId="4D039532" w:rsidR="00472A12" w:rsidRDefault="00E15888" w:rsidP="00472A12">
      <w:pPr>
        <w:keepNext/>
        <w:jc w:val="center"/>
      </w:pPr>
      <w:r>
        <w:rPr>
          <w:noProof/>
        </w:rPr>
        <w:lastRenderedPageBreak/>
        <w:drawing>
          <wp:inline distT="0" distB="0" distL="0" distR="0" wp14:anchorId="6088A8EB" wp14:editId="65729075">
            <wp:extent cx="5943600" cy="4009390"/>
            <wp:effectExtent l="0" t="0" r="0" b="0"/>
            <wp:docPr id="922254713"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54713" name="Picture 6"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pic:spPr>
                </pic:pic>
              </a:graphicData>
            </a:graphic>
          </wp:inline>
        </w:drawing>
      </w:r>
    </w:p>
    <w:p w14:paraId="3B47BBF2" w14:textId="41D6CCB8" w:rsidR="00B738AF" w:rsidRDefault="00E15888" w:rsidP="00472A12">
      <w:pPr>
        <w:rPr>
          <w:rFonts w:ascii="Times New Roman" w:eastAsiaTheme="minorEastAsia" w:hAnsi="Times New Roman" w:cs="Times New Roman"/>
          <w:iCs/>
          <w:sz w:val="20"/>
          <w:szCs w:val="20"/>
        </w:rPr>
      </w:pPr>
      <w:r w:rsidRPr="00E15888">
        <w:rPr>
          <w:rFonts w:ascii="Times New Roman" w:eastAsiaTheme="minorEastAsia" w:hAnsi="Times New Roman" w:cs="Times New Roman"/>
          <w:b/>
          <w:bCs/>
          <w:iCs/>
          <w:sz w:val="20"/>
          <w:szCs w:val="20"/>
        </w:rPr>
        <w:t xml:space="preserve">Table 2 | Top 20 differentially abundant taxa (PD-only; case </w:t>
      </w:r>
      <w:r w:rsidR="00882A99">
        <w:rPr>
          <w:rFonts w:ascii="Times New Roman" w:eastAsiaTheme="minorEastAsia" w:hAnsi="Times New Roman" w:cs="Times New Roman"/>
          <w:b/>
          <w:bCs/>
          <w:iCs/>
          <w:sz w:val="20"/>
          <w:szCs w:val="20"/>
        </w:rPr>
        <w:t>vs.</w:t>
      </w:r>
      <w:r w:rsidRPr="00E15888">
        <w:rPr>
          <w:rFonts w:ascii="Times New Roman" w:eastAsiaTheme="minorEastAsia" w:hAnsi="Times New Roman" w:cs="Times New Roman"/>
          <w:b/>
          <w:bCs/>
          <w:iCs/>
          <w:sz w:val="20"/>
          <w:szCs w:val="20"/>
        </w:rPr>
        <w:t xml:space="preserve"> control). </w:t>
      </w:r>
      <w:r w:rsidRPr="00E15888">
        <w:rPr>
          <w:rFonts w:ascii="Times New Roman" w:eastAsiaTheme="minorEastAsia" w:hAnsi="Times New Roman" w:cs="Times New Roman"/>
          <w:iCs/>
          <w:sz w:val="20"/>
          <w:szCs w:val="20"/>
        </w:rPr>
        <w:t xml:space="preserve">Columns include Taxon, logFC (case/control), FDR-adjusted </w:t>
      </w:r>
      <w:r w:rsidRPr="0004326E">
        <w:rPr>
          <w:rFonts w:ascii="Times New Roman" w:eastAsiaTheme="minorEastAsia" w:hAnsi="Times New Roman" w:cs="Times New Roman"/>
          <w:i/>
          <w:sz w:val="20"/>
          <w:szCs w:val="20"/>
        </w:rPr>
        <w:t>q</w:t>
      </w:r>
      <w:r w:rsidRPr="00E15888">
        <w:rPr>
          <w:rFonts w:ascii="Times New Roman" w:eastAsiaTheme="minorEastAsia" w:hAnsi="Times New Roman" w:cs="Times New Roman"/>
          <w:iCs/>
          <w:sz w:val="20"/>
          <w:szCs w:val="20"/>
        </w:rPr>
        <w:t>, Direction, Prevalence, and mean relative abundance by group. Footnotes document filtering and covariates. The full feature-level table is in Supplementary Table S2.</w:t>
      </w:r>
      <w:r w:rsidR="00FD72DF">
        <w:rPr>
          <w:rFonts w:ascii="Times New Roman" w:eastAsiaTheme="minorEastAsia" w:hAnsi="Times New Roman" w:cs="Times New Roman"/>
          <w:iCs/>
          <w:sz w:val="20"/>
          <w:szCs w:val="20"/>
        </w:rPr>
        <w:t xml:space="preserve"> </w:t>
      </w:r>
      <w:r w:rsidR="00B738AF" w:rsidRPr="00B738AF">
        <w:rPr>
          <w:rFonts w:ascii="Times New Roman" w:eastAsiaTheme="minorEastAsia" w:hAnsi="Times New Roman" w:cs="Times New Roman"/>
          <w:iCs/>
          <w:sz w:val="20"/>
          <w:szCs w:val="20"/>
        </w:rPr>
        <w:t>Taxa effects are on the ln-CLR scale (limma); positive = higher in cases.</w:t>
      </w:r>
    </w:p>
    <w:p w14:paraId="5D01FA03" w14:textId="09451BCA" w:rsidR="00C11201" w:rsidRDefault="00C11201" w:rsidP="00472A12">
      <w:pPr>
        <w:rPr>
          <w:rFonts w:ascii="Times New Roman" w:eastAsiaTheme="minorEastAsia" w:hAnsi="Times New Roman" w:cs="Times New Roman"/>
          <w:b/>
          <w:bCs/>
          <w:iCs/>
          <w:sz w:val="22"/>
          <w:szCs w:val="22"/>
        </w:rPr>
      </w:pPr>
      <w:r w:rsidRPr="00C11201">
        <w:rPr>
          <w:rFonts w:ascii="Times New Roman" w:eastAsiaTheme="minorEastAsia" w:hAnsi="Times New Roman" w:cs="Times New Roman"/>
          <w:b/>
          <w:bCs/>
          <w:iCs/>
          <w:sz w:val="22"/>
          <w:szCs w:val="22"/>
        </w:rPr>
        <w:t>Functional pathways show widespread differences, dominated by lipid/cofactor biosynthesis; some pathways are lower in cases</w:t>
      </w:r>
    </w:p>
    <w:p w14:paraId="4BC906C7" w14:textId="4A88B3E6" w:rsidR="00C11201" w:rsidRDefault="00C11201" w:rsidP="00C11201">
      <w:pPr>
        <w:keepNext/>
        <w:rPr>
          <w:rFonts w:ascii="Times New Roman" w:eastAsiaTheme="minorEastAsia" w:hAnsi="Times New Roman" w:cs="Times New Roman"/>
          <w:iCs/>
          <w:sz w:val="20"/>
          <w:szCs w:val="20"/>
        </w:rPr>
      </w:pPr>
      <w:r w:rsidRPr="00C11201">
        <w:rPr>
          <w:rFonts w:ascii="Times New Roman" w:eastAsiaTheme="minorEastAsia" w:hAnsi="Times New Roman" w:cs="Times New Roman"/>
          <w:iCs/>
          <w:sz w:val="20"/>
          <w:szCs w:val="20"/>
        </w:rPr>
        <w:t xml:space="preserve">Using </w:t>
      </w:r>
      <w:r w:rsidR="00882A99">
        <w:rPr>
          <w:rFonts w:ascii="Times New Roman" w:eastAsiaTheme="minorEastAsia" w:hAnsi="Times New Roman" w:cs="Times New Roman"/>
          <w:iCs/>
          <w:sz w:val="20"/>
          <w:szCs w:val="20"/>
        </w:rPr>
        <w:t>voom–limma</w:t>
      </w:r>
      <w:r w:rsidRPr="00C11201">
        <w:rPr>
          <w:rFonts w:ascii="Times New Roman" w:eastAsiaTheme="minorEastAsia" w:hAnsi="Times New Roman" w:cs="Times New Roman"/>
          <w:iCs/>
          <w:sz w:val="20"/>
          <w:szCs w:val="20"/>
        </w:rPr>
        <w:t xml:space="preserve"> on HUMAnN pathway counts (covariate-adjusted), </w:t>
      </w:r>
      <w:r w:rsidR="00F7503E" w:rsidRPr="00F7503E">
        <w:rPr>
          <w:rFonts w:ascii="Times New Roman" w:eastAsiaTheme="minorEastAsia" w:hAnsi="Times New Roman" w:cs="Times New Roman"/>
          <w:iCs/>
          <w:sz w:val="20"/>
          <w:szCs w:val="20"/>
        </w:rPr>
        <w:t>510 pathways were tested; 64 met FDR (</w:t>
      </w:r>
      <w:r w:rsidR="00F7503E" w:rsidRPr="00F7503E">
        <w:rPr>
          <w:rFonts w:ascii="Times New Roman" w:eastAsiaTheme="minorEastAsia" w:hAnsi="Times New Roman" w:cs="Times New Roman"/>
          <w:i/>
          <w:sz w:val="20"/>
          <w:szCs w:val="20"/>
        </w:rPr>
        <w:t>q</w:t>
      </w:r>
      <w:r w:rsidR="00F7503E" w:rsidRPr="00F7503E">
        <w:rPr>
          <w:rFonts w:ascii="Times New Roman" w:eastAsiaTheme="minorEastAsia" w:hAnsi="Times New Roman" w:cs="Times New Roman"/>
          <w:iCs/>
          <w:sz w:val="20"/>
          <w:szCs w:val="20"/>
        </w:rPr>
        <w:t>) &lt; 0.05 (52 enriched in cases; 12 enriched in controls).</w:t>
      </w:r>
      <w:r w:rsidRPr="00C11201">
        <w:rPr>
          <w:rFonts w:ascii="Times New Roman" w:eastAsiaTheme="minorEastAsia" w:hAnsi="Times New Roman" w:cs="Times New Roman"/>
          <w:iCs/>
          <w:sz w:val="20"/>
          <w:szCs w:val="20"/>
        </w:rPr>
        <w:t xml:space="preserve"> The </w:t>
      </w:r>
      <w:r w:rsidR="00263FD8" w:rsidRPr="00263FD8">
        <w:rPr>
          <w:rFonts w:ascii="Times New Roman" w:eastAsiaTheme="minorEastAsia" w:hAnsi="Times New Roman" w:cs="Times New Roman"/>
          <w:iCs/>
          <w:sz w:val="20"/>
          <w:szCs w:val="20"/>
        </w:rPr>
        <w:t>most substantial</w:t>
      </w:r>
      <w:r w:rsidRPr="00C11201">
        <w:rPr>
          <w:rFonts w:ascii="Times New Roman" w:eastAsiaTheme="minorEastAsia" w:hAnsi="Times New Roman" w:cs="Times New Roman"/>
          <w:iCs/>
          <w:sz w:val="20"/>
          <w:szCs w:val="20"/>
        </w:rPr>
        <w:t xml:space="preserve"> positive effects included phosphopantothenate/CoA biosynthesis (PANTO-PWY, log2FC = 0.388, </w:t>
      </w:r>
      <w:r w:rsidR="00C60278" w:rsidRPr="00C60278">
        <w:rPr>
          <w:rFonts w:ascii="Times New Roman" w:eastAsiaTheme="minorEastAsia" w:hAnsi="Times New Roman" w:cs="Times New Roman"/>
          <w:i/>
          <w:iCs/>
          <w:sz w:val="20"/>
          <w:szCs w:val="20"/>
        </w:rPr>
        <w:t>q =</w:t>
      </w:r>
      <w:r w:rsidRPr="00C11201">
        <w:rPr>
          <w:rFonts w:ascii="Times New Roman" w:eastAsiaTheme="minorEastAsia" w:hAnsi="Times New Roman" w:cs="Times New Roman"/>
          <w:iCs/>
          <w:sz w:val="20"/>
          <w:szCs w:val="20"/>
        </w:rPr>
        <w:t xml:space="preserve"> 3.21×10⁻³⁴), fatty-acid biosynthesis initiation (FASYN-INITIAL-PWY, 0.318, 5.16×10⁻³</w:t>
      </w:r>
      <w:r w:rsidR="00091B00" w:rsidRPr="00091B00">
        <w:rPr>
          <w:rFonts w:ascii="Times New Roman" w:eastAsiaTheme="minorEastAsia" w:hAnsi="Times New Roman" w:cs="Times New Roman"/>
          <w:iCs/>
          <w:sz w:val="20"/>
          <w:szCs w:val="20"/>
        </w:rPr>
        <w:t>²</w:t>
      </w:r>
      <w:r w:rsidRPr="00C11201">
        <w:rPr>
          <w:rFonts w:ascii="Times New Roman" w:eastAsiaTheme="minorEastAsia" w:hAnsi="Times New Roman" w:cs="Times New Roman"/>
          <w:iCs/>
          <w:sz w:val="20"/>
          <w:szCs w:val="20"/>
        </w:rPr>
        <w:t xml:space="preserve">), cis-vaccenate biosynthesis (PWY-5973, 0.456, 1.15×10⁻³⁰), and chorismate/aromatic-amino-acid precursors (Fig. 4; Table 3). Significant depletions in cases (negative log2FC) </w:t>
      </w:r>
      <w:r w:rsidRPr="00C11201">
        <w:rPr>
          <w:rFonts w:ascii="Times New Roman" w:eastAsiaTheme="minorEastAsia" w:hAnsi="Times New Roman" w:cs="Times New Roman"/>
          <w:iCs/>
          <w:sz w:val="20"/>
          <w:szCs w:val="20"/>
        </w:rPr>
        <w:lastRenderedPageBreak/>
        <w:t xml:space="preserve">were also present in the </w:t>
      </w:r>
      <w:r w:rsidR="00D2247F">
        <w:rPr>
          <w:rFonts w:ascii="Times New Roman" w:eastAsiaTheme="minorEastAsia" w:hAnsi="Times New Roman" w:cs="Times New Roman"/>
          <w:iCs/>
          <w:sz w:val="20"/>
          <w:szCs w:val="20"/>
        </w:rPr>
        <w:t>full</w:t>
      </w:r>
      <w:r w:rsidRPr="00C11201">
        <w:rPr>
          <w:rFonts w:ascii="Times New Roman" w:eastAsiaTheme="minorEastAsia" w:hAnsi="Times New Roman" w:cs="Times New Roman"/>
          <w:iCs/>
          <w:sz w:val="20"/>
          <w:szCs w:val="20"/>
        </w:rPr>
        <w:t xml:space="preserve"> table, including branched-chain amino-acid biosynthesis and glycolysis variants. The Top-20 figure displays enriched pathways; all significant depletions are tabulated in Supplementary Table S3.</w:t>
      </w:r>
    </w:p>
    <w:p w14:paraId="732C78FF" w14:textId="4B97CA6E" w:rsidR="00472A12" w:rsidRPr="00C11201" w:rsidRDefault="00C11201" w:rsidP="00C11201">
      <w:pPr>
        <w:keepNext/>
        <w:jc w:val="center"/>
      </w:pPr>
      <w:r>
        <w:rPr>
          <w:noProof/>
        </w:rPr>
        <w:drawing>
          <wp:inline distT="0" distB="0" distL="0" distR="0" wp14:anchorId="71460BFF" wp14:editId="37C8AD08">
            <wp:extent cx="5939790" cy="3371215"/>
            <wp:effectExtent l="0" t="0" r="3810" b="635"/>
            <wp:docPr id="448527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3371215"/>
                    </a:xfrm>
                    <a:prstGeom prst="rect">
                      <a:avLst/>
                    </a:prstGeom>
                    <a:noFill/>
                    <a:ln>
                      <a:noFill/>
                    </a:ln>
                  </pic:spPr>
                </pic:pic>
              </a:graphicData>
            </a:graphic>
          </wp:inline>
        </w:drawing>
      </w:r>
    </w:p>
    <w:p w14:paraId="44CECE81" w14:textId="04B0B0C2" w:rsidR="00472A12" w:rsidRPr="00C11201" w:rsidRDefault="00472A12" w:rsidP="00472A12">
      <w:pPr>
        <w:rPr>
          <w:rFonts w:ascii="Times New Roman" w:eastAsiaTheme="minorEastAsia" w:hAnsi="Times New Roman" w:cs="Times New Roman"/>
          <w:iCs/>
          <w:sz w:val="20"/>
          <w:szCs w:val="20"/>
        </w:rPr>
      </w:pPr>
      <w:r>
        <w:rPr>
          <w:rFonts w:ascii="Times New Roman" w:eastAsiaTheme="minorEastAsia" w:hAnsi="Times New Roman" w:cs="Times New Roman"/>
          <w:b/>
          <w:bCs/>
          <w:iCs/>
          <w:sz w:val="20"/>
          <w:szCs w:val="20"/>
        </w:rPr>
        <w:t>Figure 4</w:t>
      </w:r>
      <w:r w:rsidRPr="000962DE">
        <w:rPr>
          <w:rFonts w:ascii="Times New Roman" w:eastAsiaTheme="minorEastAsia" w:hAnsi="Times New Roman" w:cs="Times New Roman"/>
          <w:b/>
          <w:bCs/>
          <w:iCs/>
          <w:sz w:val="20"/>
          <w:szCs w:val="20"/>
        </w:rPr>
        <w:t xml:space="preserve"> | </w:t>
      </w:r>
      <w:r w:rsidR="00C11201" w:rsidRPr="00C11201">
        <w:rPr>
          <w:rFonts w:ascii="Times New Roman" w:eastAsiaTheme="minorEastAsia" w:hAnsi="Times New Roman" w:cs="Times New Roman"/>
          <w:b/>
          <w:bCs/>
          <w:iCs/>
          <w:sz w:val="20"/>
          <w:szCs w:val="20"/>
        </w:rPr>
        <w:t xml:space="preserve">Top pathways differentiating constipated </w:t>
      </w:r>
      <w:r w:rsidR="00882A99">
        <w:rPr>
          <w:rFonts w:ascii="Times New Roman" w:eastAsiaTheme="minorEastAsia" w:hAnsi="Times New Roman" w:cs="Times New Roman"/>
          <w:b/>
          <w:bCs/>
          <w:iCs/>
          <w:sz w:val="20"/>
          <w:szCs w:val="20"/>
        </w:rPr>
        <w:t>vs.</w:t>
      </w:r>
      <w:r w:rsidR="00C11201" w:rsidRPr="00C11201">
        <w:rPr>
          <w:rFonts w:ascii="Times New Roman" w:eastAsiaTheme="minorEastAsia" w:hAnsi="Times New Roman" w:cs="Times New Roman"/>
          <w:b/>
          <w:bCs/>
          <w:iCs/>
          <w:sz w:val="20"/>
          <w:szCs w:val="20"/>
        </w:rPr>
        <w:t xml:space="preserve"> non-constipated PD. </w:t>
      </w:r>
      <w:r w:rsidR="00882A99">
        <w:rPr>
          <w:rFonts w:ascii="Times New Roman" w:eastAsiaTheme="minorEastAsia" w:hAnsi="Times New Roman" w:cs="Times New Roman"/>
          <w:iCs/>
          <w:sz w:val="20"/>
          <w:szCs w:val="20"/>
        </w:rPr>
        <w:t>Voom–limma</w:t>
      </w:r>
      <w:r w:rsidR="00C11201" w:rsidRPr="00C11201">
        <w:rPr>
          <w:rFonts w:ascii="Times New Roman" w:eastAsiaTheme="minorEastAsia" w:hAnsi="Times New Roman" w:cs="Times New Roman"/>
          <w:iCs/>
          <w:sz w:val="20"/>
          <w:szCs w:val="20"/>
        </w:rPr>
        <w:t xml:space="preserve"> log2FC; orange = higher in cases. Models adjust for Age, Sex, BMI, Laxatives, </w:t>
      </w:r>
      <w:r w:rsidR="008820F1">
        <w:rPr>
          <w:rFonts w:ascii="Times New Roman" w:eastAsiaTheme="minorEastAsia" w:hAnsi="Times New Roman" w:cs="Times New Roman"/>
          <w:iCs/>
          <w:sz w:val="20"/>
          <w:szCs w:val="20"/>
        </w:rPr>
        <w:t xml:space="preserve">and </w:t>
      </w:r>
      <w:r w:rsidR="00C11201" w:rsidRPr="00C11201">
        <w:rPr>
          <w:rFonts w:ascii="Times New Roman" w:eastAsiaTheme="minorEastAsia" w:hAnsi="Times New Roman" w:cs="Times New Roman"/>
          <w:iCs/>
          <w:sz w:val="20"/>
          <w:szCs w:val="20"/>
        </w:rPr>
        <w:t xml:space="preserve">collection_method. </w:t>
      </w:r>
      <w:r w:rsidR="00091B00" w:rsidRPr="00091B00">
        <w:rPr>
          <w:rFonts w:ascii="Times New Roman" w:eastAsiaTheme="minorEastAsia" w:hAnsi="Times New Roman" w:cs="Times New Roman"/>
          <w:i/>
          <w:iCs/>
          <w:sz w:val="20"/>
          <w:szCs w:val="20"/>
        </w:rPr>
        <w:t xml:space="preserve">n = </w:t>
      </w:r>
      <w:r w:rsidR="00C11201" w:rsidRPr="00C11201">
        <w:rPr>
          <w:rFonts w:ascii="Times New Roman" w:eastAsiaTheme="minorEastAsia" w:hAnsi="Times New Roman" w:cs="Times New Roman"/>
          <w:iCs/>
          <w:sz w:val="20"/>
          <w:szCs w:val="20"/>
        </w:rPr>
        <w:t xml:space="preserve">510 pathways tested; BH FDR applied. </w:t>
      </w:r>
      <w:r w:rsidR="00CE3C38" w:rsidRPr="00CE3C38">
        <w:rPr>
          <w:rFonts w:ascii="Times New Roman" w:eastAsiaTheme="minorEastAsia" w:hAnsi="Times New Roman" w:cs="Times New Roman"/>
          <w:iCs/>
          <w:sz w:val="20"/>
          <w:szCs w:val="20"/>
        </w:rPr>
        <w:t>Full results are in Supplementary Table S3.</w:t>
      </w:r>
    </w:p>
    <w:p w14:paraId="63E3A90A" w14:textId="07C3C996" w:rsidR="00472A12" w:rsidRDefault="00C11201" w:rsidP="008820F1">
      <w:pPr>
        <w:keepNext/>
        <w:jc w:val="center"/>
      </w:pPr>
      <w:r>
        <w:rPr>
          <w:noProof/>
        </w:rPr>
        <w:drawing>
          <wp:inline distT="0" distB="0" distL="0" distR="0" wp14:anchorId="2DB66708" wp14:editId="72E8110B">
            <wp:extent cx="5943600" cy="2721610"/>
            <wp:effectExtent l="0" t="0" r="0" b="2540"/>
            <wp:docPr id="1273509851"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09851" name="Picture 9"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743B2929" w14:textId="11F8B27D" w:rsidR="00472A12" w:rsidRDefault="00472A12" w:rsidP="00472A12">
      <w:pPr>
        <w:rPr>
          <w:rFonts w:ascii="Times New Roman" w:eastAsiaTheme="minorEastAsia" w:hAnsi="Times New Roman" w:cs="Times New Roman"/>
          <w:iCs/>
          <w:sz w:val="20"/>
          <w:szCs w:val="20"/>
        </w:rPr>
      </w:pPr>
      <w:r>
        <w:rPr>
          <w:rFonts w:ascii="Times New Roman" w:eastAsiaTheme="minorEastAsia" w:hAnsi="Times New Roman" w:cs="Times New Roman"/>
          <w:b/>
          <w:bCs/>
          <w:iCs/>
          <w:sz w:val="20"/>
          <w:szCs w:val="20"/>
        </w:rPr>
        <w:t>Table 3</w:t>
      </w:r>
      <w:r w:rsidR="00E5179E">
        <w:rPr>
          <w:rFonts w:ascii="Times New Roman" w:eastAsiaTheme="minorEastAsia" w:hAnsi="Times New Roman" w:cs="Times New Roman"/>
          <w:b/>
          <w:bCs/>
          <w:iCs/>
          <w:sz w:val="20"/>
          <w:szCs w:val="20"/>
        </w:rPr>
        <w:t xml:space="preserve"> </w:t>
      </w:r>
      <w:r w:rsidRPr="000962DE">
        <w:rPr>
          <w:rFonts w:ascii="Times New Roman" w:eastAsiaTheme="minorEastAsia" w:hAnsi="Times New Roman" w:cs="Times New Roman"/>
          <w:b/>
          <w:bCs/>
          <w:iCs/>
          <w:sz w:val="20"/>
          <w:szCs w:val="20"/>
        </w:rPr>
        <w:t>|</w:t>
      </w:r>
      <w:r w:rsidR="00E5179E">
        <w:rPr>
          <w:rFonts w:ascii="Times New Roman" w:eastAsiaTheme="minorEastAsia" w:hAnsi="Times New Roman" w:cs="Times New Roman"/>
          <w:b/>
          <w:bCs/>
          <w:iCs/>
          <w:sz w:val="20"/>
          <w:szCs w:val="20"/>
        </w:rPr>
        <w:t xml:space="preserve"> </w:t>
      </w:r>
      <w:r w:rsidR="00C11201" w:rsidRPr="00C11201">
        <w:rPr>
          <w:rFonts w:ascii="Times New Roman" w:eastAsiaTheme="minorEastAsia" w:hAnsi="Times New Roman" w:cs="Times New Roman"/>
          <w:b/>
          <w:bCs/>
          <w:iCs/>
          <w:sz w:val="20"/>
          <w:szCs w:val="20"/>
        </w:rPr>
        <w:t xml:space="preserve">Top 20 differentially abundant pathways (PD-only; case </w:t>
      </w:r>
      <w:r w:rsidR="00882A99">
        <w:rPr>
          <w:rFonts w:ascii="Times New Roman" w:eastAsiaTheme="minorEastAsia" w:hAnsi="Times New Roman" w:cs="Times New Roman"/>
          <w:b/>
          <w:bCs/>
          <w:iCs/>
          <w:sz w:val="20"/>
          <w:szCs w:val="20"/>
        </w:rPr>
        <w:t>vs.</w:t>
      </w:r>
      <w:r w:rsidR="00C11201" w:rsidRPr="00C11201">
        <w:rPr>
          <w:rFonts w:ascii="Times New Roman" w:eastAsiaTheme="minorEastAsia" w:hAnsi="Times New Roman" w:cs="Times New Roman"/>
          <w:b/>
          <w:bCs/>
          <w:iCs/>
          <w:sz w:val="20"/>
          <w:szCs w:val="20"/>
        </w:rPr>
        <w:t xml:space="preserve"> control). </w:t>
      </w:r>
      <w:r w:rsidR="00C11201" w:rsidRPr="00C11201">
        <w:rPr>
          <w:rFonts w:ascii="Times New Roman" w:eastAsiaTheme="minorEastAsia" w:hAnsi="Times New Roman" w:cs="Times New Roman"/>
          <w:iCs/>
          <w:sz w:val="20"/>
          <w:szCs w:val="20"/>
        </w:rPr>
        <w:t xml:space="preserve">Columns include Pathway ID, Description, log2FC (case/control), FDR-adjusted </w:t>
      </w:r>
      <w:r w:rsidR="00C11201" w:rsidRPr="0004326E">
        <w:rPr>
          <w:rFonts w:ascii="Times New Roman" w:eastAsiaTheme="minorEastAsia" w:hAnsi="Times New Roman" w:cs="Times New Roman"/>
          <w:i/>
          <w:sz w:val="20"/>
          <w:szCs w:val="20"/>
        </w:rPr>
        <w:t>q</w:t>
      </w:r>
      <w:r w:rsidR="00C11201" w:rsidRPr="00C11201">
        <w:rPr>
          <w:rFonts w:ascii="Times New Roman" w:eastAsiaTheme="minorEastAsia" w:hAnsi="Times New Roman" w:cs="Times New Roman"/>
          <w:iCs/>
          <w:sz w:val="20"/>
          <w:szCs w:val="20"/>
        </w:rPr>
        <w:t>, Direction, and group-wise mean CPM. Pathways are derived from published HUMAnN outputs (not re-run). Full results in Supplementary Table S3.</w:t>
      </w:r>
      <w:r w:rsidR="00962B99">
        <w:rPr>
          <w:rFonts w:ascii="Times New Roman" w:eastAsiaTheme="minorEastAsia" w:hAnsi="Times New Roman" w:cs="Times New Roman"/>
          <w:iCs/>
          <w:sz w:val="20"/>
          <w:szCs w:val="20"/>
        </w:rPr>
        <w:t xml:space="preserve"> </w:t>
      </w:r>
      <w:r w:rsidR="00962B99" w:rsidRPr="00962B99">
        <w:rPr>
          <w:rFonts w:ascii="Times New Roman" w:eastAsiaTheme="minorEastAsia" w:hAnsi="Times New Roman" w:cs="Times New Roman"/>
          <w:iCs/>
          <w:sz w:val="20"/>
          <w:szCs w:val="20"/>
        </w:rPr>
        <w:t>Pathway effects reported as log2FC (voom–limma); positive = higher in cases.</w:t>
      </w:r>
    </w:p>
    <w:p w14:paraId="38B3FC53" w14:textId="439A81D0" w:rsidR="00C11201" w:rsidRDefault="00C11201" w:rsidP="00472A12">
      <w:pPr>
        <w:rPr>
          <w:rFonts w:ascii="Times New Roman" w:eastAsiaTheme="minorEastAsia" w:hAnsi="Times New Roman" w:cs="Times New Roman"/>
          <w:b/>
          <w:bCs/>
          <w:iCs/>
          <w:sz w:val="22"/>
          <w:szCs w:val="22"/>
        </w:rPr>
      </w:pPr>
      <w:r w:rsidRPr="00C11201">
        <w:rPr>
          <w:rFonts w:ascii="Times New Roman" w:eastAsiaTheme="minorEastAsia" w:hAnsi="Times New Roman" w:cs="Times New Roman"/>
          <w:b/>
          <w:bCs/>
          <w:iCs/>
          <w:sz w:val="22"/>
          <w:szCs w:val="22"/>
        </w:rPr>
        <w:lastRenderedPageBreak/>
        <w:t>Enterotypes (</w:t>
      </w:r>
      <w:r w:rsidR="00091B00" w:rsidRPr="00091B00">
        <w:rPr>
          <w:rFonts w:ascii="Times New Roman" w:eastAsiaTheme="minorEastAsia" w:hAnsi="Times New Roman" w:cs="Times New Roman"/>
          <w:b/>
          <w:bCs/>
          <w:i/>
          <w:iCs/>
          <w:sz w:val="22"/>
          <w:szCs w:val="22"/>
        </w:rPr>
        <w:t xml:space="preserve">k = </w:t>
      </w:r>
      <w:r w:rsidRPr="00C11201">
        <w:rPr>
          <w:rFonts w:ascii="Times New Roman" w:eastAsiaTheme="minorEastAsia" w:hAnsi="Times New Roman" w:cs="Times New Roman"/>
          <w:b/>
          <w:bCs/>
          <w:iCs/>
          <w:sz w:val="22"/>
          <w:szCs w:val="22"/>
        </w:rPr>
        <w:t>2 by BIC) differ modestly by constipation status</w:t>
      </w:r>
    </w:p>
    <w:p w14:paraId="58BE95AC" w14:textId="686CCF31" w:rsidR="00C11201" w:rsidRDefault="00C11201" w:rsidP="00E5179E">
      <w:pPr>
        <w:keepNext/>
        <w:rPr>
          <w:rFonts w:ascii="Times New Roman" w:eastAsiaTheme="minorEastAsia" w:hAnsi="Times New Roman" w:cs="Times New Roman"/>
          <w:iCs/>
          <w:sz w:val="20"/>
          <w:szCs w:val="20"/>
        </w:rPr>
      </w:pPr>
      <w:r w:rsidRPr="00C11201">
        <w:rPr>
          <w:rFonts w:ascii="Times New Roman" w:eastAsiaTheme="minorEastAsia" w:hAnsi="Times New Roman" w:cs="Times New Roman"/>
          <w:iCs/>
          <w:sz w:val="20"/>
          <w:szCs w:val="20"/>
        </w:rPr>
        <w:t xml:space="preserve">Data-driven enterotypes from mclust/BIC </w:t>
      </w:r>
      <w:r w:rsidR="00FD72DF" w:rsidRPr="00FD72DF">
        <w:rPr>
          <w:rFonts w:ascii="Times New Roman" w:eastAsiaTheme="minorEastAsia" w:hAnsi="Times New Roman" w:cs="Times New Roman"/>
          <w:iCs/>
          <w:sz w:val="20"/>
          <w:szCs w:val="20"/>
        </w:rPr>
        <w:t xml:space="preserve">selected </w:t>
      </w:r>
      <w:r w:rsidR="00091B00" w:rsidRPr="00091B00">
        <w:rPr>
          <w:rFonts w:ascii="Times New Roman" w:eastAsiaTheme="minorEastAsia" w:hAnsi="Times New Roman" w:cs="Times New Roman"/>
          <w:i/>
          <w:iCs/>
          <w:sz w:val="20"/>
          <w:szCs w:val="20"/>
        </w:rPr>
        <w:t xml:space="preserve">k = </w:t>
      </w:r>
      <w:r w:rsidR="00FD72DF" w:rsidRPr="00FD72DF">
        <w:rPr>
          <w:rFonts w:ascii="Times New Roman" w:eastAsiaTheme="minorEastAsia" w:hAnsi="Times New Roman" w:cs="Times New Roman"/>
          <w:iCs/>
          <w:sz w:val="20"/>
          <w:szCs w:val="20"/>
        </w:rPr>
        <w:t xml:space="preserve">2 after CLR→PCA reduction. Enterotype counts were control 129|153 </w:t>
      </w:r>
      <w:r w:rsidR="00882A99">
        <w:rPr>
          <w:rFonts w:ascii="Times New Roman" w:eastAsiaTheme="minorEastAsia" w:hAnsi="Times New Roman" w:cs="Times New Roman"/>
          <w:iCs/>
          <w:sz w:val="20"/>
          <w:szCs w:val="20"/>
        </w:rPr>
        <w:t>vs.</w:t>
      </w:r>
      <w:r w:rsidR="00FD72DF" w:rsidRPr="00FD72DF">
        <w:rPr>
          <w:rFonts w:ascii="Times New Roman" w:eastAsiaTheme="minorEastAsia" w:hAnsi="Times New Roman" w:cs="Times New Roman"/>
          <w:iCs/>
          <w:sz w:val="20"/>
          <w:szCs w:val="20"/>
        </w:rPr>
        <w:t xml:space="preserve"> case 120|88</w:t>
      </w:r>
      <w:r w:rsidRPr="00C11201">
        <w:rPr>
          <w:rFonts w:ascii="Times New Roman" w:eastAsiaTheme="minorEastAsia" w:hAnsi="Times New Roman" w:cs="Times New Roman"/>
          <w:iCs/>
          <w:sz w:val="20"/>
          <w:szCs w:val="20"/>
        </w:rPr>
        <w:t xml:space="preserve"> (clusters 1|2), indicating a modest but significant distribution shift (Fisher’s exact </w:t>
      </w:r>
      <w:r w:rsidR="00C60278" w:rsidRPr="00C60278">
        <w:rPr>
          <w:rFonts w:ascii="Times New Roman" w:eastAsiaTheme="minorEastAsia" w:hAnsi="Times New Roman" w:cs="Times New Roman"/>
          <w:i/>
          <w:iCs/>
          <w:sz w:val="20"/>
          <w:szCs w:val="20"/>
        </w:rPr>
        <w:t xml:space="preserve">P = </w:t>
      </w:r>
      <w:r w:rsidRPr="00C11201">
        <w:rPr>
          <w:rFonts w:ascii="Times New Roman" w:eastAsiaTheme="minorEastAsia" w:hAnsi="Times New Roman" w:cs="Times New Roman"/>
          <w:iCs/>
          <w:sz w:val="20"/>
          <w:szCs w:val="20"/>
        </w:rPr>
        <w:t>0.0105; Fig. 5). Assignments and model-selection metrics are provided in Supplementary Table S5.</w:t>
      </w:r>
    </w:p>
    <w:p w14:paraId="2C6B9A9B" w14:textId="27C0AB94" w:rsidR="00E5179E" w:rsidRDefault="00C11201" w:rsidP="00C11201">
      <w:pPr>
        <w:keepNext/>
        <w:jc w:val="center"/>
      </w:pPr>
      <w:r>
        <w:rPr>
          <w:rFonts w:ascii="Times New Roman" w:eastAsiaTheme="minorEastAsia" w:hAnsi="Times New Roman" w:cs="Times New Roman"/>
          <w:iCs/>
          <w:noProof/>
          <w:sz w:val="20"/>
          <w:szCs w:val="20"/>
        </w:rPr>
        <w:drawing>
          <wp:inline distT="0" distB="0" distL="0" distR="0" wp14:anchorId="5908C0D4" wp14:editId="494D5BD4">
            <wp:extent cx="5939790" cy="3133090"/>
            <wp:effectExtent l="0" t="0" r="3810" b="0"/>
            <wp:docPr id="10730152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133090"/>
                    </a:xfrm>
                    <a:prstGeom prst="rect">
                      <a:avLst/>
                    </a:prstGeom>
                    <a:noFill/>
                    <a:ln>
                      <a:noFill/>
                    </a:ln>
                  </pic:spPr>
                </pic:pic>
              </a:graphicData>
            </a:graphic>
          </wp:inline>
        </w:drawing>
      </w:r>
    </w:p>
    <w:p w14:paraId="009B497D" w14:textId="68A72EA3" w:rsidR="00B20FFD" w:rsidRDefault="00E5179E" w:rsidP="00E5179E">
      <w:pPr>
        <w:rPr>
          <w:rFonts w:ascii="Times New Roman" w:eastAsiaTheme="minorEastAsia" w:hAnsi="Times New Roman" w:cs="Times New Roman"/>
          <w:iCs/>
          <w:sz w:val="20"/>
          <w:szCs w:val="20"/>
        </w:rPr>
      </w:pPr>
      <w:r>
        <w:rPr>
          <w:rFonts w:ascii="Times New Roman" w:eastAsiaTheme="minorEastAsia" w:hAnsi="Times New Roman" w:cs="Times New Roman"/>
          <w:b/>
          <w:bCs/>
          <w:iCs/>
          <w:sz w:val="20"/>
          <w:szCs w:val="20"/>
        </w:rPr>
        <w:t xml:space="preserve">Figure 5 </w:t>
      </w:r>
      <w:r w:rsidRPr="000962DE">
        <w:rPr>
          <w:rFonts w:ascii="Times New Roman" w:eastAsiaTheme="minorEastAsia" w:hAnsi="Times New Roman" w:cs="Times New Roman"/>
          <w:b/>
          <w:bCs/>
          <w:iCs/>
          <w:sz w:val="20"/>
          <w:szCs w:val="20"/>
        </w:rPr>
        <w:t>|</w:t>
      </w:r>
      <w:r>
        <w:rPr>
          <w:rFonts w:ascii="Times New Roman" w:eastAsiaTheme="minorEastAsia" w:hAnsi="Times New Roman" w:cs="Times New Roman"/>
          <w:b/>
          <w:bCs/>
          <w:iCs/>
          <w:sz w:val="20"/>
          <w:szCs w:val="20"/>
        </w:rPr>
        <w:t xml:space="preserve"> </w:t>
      </w:r>
      <w:r w:rsidR="00C11201" w:rsidRPr="00C11201">
        <w:rPr>
          <w:rFonts w:ascii="Times New Roman" w:eastAsiaTheme="minorEastAsia" w:hAnsi="Times New Roman" w:cs="Times New Roman"/>
          <w:b/>
          <w:bCs/>
          <w:iCs/>
          <w:sz w:val="20"/>
          <w:szCs w:val="20"/>
        </w:rPr>
        <w:t xml:space="preserve">Enterotype counts by constipation status. </w:t>
      </w:r>
      <w:r w:rsidR="00C11201" w:rsidRPr="00C11201">
        <w:rPr>
          <w:rFonts w:ascii="Times New Roman" w:eastAsiaTheme="minorEastAsia" w:hAnsi="Times New Roman" w:cs="Times New Roman"/>
          <w:iCs/>
          <w:sz w:val="20"/>
          <w:szCs w:val="20"/>
        </w:rPr>
        <w:t xml:space="preserve">Model selection chose </w:t>
      </w:r>
      <w:r w:rsidR="00091B00" w:rsidRPr="00091B00">
        <w:rPr>
          <w:rFonts w:ascii="Times New Roman" w:eastAsiaTheme="minorEastAsia" w:hAnsi="Times New Roman" w:cs="Times New Roman"/>
          <w:i/>
          <w:iCs/>
          <w:sz w:val="20"/>
          <w:szCs w:val="20"/>
        </w:rPr>
        <w:t xml:space="preserve">k = </w:t>
      </w:r>
      <w:r w:rsidR="00C11201" w:rsidRPr="00C11201">
        <w:rPr>
          <w:rFonts w:ascii="Times New Roman" w:eastAsiaTheme="minorEastAsia" w:hAnsi="Times New Roman" w:cs="Times New Roman"/>
          <w:iCs/>
          <w:sz w:val="20"/>
          <w:szCs w:val="20"/>
        </w:rPr>
        <w:t>2 by BIC on PCA-reduced CLR features; counts are shown for control (non-constipated PD) and case (constipated PD). Fisher’s exact test compares the enterotype × Group table (</w:t>
      </w:r>
      <w:r w:rsidR="00C60278" w:rsidRPr="00C60278">
        <w:rPr>
          <w:rFonts w:ascii="Times New Roman" w:eastAsiaTheme="minorEastAsia" w:hAnsi="Times New Roman" w:cs="Times New Roman"/>
          <w:i/>
          <w:iCs/>
          <w:sz w:val="20"/>
          <w:szCs w:val="20"/>
        </w:rPr>
        <w:t xml:space="preserve">P = </w:t>
      </w:r>
      <w:r w:rsidR="00C11201" w:rsidRPr="00C11201">
        <w:rPr>
          <w:rFonts w:ascii="Times New Roman" w:eastAsiaTheme="minorEastAsia" w:hAnsi="Times New Roman" w:cs="Times New Roman"/>
          <w:iCs/>
          <w:sz w:val="20"/>
          <w:szCs w:val="20"/>
        </w:rPr>
        <w:t>0.0105). Complete assignments and selection metrics in Supplementary Table S5.</w:t>
      </w:r>
    </w:p>
    <w:p w14:paraId="6C28BF10" w14:textId="77777777" w:rsidR="00E67F90" w:rsidRDefault="00E67F90" w:rsidP="00E5179E">
      <w:pPr>
        <w:rPr>
          <w:rFonts w:ascii="Times New Roman" w:eastAsiaTheme="minorEastAsia" w:hAnsi="Times New Roman" w:cs="Times New Roman"/>
          <w:iCs/>
          <w:sz w:val="20"/>
          <w:szCs w:val="20"/>
        </w:rPr>
      </w:pPr>
    </w:p>
    <w:p w14:paraId="2A0F655C" w14:textId="184094DB" w:rsidR="00BB1FEE" w:rsidRPr="00B20FFD" w:rsidRDefault="00BB1FEE" w:rsidP="00E5179E">
      <w:pPr>
        <w:rPr>
          <w:rFonts w:ascii="Times New Roman" w:eastAsiaTheme="minorEastAsia" w:hAnsi="Times New Roman" w:cs="Times New Roman"/>
          <w:iCs/>
          <w:sz w:val="20"/>
          <w:szCs w:val="20"/>
        </w:rPr>
      </w:pPr>
      <w:r w:rsidRPr="00BB1FEE">
        <w:rPr>
          <w:rFonts w:ascii="Times New Roman" w:eastAsiaTheme="minorEastAsia" w:hAnsi="Times New Roman" w:cs="Times New Roman"/>
          <w:b/>
          <w:bCs/>
          <w:iCs/>
        </w:rPr>
        <w:t>Discussion</w:t>
      </w:r>
    </w:p>
    <w:p w14:paraId="445CE1C2" w14:textId="4058EE08"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We examined gut-microbiome features associated with constipation within PD using a PD-only cohort (</w:t>
      </w:r>
      <w:r w:rsidR="00091B00" w:rsidRPr="00091B00">
        <w:rPr>
          <w:rFonts w:ascii="Times New Roman" w:eastAsiaTheme="minorEastAsia" w:hAnsi="Times New Roman" w:cs="Times New Roman"/>
          <w:i/>
          <w:iCs/>
          <w:sz w:val="20"/>
          <w:szCs w:val="20"/>
        </w:rPr>
        <w:t xml:space="preserve">n = </w:t>
      </w:r>
      <w:r w:rsidRPr="002E582C">
        <w:rPr>
          <w:rFonts w:ascii="Times New Roman" w:eastAsiaTheme="minorEastAsia" w:hAnsi="Times New Roman" w:cs="Times New Roman"/>
          <w:iCs/>
          <w:sz w:val="20"/>
          <w:szCs w:val="20"/>
        </w:rPr>
        <w:t xml:space="preserve">490) and a covariate-adjusted, compositional framework aligned to prespecified objectives. In brief, we observed (i) broadly similar Shannon and </w:t>
      </w:r>
      <w:r w:rsidR="00BA14A4">
        <w:rPr>
          <w:rFonts w:ascii="Times New Roman" w:eastAsiaTheme="minorEastAsia" w:hAnsi="Times New Roman" w:cs="Times New Roman"/>
          <w:iCs/>
          <w:sz w:val="20"/>
          <w:szCs w:val="20"/>
        </w:rPr>
        <w:t>Gini–Simpson</w:t>
      </w:r>
      <w:r w:rsidRPr="002E582C">
        <w:rPr>
          <w:rFonts w:ascii="Times New Roman" w:eastAsiaTheme="minorEastAsia" w:hAnsi="Times New Roman" w:cs="Times New Roman"/>
          <w:iCs/>
          <w:sz w:val="20"/>
          <w:szCs w:val="20"/>
        </w:rPr>
        <w:t xml:space="preserve"> diversity with a modest increase in observed richness among constipated PD (Fig. 1), (ii) small but statistically significant between-group separation in community structure (PERMANOVA) with dispersion effects limited to </w:t>
      </w:r>
      <w:r w:rsidR="00BA14A4">
        <w:rPr>
          <w:rFonts w:ascii="Times New Roman" w:eastAsiaTheme="minorEastAsia" w:hAnsi="Times New Roman" w:cs="Times New Roman"/>
          <w:iCs/>
          <w:sz w:val="20"/>
          <w:szCs w:val="20"/>
        </w:rPr>
        <w:t>Bray–Curtis</w:t>
      </w:r>
      <w:r w:rsidRPr="002E582C">
        <w:rPr>
          <w:rFonts w:ascii="Times New Roman" w:eastAsiaTheme="minorEastAsia" w:hAnsi="Times New Roman" w:cs="Times New Roman"/>
          <w:iCs/>
          <w:sz w:val="20"/>
          <w:szCs w:val="20"/>
        </w:rPr>
        <w:t xml:space="preserve"> (Fig. 2), (iii) one species meeting FDR</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&lt;</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0.05</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
          <w:iCs/>
          <w:sz w:val="20"/>
          <w:szCs w:val="20"/>
        </w:rPr>
        <w:t>Ruthenibacterium lactatiformans</w:t>
      </w:r>
      <w:r w:rsidRPr="002E582C">
        <w:rPr>
          <w:rFonts w:ascii="Times New Roman" w:eastAsiaTheme="minorEastAsia" w:hAnsi="Times New Roman" w:cs="Times New Roman"/>
          <w:iCs/>
          <w:sz w:val="20"/>
          <w:szCs w:val="20"/>
        </w:rPr>
        <w:t>, higher in cases</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 xml:space="preserve">with several additional trends that did not survive FDR (Fig. 3; Table 2), (iv) widespread functional differences dominated by lipid/cofactor and central-carbon pathways (e.g., phosphopantothenate/CoA biosynthesis, fatty-acid initiation, cis-vaccenate and chorismate routes), with both enrichments and depletions in cases (Fig. 4; Table 3), and (v) a modest but significant shift in enterotype distribution with </w:t>
      </w:r>
      <w:r w:rsidR="00091B00" w:rsidRPr="00091B00">
        <w:rPr>
          <w:rFonts w:ascii="Times New Roman" w:eastAsiaTheme="minorEastAsia" w:hAnsi="Times New Roman" w:cs="Times New Roman"/>
          <w:i/>
          <w:iCs/>
          <w:sz w:val="20"/>
          <w:szCs w:val="20"/>
        </w:rPr>
        <w:t xml:space="preserve">k = </w:t>
      </w:r>
      <w:r w:rsidRPr="002E582C">
        <w:rPr>
          <w:rFonts w:ascii="Times New Roman" w:eastAsiaTheme="minorEastAsia" w:hAnsi="Times New Roman" w:cs="Times New Roman"/>
          <w:iCs/>
          <w:sz w:val="20"/>
          <w:szCs w:val="20"/>
        </w:rPr>
        <w:t xml:space="preserve">2 by BIC (Fisher’s </w:t>
      </w:r>
      <w:r w:rsidRPr="00B7014A">
        <w:rPr>
          <w:rFonts w:ascii="Times New Roman" w:eastAsiaTheme="minorEastAsia" w:hAnsi="Times New Roman" w:cs="Times New Roman"/>
          <w:i/>
          <w:sz w:val="20"/>
          <w:szCs w:val="20"/>
        </w:rPr>
        <w:t>P</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0.0105; Fig. 5). Collectively, constipation within PD is associated with subtle compositional changes, marked pathway remodeling, and a small redistribution of community archetypes.</w:t>
      </w:r>
    </w:p>
    <w:p w14:paraId="3A4DADBD" w14:textId="19DA5DF3"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Across PD microbiome studies, α-diversity differences are typically small or inconsistent, and effect sizes for between-group separation are modest</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patterns our symptom-anchored, PD-only analysis reproduces</w:t>
      </w:r>
      <w:r>
        <w:rPr>
          <w:rFonts w:ascii="Times New Roman" w:eastAsiaTheme="minorEastAsia" w:hAnsi="Times New Roman" w:cs="Times New Roman"/>
          <w:iCs/>
          <w:sz w:val="20"/>
          <w:szCs w:val="20"/>
        </w:rPr>
        <w:t>)</w:t>
      </w:r>
      <w:r w:rsidR="00EE149A">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{"citationID":"oB4I74ML","properties":{"formattedCitation":"\\super 13\\uc0\\u8211{}15\\nosupersub{}","plainCitation":"13–15","dontUpdate":true,"noteIndex":0},"citationItems":[{"id":40,"uris":["http://zotero.org/users/14462068/items/65XPAYXF"],"itemData":{"id":40,"type":"article-journal","abstract":"Background and Aims\n              Parkinson’s disease (PD) is a worldwide neurodegenerative disease with an increasing global burden, while constipation is an important risk factor for PD. The gastrointestinal tract had been proposed as the origin of PD in Braak’s gut–brain axis hypothesis, and there is increasing evidence indicating that intestinal microbial alteration has a role in the pathogenesis of PD. In this study, we aim to investigate the role of intestinal microbial alteration in the mechanism of constipation-related PD.\n            \n            \n              Methods\n              We adapted our data from Hill‐Burns et al., in which 324 participants were enrolled in the study. The 16S rRNA gene sequence data were processed, aligned, and categorized using DADA2. Mediation analysis was used to test and quantify the extent by which the intestinal microbial alteration explains the causal effect of constipation on PD incidence.\n            \n            \n              Results\n              We found 18 bacterial genera and 7 species significantly different between groups of constipated and non-constipated subjects. Among these bacteria, nine genera and four species had a significant mediation effect between constipation and PD. All of them were short-chain fatty acid (SCFA)-producing bacteria that were substantially related to PD. Results from the mediation analysis showed that up to 76.56% of the effect of constipation on PD was mediated through intestinal microbial alteration.\n            \n            \n              Conclusion\n              Our findings support that gut dysbiosis plays a critical role in the pathogenesis of constipation-related PD, mostly through the decreasing of SCFA-producing bacteria, indicating that probiotics with SCFA-producing bacteria may be promising in the prevention and treatment of constipation-related PD.\n            \n            \n              Limitations\n              1) Several potential confounders that should be adjusted were not provided in the original dataset. 2) Our study was conducted based on the assumption of constipation being the etiology of PD; however, constipation and PD may mutually affect each other. 3) Further studies are necessary to explain the remaining 23.44% effect leading to PD by constipation.","container-title":"Frontiers in Cellular and Infection Microbiology","DOI":"10.3389/fcimb.2022.871710","ISSN":"2235-2988","journalAbbreviation":"Front. Cell. Infect. Microbiol.","page":"871710","source":"DOI.org (Crossref)","title":"Exploring the Causal Effect of Constipation on Parkinson’s Disease Through Mediation Analysis of Microbial Data","volume":"12","author":[{"family":"Fu","given":"Shih-Chen"},{"family":"Shih","given":"Ling-Chieh"},{"family":"Wu","given":"Pei-Hua"},{"family":"Hsieh","given":"Yi-Chen"},{"family":"Lee","given":"Chung-Han"},{"family":"Lin","given":"Sheng-Hsuan"},{"family":"Wang","given":"Hsiuying"}],"issued":{"date-parts":[["2022",5,11]]},"citation-key":"fuExploringCausalEffect2022"}},{"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S."}],"issued":{"date-parts":[["2021",10,29]]},"citation-key":"kennaChangesGutMicrobiome2021"}},{"id":44,"uris":["http://zotero.org/users/14462068/items/NG3PWR68"],"itemData":{"id":44,"type":"article-journal","container-title":"Genome Biology","DOI":"10.1186/s13059-016-1086-x","ISSN":"1474-760X","issue":"1","journalAbbreviation":"Genome Biol","language":"en","page":"217","source":"DOI.org (Crossref)","title":"Tiny microbes, enormous impacts: what matters in gut microbiome studies?","title-short":"Tiny microbes, enormous impacts","volume":"17","author":[{"family":"Debelius","given":"Justine"},{"family":"Song","given":"Se Jin"},{"family":"Vazquez-Baeza","given":"Yoshiki"},{"family":"Xu","given":"Zhenjiang Zech"},{"family":"Gonzalez","given":"Antonio"},{"family":"Knight","given":"Rob"}],"issued":{"date-parts":[["2016",12]]},"citation-key":"debeliusTinyMicrobesEnormous2016"}}],"schema":"https://github.com/citation-style-language/schema/raw/master/csl-citation.json"} </w:instrText>
      </w:r>
      <w:r w:rsidR="00EE149A">
        <w:rPr>
          <w:rFonts w:ascii="Times New Roman" w:eastAsiaTheme="minorEastAsia" w:hAnsi="Times New Roman" w:cs="Times New Roman"/>
          <w:iCs/>
          <w:sz w:val="20"/>
          <w:szCs w:val="20"/>
        </w:rPr>
        <w:fldChar w:fldCharType="separate"/>
      </w:r>
      <w:r w:rsidR="00EE149A" w:rsidRPr="00EE149A">
        <w:rPr>
          <w:rFonts w:ascii="Times New Roman" w:hAnsi="Times New Roman" w:cs="Times New Roman"/>
          <w:kern w:val="0"/>
          <w:sz w:val="20"/>
          <w:vertAlign w:val="superscript"/>
        </w:rPr>
        <w:t>13</w:t>
      </w:r>
      <w:r w:rsidR="00FD2E8D">
        <w:rPr>
          <w:rFonts w:ascii="Times New Roman" w:hAnsi="Times New Roman" w:cs="Times New Roman"/>
          <w:kern w:val="0"/>
          <w:sz w:val="20"/>
          <w:vertAlign w:val="superscript"/>
        </w:rPr>
        <w:t>,14,</w:t>
      </w:r>
      <w:r w:rsidR="00EE149A" w:rsidRPr="00EE149A">
        <w:rPr>
          <w:rFonts w:ascii="Times New Roman" w:hAnsi="Times New Roman" w:cs="Times New Roman"/>
          <w:kern w:val="0"/>
          <w:sz w:val="20"/>
          <w:vertAlign w:val="superscript"/>
        </w:rPr>
        <w:t>15</w:t>
      </w:r>
      <w:r w:rsidR="00EE149A">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w:t>
      </w:r>
      <w:r w:rsidR="004C7083">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Case</w:t>
      </w:r>
      <w:r>
        <w:rPr>
          <w:rFonts w:ascii="Times New Roman" w:eastAsiaTheme="minorEastAsia" w:hAnsi="Times New Roman" w:cs="Times New Roman"/>
          <w:iCs/>
          <w:sz w:val="20"/>
          <w:szCs w:val="20"/>
        </w:rPr>
        <w:t>-</w:t>
      </w:r>
      <w:r w:rsidRPr="002E582C">
        <w:rPr>
          <w:rFonts w:ascii="Times New Roman" w:eastAsiaTheme="minorEastAsia" w:hAnsi="Times New Roman" w:cs="Times New Roman"/>
          <w:iCs/>
          <w:sz w:val="20"/>
          <w:szCs w:val="20"/>
        </w:rPr>
        <w:t>control cohorts frequently emphasize functional reprogramming (energy, lipid, xenobiotic metabolism) over stable species lists, again concordant with our pathway-centric signals (CoA/fatty-acid/central-carbon modules)</w:t>
      </w:r>
      <w:r w:rsidR="004C7083">
        <w:rPr>
          <w:rFonts w:ascii="Times New Roman" w:eastAsiaTheme="minorEastAsia" w:hAnsi="Times New Roman" w:cs="Times New Roman"/>
          <w:iCs/>
          <w:sz w:val="20"/>
          <w:szCs w:val="20"/>
        </w:rPr>
        <w:fldChar w:fldCharType="begin"/>
      </w:r>
      <w:r w:rsidR="004C7083">
        <w:rPr>
          <w:rFonts w:ascii="Times New Roman" w:eastAsiaTheme="minorEastAsia" w:hAnsi="Times New Roman" w:cs="Times New Roman"/>
          <w:iCs/>
          <w:sz w:val="20"/>
          <w:szCs w:val="20"/>
        </w:rPr>
        <w:instrText xml:space="preserve"> ADDIN ZOTERO_ITEM CSL_CITATION {"citationID":"6DcWM574","properties":{"formattedCitation":"\\super 14,16,17\\nosupersub{}","plainCitation":"14,16,17","noteIndex":0},"citationItems":[{"id":42,"uris":["http://zotero.org/users/14462068/items/MVJHUNQF"],"itemData":{"id":42,"type":"article-journal","abstract":"Background:\n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S."}],"issued":{"date-parts":[["2021",10,29]]},"citation-key":"kennaChangesGutMicrobiome2021"}},{"id":46,"uris":["http://zotero.org/users/14462068/items/CLISTTLU"],"itemData":{"id":46,"type":"article-journal","abstract":"Background and purpose\n              \n                The majority of Parkinson's disease (\n                PD\n                ) patients suffer from gastrointestinal symptoms of which constipation is considered the most prominent. Recently, in addition to constipation, a diagnosis of irritable bowel syndrome (\n                IBS\n                ) was also found to be associated with increased\n                PD\n                risk. Gut microbiota alterations have been reported in\n                IBS\n                and recently also in\n                PD\n                .\n                IBS\n                ‐like bowel symptoms in\n                PD\n                and their possible connection to other non‐motor symptoms and faecal microbiota were assessed.\n              \n            \n            \n              Methods\n              \n                This case−control study compared 74\n                PD\n                patients with 75 controls without any signs of parkinsonism or potential premotor symptoms.\n                IBS\n                ‐like symptoms were assessed using the Rome\n                III\n                questionnaire. The non‐motor symptoms were assessed using the Non‐Motor Symptoms Questionnaire and Non‐Motor Symptom Scale. Faecal microbiota were assessed by pyrosequencing of the V1–V3 regions of the bacterial 16S ribosomal\n                RNA\n                gene.\n              \n            \n            \n              Results\n              \n                Symptoms that were\n                IBS\n                ‐like were significantly more prevalent in\n                PD\n                patients than in controls (24.3% vs. 5.3%;\n                P\n                 = 0.001). Criteria for functional constipation were met by 12.2% of\n                PD\n                patients and 6.7% of controls (\n                P\n                 = 0.072). \n                PD\n                patients with\n                IBS\n                ‐like symptoms had more non‐motor symptoms and a lower faecal abundance of\n                Prevotella\n                bacteria than those without\n                IBS\n                ‐like symptoms.\n              \n            \n            \n              Conclusion\n              \n                Our results indicate that\n                PD\n                patients may suffer from colonic dysfunction beyond pure constipation. Therefore, a more comprehensive assessment of bowel symptoms could provide valuable information. The lower abundance of\n                Prevotella\n                bacteria in\n                PD\n                patients with\n                IBS\n                ‐like symptoms suggests that the microbiota−gut−brain axis may be implicated in the gastrointestinal dysfunction of\n                PD\n                patients.","container-title":"European Journal of Neurology","DOI":"10.1111/ene.13398","ISSN":"1351-5101, 1468-1331","issue":"11","journalAbbreviation":"Euro J of Neurology","language":"en","page":"1375-1383","source":"DOI.org (Crossref)","title":"More than constipation – bowel symptoms in Parkinson's disease and their connection to gut microbiota","volume":"24","author":[{"family":"Mertsalmi","given":"T. H."},{"family":"Aho","given":"V. T. E."},{"family":"Pereira","given":"P. A. B."},{"family":"Paulin","given":"L."},{"family":"Pekkonen","given":"E."},{"family":"Auvinen","given":"P."},{"family":"Scheperjans","given":"F."}],"issued":{"date-parts":[["2017",11]]},"citation-key":"mertsalmiMoreConstipationBowel2017"}},{"id":47,"uris":["http://zotero.org/users/14462068/items/PRZHI65J"],"itemData":{"id":47,"type":"article-journal","abstract":"Abstract\n            \n              Background\n              \n                Parkinson’s disease (PD) is a systemic disease clinically defined by the degeneration of dopaminergic neurons in the brain. While alterations in the gut microbiome composition have been reported in PD, their functional consequences remain unclear. Herein, we addressed this question by an analysis of stool samples from the Luxembourg Parkinson’s Study (\n                n\n                 = 147 typical PD cases,\n                n\n                 = 162 controls).\n              \n            \n            \n              Results\n              \n                All individuals underwent detailed clinical assessment, including neurological examinations and neuropsychological tests followed by self-reporting questionnaires. Stool samples from these individuals were first analysed by 16S rRNA gene sequencing. Second, we predicted the potential secretion for 129 microbial metabolites through personalised metabolic modelling using the microbiome data and genome-scale metabolic reconstructions of human gut microbes. Our key results include the following. Eight genera and seven species changed significantly in their relative abundances between PD patients and healthy controls. PD-associated microbial patterns statistically depended on sex, age, BMI, and constipation. Particularly, the relative abundances of\n                Bilophila\n                and\n                Paraprevotella\n                were significantly associated with the Hoehn and Yahr staging after controlling for the disease duration. Furthermore, personalised metabolic modelling of the gut microbiomes revealed PD-associated metabolic patterns in the predicted secretion potential of nine microbial metabolites in PD, including increased methionine and cysteinylglycine. The predicted microbial pantothenic acid production potential was linked to the presence of specific non-motor symptoms.\n              \n            \n            \n              Conclusion\n              Our results suggest that PD-associated alterations of the gut microbiome can translate into substantial functional differences affecting host metabolism and disease phenotype.","container-title":"BMC Biology","DOI":"10.1186/s12915-020-00775-7","ISSN":"1741-7007","issue":"1","journalAbbreviation":"BMC Biol","language":"en","page":"62","source":"DOI.org (Crossref)","title":"Parkinson’s disease-associated alterations of the gut microbiome predict disease-relevant changes in metabolic functions","volume":"18","author":[{"family":"Baldini","given":"Federico"},{"family":"Hertel","given":"Johannes"},{"family":"Sandt","given":"Estelle"},{"family":"Thinnes","given":"Cyrille C."},{"family":"Neuberger-Castillo","given":"Lorieza"},{"family":"Pavelka","given":"Lukas"},{"family":"Betsou","given":"Fay"},{"family":"Krüger","given":"Rejko"},{"family":"Thiele","given":"Ines"},{"literal":"on behalf of the NCER-PD Consortium"},{"family":"Aguayo","given":"Gloria"},{"family":"Allen","given":"Dominic"},{"family":"Ammerlann","given":"Wim"},{"family":"Aurich","given":"Maike"},{"family":"Balling","given":"Rudi"},{"family":"Banda","given":"Peter"},{"family":"Beaumont","given":"Katy"},{"family":"Becker","given":"Regina"},{"family":"Berg","given":"Daniela"},{"family":"Binck","given":"Sylvia"},{"family":"Bisdorff","given":"Alexandre"},{"family":"Bobbili","given":"Dheeraj"},{"family":"Brockmann","given":"Kathrin"},{"family":"Calmes","given":"Jessica"},{"family":"Castillo","given":"Lorieza"},{"family":"Diederich","given":"Nico"},{"family":"Dondelinger","given":"Rene"},{"family":"Esteves","given":"Daniela"},{"family":"Ferrand","given":"Jean-Yves"},{"family":"Fleming","given":"Ronan"},{"family":"Gantenbein","given":"Manon"},{"family":"Gasser","given":"Thomas"},{"family":"Gawron","given":"Piotr"},{"family":"Geffers","given":"Lars"},{"family":"Giarmana","given":"Virginie"},{"family":"Glaab","given":"Enrico"},{"family":"Gomes","given":"Clarissa P. C."},{"family":"Goncharenko","given":"Nikolai"},{"family":"Graas","given":"Jérôme"},{"family":"Graziano","given":"Mariela"},{"family":"Groues","given":"Valentin"},{"family":"Grünewald","given":"Anne"},{"family":"Gu","given":"Wei"},{"family":"Hammot","given":"Gaël"},{"family":"Hanff","given":"Anne-Marie"},{"family":"Hansen","given":"Linda"},{"family":"Hansen","given":"Maxime"},{"family":"Haraldsdöttir","given":"Hulda"},{"family":"Heirendt","given":"Laurent"},{"family":"Herbrink","given":"Sylvia"},{"family":"Herzinger","given":"Sascha"},{"family":"Heymann","given":"Michael"},{"family":"Hiller","given":"Karsten"},{"family":"Hipp","given":"Geraldine"},{"family":"Hu","given":"Michele"},{"family":"Huiart","given":"Laetitia"},{"family":"Hundt","given":"Alexander"},{"family":"Jacoby","given":"Nadine"},{"family":"Jarosław","given":"Jacek"},{"family":"Jaroz","given":"Yohan"},{"family":"Kolber","given":"Pierre"},{"family":"Kutzera","given":"Joachim"},{"family":"Landoulsi","given":"Zied"},{"family":"Larue","given":"Catherine"},{"family":"Lentz","given":"Roseline"},{"family":"Liepelt","given":"Inga"},{"family":"Liszka","given":"Robert"},{"family":"Longhino","given":"Laura"},{"family":"Lorentz","given":"Victoria"},{"family":"Mackay","given":"Clare"},{"family":"Maetzler","given":"Walter"},{"family":"Marcus","given":"Katrin"},{"family":"Marques","given":"Guilherme"},{"family":"Martens","given":"Jan"},{"family":"Mathay","given":"Conny"},{"family":"Matyjaszczyk","given":"Piotr"},{"family":"May","given":"Patrick"},{"family":"Meisch","given":"Francoise"},{"family":"Menster","given":"Myriam"},{"family":"Minelli","given":"Maura"},{"family":"Mittelbronn","given":"Michel"},{"family":"Mollenhauer","given":"Brit"},{"family":"Mommaerts","given":"Kathleen"},{"family":"Moreno","given":"Carlos"},{"family":"Mühlschlegel","given":"Friedrich"},{"family":"Nati","given":"Romain"},{"family":"Nehrbass","given":"Ulf"},{"family":"Nickels","given":"Sarah"},{"family":"Nicolai","given":"Beatrice"},{"family":"Nicolay","given":"Jean-Paul"},{"family":"Noronha","given":"Alberto"},{"family":"Oertel","given":"Wolfgang"},{"family":"Ostaszewski","given":"Marek"},{"family":"Pachchek","given":"Sinthuja"},{"family":"Pauly","given":"Claire"},{"family":"Perquin","given":"Magali"},{"family":"Reiter","given":"Dorothea"},{"family":"Rosety","given":"Isabel"},{"family":"Rump","given":"Kirsten"},{"family":"Satagopam","given":"Venkata"},{"family":"Schlesser","given":"Marc"},{"family":"Schmitz","given":"Sabine"},{"family":"Schmitz","given":"Susanne"},{"family":"Schneider","given":"Reinhard"},{"family":"Schwamborn","given":"Jens"},{"family":"Schweicher","given":"Alexandra"},{"family":"Simons","given":"Janine"},{"family":"Stute","given":"Lara"},{"family":"Trefois","given":"Christophe"},{"family":"Trezzi","given":"Jean-Pierre"},{"family":"Vaillant","given":"Michel"},{"family":"Vasco","given":"Daniel"},{"family":"Vyas","given":"Maharshi"},{"family":"Wade-Martins","given":"Richard"},{"family":"Wilmes","given":"Paul"}],"issued":{"date-parts":[["2020",12]]},"citation-key":"baldiniParkinsonsDiseaseassociatedAlterations2020"}}],"schema":"https://github.com/citation-style-language/schema/raw/master/csl-citation.json"} </w:instrText>
      </w:r>
      <w:r w:rsidR="004C7083">
        <w:rPr>
          <w:rFonts w:ascii="Times New Roman" w:eastAsiaTheme="minorEastAsia" w:hAnsi="Times New Roman" w:cs="Times New Roman"/>
          <w:iCs/>
          <w:sz w:val="20"/>
          <w:szCs w:val="20"/>
        </w:rPr>
        <w:fldChar w:fldCharType="separate"/>
      </w:r>
      <w:r w:rsidR="004C7083" w:rsidRPr="004C7083">
        <w:rPr>
          <w:rFonts w:ascii="Times New Roman" w:hAnsi="Times New Roman" w:cs="Times New Roman"/>
          <w:kern w:val="0"/>
          <w:sz w:val="20"/>
          <w:vertAlign w:val="superscript"/>
        </w:rPr>
        <w:t>14,16,17</w:t>
      </w:r>
      <w:r w:rsidR="004C7083">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Some studies link bowel symptoms</w:t>
      </w:r>
      <w:r>
        <w:rPr>
          <w:rFonts w:ascii="Times New Roman" w:eastAsiaTheme="minorEastAsia" w:hAnsi="Times New Roman" w:cs="Times New Roman"/>
          <w:iCs/>
          <w:sz w:val="20"/>
          <w:szCs w:val="20"/>
        </w:rPr>
        <w:t xml:space="preserve"> (e</w:t>
      </w:r>
      <w:r w:rsidRPr="002E582C">
        <w:rPr>
          <w:rFonts w:ascii="Times New Roman" w:eastAsiaTheme="minorEastAsia" w:hAnsi="Times New Roman" w:cs="Times New Roman"/>
          <w:iCs/>
          <w:sz w:val="20"/>
          <w:szCs w:val="20"/>
        </w:rPr>
        <w:t>specially constipation</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 xml:space="preserve">to lower </w:t>
      </w:r>
      <w:r w:rsidRPr="002E582C">
        <w:rPr>
          <w:rFonts w:ascii="Times New Roman" w:eastAsiaTheme="minorEastAsia" w:hAnsi="Times New Roman" w:cs="Times New Roman"/>
          <w:i/>
          <w:iCs/>
          <w:sz w:val="20"/>
          <w:szCs w:val="20"/>
        </w:rPr>
        <w:t>Prevotella</w:t>
      </w:r>
      <w:r w:rsidRPr="002E582C">
        <w:rPr>
          <w:rFonts w:ascii="Times New Roman" w:eastAsiaTheme="minorEastAsia" w:hAnsi="Times New Roman" w:cs="Times New Roman"/>
          <w:iCs/>
          <w:sz w:val="20"/>
          <w:szCs w:val="20"/>
        </w:rPr>
        <w:t xml:space="preserve"> and altered fiber fermentation, </w:t>
      </w:r>
      <w:r w:rsidRPr="002E582C">
        <w:rPr>
          <w:rFonts w:ascii="Times New Roman" w:eastAsiaTheme="minorEastAsia" w:hAnsi="Times New Roman" w:cs="Times New Roman"/>
          <w:iCs/>
          <w:sz w:val="20"/>
          <w:szCs w:val="20"/>
        </w:rPr>
        <w:lastRenderedPageBreak/>
        <w:t>whereas others report variable taxa shaped by diet, medication, and geography</w:t>
      </w:r>
      <w:r w:rsidR="004C7083">
        <w:rPr>
          <w:rFonts w:ascii="Times New Roman" w:eastAsiaTheme="minorEastAsia" w:hAnsi="Times New Roman" w:cs="Times New Roman"/>
          <w:iCs/>
          <w:sz w:val="20"/>
          <w:szCs w:val="20"/>
        </w:rPr>
        <w:fldChar w:fldCharType="begin"/>
      </w:r>
      <w:r w:rsidR="004C7083">
        <w:rPr>
          <w:rFonts w:ascii="Times New Roman" w:eastAsiaTheme="minorEastAsia" w:hAnsi="Times New Roman" w:cs="Times New Roman"/>
          <w:iCs/>
          <w:sz w:val="20"/>
          <w:szCs w:val="20"/>
        </w:rPr>
        <w:instrText xml:space="preserve"> ADDIN ZOTERO_ITEM CSL_CITATION {"citationID":"djeCDR4R","properties":{"formattedCitation":"\\super 14,16,18\\nosupersub{}","plainCitation":"14,16,18","noteIndex":0},"citationItems":[{"id":42,"uris":["http://zotero.org/users/14462068/items/MVJHUNQF"],"itemData":{"id":42,"type":"article-journal","abstract":"Background:\n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S."}],"issued":{"date-parts":[["2021",10,29]]},"citation-key":"kennaChangesGutMicrobiome2021"}},{"id":46,"uris":["http://zotero.org/users/14462068/items/CLISTTLU"],"itemData":{"id":46,"type":"article-journal","abstract":"Background and purpose\n              \n                The majority of Parkinson's disease (\n                PD\n                ) patients suffer from gastrointestinal symptoms of which constipation is considered the most prominent. Recently, in addition to constipation, a diagnosis of irritable bowel syndrome (\n                IBS\n                ) was also found to be associated with increased\n                PD\n                risk. Gut microbiota alterations have been reported in\n                IBS\n                and recently also in\n                PD\n                .\n                IBS\n                ‐like bowel symptoms in\n                PD\n                and their possible connection to other non‐motor symptoms and faecal microbiota were assessed.\n              \n            \n            \n              Methods\n              \n                This case−control study compared 74\n                PD\n                patients with 75 controls without any signs of parkinsonism or potential premotor symptoms.\n                IBS\n                ‐like symptoms were assessed using the Rome\n                III\n                questionnaire. The non‐motor symptoms were assessed using the Non‐Motor Symptoms Questionnaire and Non‐Motor Symptom Scale. Faecal microbiota were assessed by pyrosequencing of the V1–V3 regions of the bacterial 16S ribosomal\n                RNA\n                gene.\n              \n            \n            \n              Results\n              \n                Symptoms that were\n                IBS\n                ‐like were significantly more prevalent in\n                PD\n                patients than in controls (24.3% vs. 5.3%;\n                P\n                 = 0.001). Criteria for functional constipation were met by 12.2% of\n                PD\n                patients and 6.7% of controls (\n                P\n                 = 0.072). \n                PD\n                patients with\n                IBS\n                ‐like symptoms had more non‐motor symptoms and a lower faecal abundance of\n                Prevotella\n                bacteria than those without\n                IBS\n                ‐like symptoms.\n              \n            \n            \n              Conclusion\n              \n                Our results indicate that\n                PD\n                patients may suffer from colonic dysfunction beyond pure constipation. Therefore, a more comprehensive assessment of bowel symptoms could provide valuable information. The lower abundance of\n                Prevotella\n                bacteria in\n                PD\n                patients with\n                IBS\n                ‐like symptoms suggests that the microbiota−gut−brain axis may be implicated in the gastrointestinal dysfunction of\n                PD\n                patients.","container-title":"European Journal of Neurology","DOI":"10.1111/ene.13398","ISSN":"1351-5101, 1468-1331","issue":"11","journalAbbreviation":"Euro J of Neurology","language":"en","page":"1375-1383","source":"DOI.org (Crossref)","title":"More than constipation – bowel symptoms in Parkinson's disease and their connection to gut microbiota","volume":"24","author":[{"family":"Mertsalmi","given":"T. H."},{"family":"Aho","given":"V. T. E."},{"family":"Pereira","given":"P. A. B."},{"family":"Paulin","given":"L."},{"family":"Pekkonen","given":"E."},{"family":"Auvinen","given":"P."},{"family":"Scheperjans","given":"F."}],"issued":{"date-parts":[["2017",11]]},"citation-key":"mertsalmiMoreConstipationBowel2017"}},{"id":49,"uris":["http://zotero.org/users/14462068/items/WM3KSJYP"],"itemData":{"id":49,"type":"article-journal","abstract":"Abstract\n            \n              Background\n              Parkinson’s disease (PD) is one of the most common neurodegenerative diseases. There is accumulating evidence that link gut microbiota to symptomatology and pathophysiology of PD. The aim of this study was to describe the pattern of gut microbiota and its association with PD and identify the effect of environmental factors on gut microbiota. This case–control study included 46 patients diagnosed as Parkinson’s disease (PD) and 31 healthy volunteers age and sex matched. Detailed history including age of onset, duration of disease, environmental risk factors, diet data, treatment, Unified Parkinson’s Disease Rating Scale (UPDRS), and gastrointestinal tract (GIT) domain of Non‐Motor Symptoms Scale (NMSS) were assessed. After extraction of bacterial DNA from the fecal samples, bacterial abundance was quantified by qPCR using 16S rRNA group-specific primers.\n            \n            \n              Results\n              \n                Significant high abundance of Clostridium cluster IV, Akkermansia, Bifidobacterium, and lactic acid bacteria were found in the PD group compared with the control group (\n                P\n                 &lt; 0.001, 0.04, 0.02 and &lt; 0.001, respectively), while Firmicutes were significantly less abundant in the PD group (\n                P\n                 &lt; 0.001) compared with the control group. The naive PD patients had significant abundance of Bifidobacterium, and lactic acid compared with control group. Interestingly, Akkermansia was more abundant in treated than untreated patients. There were significant associations between pesticide exposure and Bifidobacterium (\n                P\n                 = 0.002), while no significant correlations between different gut microbiota and demographic, environment data, different rating scores or dominant type of PD. There was a significant negative correlation between the Bifidobacterium with the duration of illness (\n                P\n                 = 0.012).\n              \n            \n            \n              Conclusion\n              The present study highlighted a significant connection between PD and levels of certain types of gut microbiota, in support of a possible link between gut microbiota and a neurodegenerative cascade of PD.","container-title":"The Egyptian Journal of Neurology, Psychiatry and Neurosurgery","DOI":"10.1186/s41983-021-00407-z","ISSN":"1687-8329","issue":"1","journalAbbreviation":"Egypt J Neurol Psychiatry Neurosurg","language":"en","page":"153","source":"DOI.org (Crossref)","title":"Gut microbiota in Parkinson’s disease patients: hospital-based study","title-short":"Gut microbiota in Parkinson’s disease patients","volume":"57","author":[{"family":"Khedr","given":"Eman M."},{"family":"Ali","given":"Anwar M."},{"family":"Deaf","given":"Enas"},{"family":"Hassan","given":"Hebatallah M."},{"family":"Alaa","given":"Ahmed"},{"family":"Gamea","given":"Ayman"}],"issued":{"date-parts":[["2021",11,4]]},"citation-key":"khedrGutMicrobiotaParkinsons2021"}}],"schema":"https://github.com/citation-style-language/schema/raw/master/csl-citation.json"} </w:instrText>
      </w:r>
      <w:r w:rsidR="004C7083">
        <w:rPr>
          <w:rFonts w:ascii="Times New Roman" w:eastAsiaTheme="minorEastAsia" w:hAnsi="Times New Roman" w:cs="Times New Roman"/>
          <w:iCs/>
          <w:sz w:val="20"/>
          <w:szCs w:val="20"/>
        </w:rPr>
        <w:fldChar w:fldCharType="separate"/>
      </w:r>
      <w:r w:rsidR="004C7083" w:rsidRPr="004C7083">
        <w:rPr>
          <w:rFonts w:ascii="Times New Roman" w:hAnsi="Times New Roman" w:cs="Times New Roman"/>
          <w:kern w:val="0"/>
          <w:sz w:val="20"/>
          <w:vertAlign w:val="superscript"/>
        </w:rPr>
        <w:t>14,16,18</w:t>
      </w:r>
      <w:r w:rsidR="004C7083">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xml:space="preserve">. Our within-PD design, explicit compositional handling (CLR/Aitchison; </w:t>
      </w:r>
      <w:r w:rsidR="00882A99">
        <w:rPr>
          <w:rFonts w:ascii="Times New Roman" w:eastAsiaTheme="minorEastAsia" w:hAnsi="Times New Roman" w:cs="Times New Roman"/>
          <w:iCs/>
          <w:sz w:val="20"/>
          <w:szCs w:val="20"/>
        </w:rPr>
        <w:t>voom–limma</w:t>
      </w:r>
      <w:r w:rsidRPr="002E582C">
        <w:rPr>
          <w:rFonts w:ascii="Times New Roman" w:eastAsiaTheme="minorEastAsia" w:hAnsi="Times New Roman" w:cs="Times New Roman"/>
          <w:iCs/>
          <w:sz w:val="20"/>
          <w:szCs w:val="20"/>
        </w:rPr>
        <w:t>), covariate adjustment, and dispersion checks align with recommended practice for small-effect microbiome data</w:t>
      </w:r>
      <w:r w:rsidR="00524023">
        <w:rPr>
          <w:rFonts w:ascii="Times New Roman" w:eastAsiaTheme="minorEastAsia" w:hAnsi="Times New Roman" w:cs="Times New Roman"/>
          <w:iCs/>
          <w:sz w:val="20"/>
          <w:szCs w:val="20"/>
        </w:rPr>
        <w:fldChar w:fldCharType="begin"/>
      </w:r>
      <w:r w:rsidR="00524023">
        <w:rPr>
          <w:rFonts w:ascii="Times New Roman" w:eastAsiaTheme="minorEastAsia" w:hAnsi="Times New Roman" w:cs="Times New Roman"/>
          <w:iCs/>
          <w:sz w:val="20"/>
          <w:szCs w:val="20"/>
        </w:rPr>
        <w:instrText xml:space="preserve"> ADDIN ZOTERO_ITEM CSL_CITATION {"citationID":"80T8iBaK","properties":{"formattedCitation":"\\super 15\\nosupersub{}","plainCitation":"15","noteIndex":0},"citationItems":[{"id":44,"uris":["http://zotero.org/users/14462068/items/NG3PWR68"],"itemData":{"id":44,"type":"article-journal","container-title":"Genome Biology","DOI":"10.1186/s13059-016-1086-x","ISSN":"1474-760X","issue":"1","journalAbbreviation":"Genome Biol","language":"en","page":"217","source":"DOI.org (Crossref)","title":"Tiny microbes, enormous impacts: what matters in gut microbiome studies?","title-short":"Tiny microbes, enormous impacts","volume":"17","author":[{"family":"Debelius","given":"Justine"},{"family":"Song","given":"Se Jin"},{"family":"Vazquez-Baeza","given":"Yoshiki"},{"family":"Xu","given":"Zhenjiang Zech"},{"family":"Gonzalez","given":"Antonio"},{"family":"Knight","given":"Rob"}],"issued":{"date-parts":[["2016",12]]},"citation-key":"debeliusTinyMicrobesEnormous2016"}}],"schema":"https://github.com/citation-style-language/schema/raw/master/csl-citation.json"} </w:instrText>
      </w:r>
      <w:r w:rsidR="00524023">
        <w:rPr>
          <w:rFonts w:ascii="Times New Roman" w:eastAsiaTheme="minorEastAsia" w:hAnsi="Times New Roman" w:cs="Times New Roman"/>
          <w:iCs/>
          <w:sz w:val="20"/>
          <w:szCs w:val="20"/>
        </w:rPr>
        <w:fldChar w:fldCharType="separate"/>
      </w:r>
      <w:r w:rsidR="00524023" w:rsidRPr="00524023">
        <w:rPr>
          <w:rFonts w:ascii="Times New Roman" w:hAnsi="Times New Roman" w:cs="Times New Roman"/>
          <w:kern w:val="0"/>
          <w:sz w:val="20"/>
          <w:vertAlign w:val="superscript"/>
        </w:rPr>
        <w:t>15</w:t>
      </w:r>
      <w:r w:rsidR="00524023">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xml:space="preserve"> and help reconcile why we see sparse species-level hits yet coherent functional shifts.</w:t>
      </w:r>
    </w:p>
    <w:p w14:paraId="510EF277" w14:textId="4D9814AF"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 xml:space="preserve">We observed no material differences in Shannon or </w:t>
      </w:r>
      <w:r w:rsidR="00BA14A4">
        <w:rPr>
          <w:rFonts w:ascii="Times New Roman" w:eastAsiaTheme="minorEastAsia" w:hAnsi="Times New Roman" w:cs="Times New Roman"/>
          <w:iCs/>
          <w:sz w:val="20"/>
          <w:szCs w:val="20"/>
        </w:rPr>
        <w:t>Gini–Simpson</w:t>
      </w:r>
      <w:r w:rsidRPr="002E582C">
        <w:rPr>
          <w:rFonts w:ascii="Times New Roman" w:eastAsiaTheme="minorEastAsia" w:hAnsi="Times New Roman" w:cs="Times New Roman"/>
          <w:iCs/>
          <w:sz w:val="20"/>
          <w:szCs w:val="20"/>
        </w:rPr>
        <w:t xml:space="preserve"> diversity; observed richness was modestly higher in constipated PD (Fig. 1). Within PD, a plausible explanation is slower transit, enabling more low-abundance taxa to persist above detection thresholds without significant changes in evenness. Overall, bulk richness/evenness appears less informative for constipation status than composition and function.</w:t>
      </w:r>
    </w:p>
    <w:p w14:paraId="4578B205" w14:textId="7A61316F"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 xml:space="preserve">Community structure differed slightly between groups (PERMANOVA </w:t>
      </w:r>
      <w:r w:rsidR="00C60278" w:rsidRPr="00C60278">
        <w:rPr>
          <w:rFonts w:ascii="Times New Roman" w:eastAsiaTheme="minorEastAsia" w:hAnsi="Times New Roman" w:cs="Times New Roman"/>
          <w:i/>
          <w:iCs/>
          <w:sz w:val="20"/>
          <w:szCs w:val="20"/>
        </w:rPr>
        <w:t>R</w:t>
      </w:r>
      <w:r w:rsidR="00091B00" w:rsidRPr="00091B00">
        <w:rPr>
          <w:rFonts w:ascii="Times New Roman" w:eastAsiaTheme="minorEastAsia" w:hAnsi="Times New Roman" w:cs="Times New Roman"/>
          <w:iCs/>
          <w:sz w:val="20"/>
          <w:szCs w:val="20"/>
        </w:rPr>
        <w:t>²</w:t>
      </w:r>
      <w:r w:rsidRPr="002E582C">
        <w:rPr>
          <w:rFonts w:ascii="Times New Roman" w:eastAsiaTheme="minorEastAsia" w:hAnsi="Times New Roman" w:cs="Times New Roman"/>
          <w:iCs/>
          <w:sz w:val="20"/>
          <w:szCs w:val="20"/>
        </w:rPr>
        <w:t xml:space="preserve"> ≈ </w:t>
      </w:r>
      <w:r w:rsidR="00F7503E" w:rsidRPr="00F7503E">
        <w:rPr>
          <w:rFonts w:ascii="Times New Roman" w:eastAsiaTheme="minorEastAsia" w:hAnsi="Times New Roman" w:cs="Times New Roman"/>
          <w:iCs/>
          <w:sz w:val="20"/>
          <w:szCs w:val="20"/>
        </w:rPr>
        <w:t>0.5</w:t>
      </w:r>
      <w:r w:rsidR="004740BB" w:rsidRPr="004740BB">
        <w:rPr>
          <w:rFonts w:ascii="Times New Roman" w:eastAsiaTheme="minorEastAsia" w:hAnsi="Times New Roman" w:cs="Times New Roman"/>
          <w:iCs/>
          <w:sz w:val="20"/>
          <w:szCs w:val="20"/>
        </w:rPr>
        <w:t>–</w:t>
      </w:r>
      <w:r w:rsidR="00F7503E" w:rsidRPr="00F7503E">
        <w:rPr>
          <w:rFonts w:ascii="Times New Roman" w:eastAsiaTheme="minorEastAsia" w:hAnsi="Times New Roman" w:cs="Times New Roman"/>
          <w:iCs/>
          <w:sz w:val="20"/>
          <w:szCs w:val="20"/>
        </w:rPr>
        <w:t>0.8%</w:t>
      </w:r>
      <w:r w:rsidRPr="002E582C">
        <w:rPr>
          <w:rFonts w:ascii="Times New Roman" w:eastAsiaTheme="minorEastAsia" w:hAnsi="Times New Roman" w:cs="Times New Roman"/>
          <w:iCs/>
          <w:sz w:val="20"/>
          <w:szCs w:val="20"/>
        </w:rPr>
        <w:t>; Fig. 2), magnitudes typical for human microbiome cohorts and best interpreted cautiously</w:t>
      </w:r>
      <w:r w:rsidR="00FD2E8D">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{"citationID":"pj9GCrXk","properties":{"formattedCitation":"\\super 15\\nosupersub{}","plainCitation":"15","noteIndex":0},"citationItems":[{"id":44,"uris":["http://zotero.org/users/14462068/items/NG3PWR68"],"itemData":{"id":44,"type":"article-journal","container-title":"Genome Biology","DOI":"10.1186/s13059-016-1086-x","ISSN":"1474-760X","issue":"1","journalAbbreviation":"Genome Biol","language":"en","page":"217","source":"DOI.org (Crossref)","title":"Tiny microbes, enormous impacts: what matters in gut microbiome studies?","title-short":"Tiny microbes, enormous impacts","volume":"17","author":[{"family":"Debelius","given":"Justine"},{"family":"Song","given":"Se Jin"},{"family":"Vazquez-Baeza","given":"Yoshiki"},{"family":"Xu","given":"Zhenjiang Zech"},{"family":"Gonzalez","given":"Antonio"},{"family":"Knight","given":"Rob"}],"issued":{"date-parts":[["2016",12]]},"citation-key":"debeliusTinyMicrobesEnormous2016"}}],"schema":"https://github.com/citation-style-language/schema/raw/master/csl-citation.json"} </w:instrText>
      </w:r>
      <w:r w:rsidR="00FD2E8D">
        <w:rPr>
          <w:rFonts w:ascii="Times New Roman" w:eastAsiaTheme="minorEastAsia" w:hAnsi="Times New Roman" w:cs="Times New Roman"/>
          <w:iCs/>
          <w:sz w:val="20"/>
          <w:szCs w:val="20"/>
        </w:rPr>
        <w:fldChar w:fldCharType="separate"/>
      </w:r>
      <w:r w:rsidR="00FD2E8D" w:rsidRPr="00FD2E8D">
        <w:rPr>
          <w:rFonts w:ascii="Times New Roman" w:hAnsi="Times New Roman" w:cs="Times New Roman"/>
          <w:kern w:val="0"/>
          <w:sz w:val="20"/>
          <w:vertAlign w:val="superscript"/>
        </w:rPr>
        <w:t>15</w:t>
      </w:r>
      <w:r w:rsidR="00FD2E8D">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xml:space="preserve">. Dispersion differed for </w:t>
      </w:r>
      <w:r w:rsidR="00BA14A4">
        <w:rPr>
          <w:rFonts w:ascii="Times New Roman" w:eastAsiaTheme="minorEastAsia" w:hAnsi="Times New Roman" w:cs="Times New Roman"/>
          <w:iCs/>
          <w:sz w:val="20"/>
          <w:szCs w:val="20"/>
        </w:rPr>
        <w:t>Bray–Curtis</w:t>
      </w:r>
      <w:r w:rsidRPr="002E582C">
        <w:rPr>
          <w:rFonts w:ascii="Times New Roman" w:eastAsiaTheme="minorEastAsia" w:hAnsi="Times New Roman" w:cs="Times New Roman"/>
          <w:iCs/>
          <w:sz w:val="20"/>
          <w:szCs w:val="20"/>
        </w:rPr>
        <w:t xml:space="preserve"> but not for Aitchison/CLR, so the CLR-space signal is the more robust indicator of subtle compositional differences. This pattern</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slight separation with a dispersion caveat</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is consistent with multi-center PD cohorts</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where lifestyle and technical heterogeneity dilute global shifts while preserving symptom-linked structure</w:t>
      </w:r>
      <w:r w:rsidR="00FD2E8D">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{"citationID":"INJ8mAtG","properties":{"formattedCitation":"\\super 14,18\\nosupersub{}","plainCitation":"14,18","noteIndex":0},"citationItems":[{"id":42,"uris":["http://zotero.org/users/14462068/items/MVJHUNQF"],"itemData":{"id":42,"type":"article-journal","abstract":"Background:\n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S."}],"issued":{"date-parts":[["2021",10,29]]},"citation-key":"kennaChangesGutMicrobiome2021"}},{"id":49,"uris":["http://zotero.org/users/14462068/items/WM3KSJYP"],"itemData":{"id":49,"type":"article-journal","abstract":"Abstract\n            \n              Background\n              Parkinson’s disease (PD) is one of the most common neurodegenerative diseases. There is accumulating evidence that link gut microbiota to symptomatology and pathophysiology of PD. The aim of this study was to describe the pattern of gut microbiota and its association with PD and identify the effect of environmental factors on gut microbiota. This case–control study included 46 patients diagnosed as Parkinson’s disease (PD) and 31 healthy volunteers age and sex matched. Detailed history including age of onset, duration of disease, environmental risk factors, diet data, treatment, Unified Parkinson’s Disease Rating Scale (UPDRS), and gastrointestinal tract (GIT) domain of Non‐Motor Symptoms Scale (NMSS) were assessed. After extraction of bacterial DNA from the fecal samples, bacterial abundance was quantified by qPCR using 16S rRNA group-specific primers.\n            \n            \n              Results\n              \n                Significant high abundance of Clostridium cluster IV, Akkermansia, Bifidobacterium, and lactic acid bacteria were found in the PD group compared with the control group (\n                P\n                 &lt; 0.001, 0.04, 0.02 and &lt; 0.001, respectively), while Firmicutes were significantly less abundant in the PD group (\n                P\n                 &lt; 0.001) compared with the control group. The naive PD patients had significant abundance of Bifidobacterium, and lactic acid compared with control group. Interestingly, Akkermansia was more abundant in treated than untreated patients. There were significant associations between pesticide exposure and Bifidobacterium (\n                P\n                 = 0.002), while no significant correlations between different gut microbiota and demographic, environment data, different rating scores or dominant type of PD. There was a significant negative correlation between the Bifidobacterium with the duration of illness (\n                P\n                 = 0.012).\n              \n            \n            \n              Conclusion\n              The present study highlighted a significant connection between PD and levels of certain types of gut microbiota, in support of a possible link between gut microbiota and a neurodegenerative cascade of PD.","container-title":"The Egyptian Journal of Neurology, Psychiatry and Neurosurgery","DOI":"10.1186/s41983-021-00407-z","ISSN":"1687-8329","issue":"1","journalAbbreviation":"Egypt J Neurol Psychiatry Neurosurg","language":"en","page":"153","source":"DOI.org (Crossref)","title":"Gut microbiota in Parkinson’s disease patients: hospital-based study","title-short":"Gut microbiota in Parkinson’s disease patients","volume":"57","author":[{"family":"Khedr","given":"Eman M."},{"family":"Ali","given":"Anwar M."},{"family":"Deaf","given":"Enas"},{"family":"Hassan","given":"Hebatallah M."},{"family":"Alaa","given":"Ahmed"},{"family":"Gamea","given":"Ayman"}],"issued":{"date-parts":[["2021",11,4]]},"citation-key":"khedrGutMicrobiotaParkinsons2021"}}],"schema":"https://github.com/citation-style-language/schema/raw/master/csl-citation.json"} </w:instrText>
      </w:r>
      <w:r w:rsidR="00FD2E8D">
        <w:rPr>
          <w:rFonts w:ascii="Times New Roman" w:eastAsiaTheme="minorEastAsia" w:hAnsi="Times New Roman" w:cs="Times New Roman"/>
          <w:iCs/>
          <w:sz w:val="20"/>
          <w:szCs w:val="20"/>
        </w:rPr>
        <w:fldChar w:fldCharType="separate"/>
      </w:r>
      <w:r w:rsidR="00FD2E8D" w:rsidRPr="00FD2E8D">
        <w:rPr>
          <w:rFonts w:ascii="Times New Roman" w:hAnsi="Times New Roman" w:cs="Times New Roman"/>
          <w:kern w:val="0"/>
          <w:sz w:val="20"/>
          <w:vertAlign w:val="superscript"/>
        </w:rPr>
        <w:t>14,18</w:t>
      </w:r>
      <w:r w:rsidR="00FD2E8D">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w:t>
      </w:r>
    </w:p>
    <w:p w14:paraId="42524E25" w14:textId="43320040"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 xml:space="preserve">At the species level (CLR + limma; covariate-adjusted), only </w:t>
      </w:r>
      <w:r w:rsidR="00B7014A" w:rsidRPr="00B7014A">
        <w:rPr>
          <w:rFonts w:ascii="Times New Roman" w:eastAsiaTheme="minorEastAsia" w:hAnsi="Times New Roman" w:cs="Times New Roman"/>
          <w:i/>
          <w:sz w:val="20"/>
          <w:szCs w:val="20"/>
        </w:rPr>
        <w:t>Ruthenibacterium</w:t>
      </w:r>
      <w:r w:rsidRPr="002E582C">
        <w:rPr>
          <w:rFonts w:ascii="Times New Roman" w:eastAsiaTheme="minorEastAsia" w:hAnsi="Times New Roman" w:cs="Times New Roman"/>
          <w:i/>
          <w:iCs/>
          <w:sz w:val="20"/>
          <w:szCs w:val="20"/>
        </w:rPr>
        <w:t xml:space="preserve"> lactatiformans</w:t>
      </w:r>
      <w:r w:rsidRPr="002E582C">
        <w:rPr>
          <w:rFonts w:ascii="Times New Roman" w:eastAsiaTheme="minorEastAsia" w:hAnsi="Times New Roman" w:cs="Times New Roman"/>
          <w:iCs/>
          <w:sz w:val="20"/>
          <w:szCs w:val="20"/>
        </w:rPr>
        <w:t xml:space="preserve"> reached FDR</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&lt;</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 xml:space="preserve">0.05 (higher in cases); several taxa often discussed in PD cohorts (e.g., </w:t>
      </w:r>
      <w:r w:rsidRPr="002E582C">
        <w:rPr>
          <w:rFonts w:ascii="Times New Roman" w:eastAsiaTheme="minorEastAsia" w:hAnsi="Times New Roman" w:cs="Times New Roman"/>
          <w:i/>
          <w:iCs/>
          <w:sz w:val="20"/>
          <w:szCs w:val="20"/>
        </w:rPr>
        <w:t>Faecalibacterium prausnitzii</w:t>
      </w:r>
      <w:r w:rsidRPr="002E582C">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
          <w:iCs/>
          <w:sz w:val="20"/>
          <w:szCs w:val="20"/>
        </w:rPr>
        <w:t>Coprococcus comes</w:t>
      </w:r>
      <w:r w:rsidRPr="002E582C">
        <w:rPr>
          <w:rFonts w:ascii="Times New Roman" w:eastAsiaTheme="minorEastAsia" w:hAnsi="Times New Roman" w:cs="Times New Roman"/>
          <w:iCs/>
          <w:sz w:val="20"/>
          <w:szCs w:val="20"/>
        </w:rPr>
        <w:t xml:space="preserve">, lower in cases; </w:t>
      </w:r>
      <w:r w:rsidRPr="002E582C">
        <w:rPr>
          <w:rFonts w:ascii="Times New Roman" w:eastAsiaTheme="minorEastAsia" w:hAnsi="Times New Roman" w:cs="Times New Roman"/>
          <w:i/>
          <w:iCs/>
          <w:sz w:val="20"/>
          <w:szCs w:val="20"/>
        </w:rPr>
        <w:t>Escherichia coli</w:t>
      </w:r>
      <w:r w:rsidRPr="002E582C">
        <w:rPr>
          <w:rFonts w:ascii="Times New Roman" w:eastAsiaTheme="minorEastAsia" w:hAnsi="Times New Roman" w:cs="Times New Roman"/>
          <w:iCs/>
          <w:sz w:val="20"/>
          <w:szCs w:val="20"/>
        </w:rPr>
        <w:t xml:space="preserve"> higher) remained trends (Fig. 3; Table 2). Species-level findings vary widely across PD studies due to geography, diet, medication exposure, and processing pipelines</w:t>
      </w:r>
      <w:r w:rsidR="00FD2E8D">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{"citationID":"s3AyihAp","properties":{"formattedCitation":"\\super 13,14,18\\nosupersub{}","plainCitation":"13,14,18","noteIndex":0},"citationItems":[{"id":40,"uris":["http://zotero.org/users/14462068/items/65XPAYXF"],"itemData":{"id":40,"type":"article-journal","abstract":"Background and Aims\n              Parkinson’s disease (PD) is a worldwide neurodegenerative disease with an increasing global burden, while constipation is an important risk factor for PD. The gastrointestinal tract had been proposed as the origin of PD in Braak’s gut–brain axis hypothesis, and there is increasing evidence indicating that intestinal microbial alteration has a role in the pathogenesis of PD. In this study, we aim to investigate the role of intestinal microbial alteration in the mechanism of constipation-related PD.\n            \n            \n              Methods\n              We adapted our data from Hill‐Burns et al., in which 324 participants were enrolled in the study. The 16S rRNA gene sequence data were processed, aligned, and categorized using DADA2. Mediation analysis was used to test and quantify the extent by which the intestinal microbial alteration explains the causal effect of constipation on PD incidence.\n            \n            \n              Results\n              We found 18 bacterial genera and 7 species significantly different between groups of constipated and non-constipated subjects. Among these bacteria, nine genera and four species had a significant mediation effect between constipation and PD. All of them were short-chain fatty acid (SCFA)-producing bacteria that were substantially related to PD. Results from the mediation analysis showed that up to 76.56% of the effect of constipation on PD was mediated through intestinal microbial alteration.\n            \n            \n              Conclusion\n              Our findings support that gut dysbiosis plays a critical role in the pathogenesis of constipation-related PD, mostly through the decreasing of SCFA-producing bacteria, indicating that probiotics with SCFA-producing bacteria may be promising in the prevention and treatment of constipation-related PD.\n            \n            \n              Limitations\n              1) Several potential confounders that should be adjusted were not provided in the original dataset. 2) Our study was conducted based on the assumption of constipation being the etiology of PD; however, constipation and PD may mutually affect each other. 3) Further studies are necessary to explain the remaining 23.44% effect leading to PD by constipation.","container-title":"Frontiers in Cellular and Infection Microbiology","DOI":"10.3389/fcimb.2022.871710","ISSN":"2235-2988","journalAbbreviation":"Front. Cell. Infect. Microbiol.","page":"871710","source":"DOI.org (Crossref)","title":"Exploring the Causal Effect of Constipation on Parkinson’s Disease Through Mediation Analysis of Microbial Data","volume":"12","author":[{"family":"Fu","given":"Shih-Chen"},{"family":"Shih","given":"Ling-Chieh"},{"family":"Wu","given":"Pei-Hua"},{"family":"Hsieh","given":"Yi-Chen"},{"family":"Lee","given":"Chung-Han"},{"family":"Lin","given":"Sheng-Hsuan"},{"family":"Wang","given":"Hsiuying"}],"issued":{"date-parts":[["2022",5,11]]},"citation-key":"fuExploringCausalEffect2022"}},{"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S."}],"issued":{"date-parts":[["2021",10,29]]},"citation-key":"kennaChangesGutMicrobiome2021"}},{"id":49,"uris":["http://zotero.org/users/14462068/items/WM3KSJYP"],"itemData":{"id":49,"type":"article-journal","abstract":"Abstract\n            \n              Background\n              Parkinson’s disease (PD) is one of the most common neurodegenerative diseases. There is accumulating evidence that link gut microbiota to symptomatology and pathophysiology of PD. The aim of this study was to describe the pattern of gut microbiota and its association with PD and identify the effect of environmental factors on gut microbiota. This case–control study included 46 patients diagnosed as Parkinson’s disease (PD) and 31 healthy volunteers age and sex matched. Detailed history including age of onset, duration of disease, environmental risk factors, diet data, treatment, Unified Parkinson’s Disease Rating Scale (UPDRS), and gastrointestinal tract (GIT) domain of Non‐Motor Symptoms Scale (NMSS) were assessed. After extraction of bacterial DNA from the fecal samples, bacterial abundance was quantified by qPCR using 16S rRNA group-specific primers.\n            \n            \n              Results\n              \n                Significant high abundance of Clostridium cluster IV, Akkermansia, Bifidobacterium, and lactic acid bacteria were found in the PD group compared with the control group (\n                P\n                 &lt; 0.001, 0.04, 0.02 and &lt; 0.001, respectively), while Firmicutes were significantly less abundant in the PD group (\n                P\n                 &lt; 0.001) compared with the control group. The naive PD patients had significant abundance of Bifidobacterium, and lactic acid compared with control group. Interestingly, Akkermansia was more abundant in treated than untreated patients. There were significant associations between pesticide exposure and Bifidobacterium (\n                P\n                 = 0.002), while no significant correlations between different gut microbiota and demographic, environment data, different rating scores or dominant type of PD. There was a significant negative correlation between the Bifidobacterium with the duration of illness (\n                P\n                 = 0.012).\n              \n            \n            \n              Conclusion\n              The present study highlighted a significant connection between PD and levels of certain types of gut microbiota, in support of a possible link between gut microbiota and a neurodegenerative cascade of PD.","container-title":"The Egyptian Journal of Neurology, Psychiatry and Neurosurgery","DOI":"10.1186/s41983-021-00407-z","ISSN":"1687-8329","issue":"1","journalAbbreviation":"Egypt J Neurol Psychiatry Neurosurg","language":"en","page":"153","source":"DOI.org (Crossref)","title":"Gut microbiota in Parkinson’s disease patients: hospital-based study","title-short":"Gut microbiota in Parkinson’s disease patients","volume":"57","author":[{"family":"Khedr","given":"Eman M."},{"family":"Ali","given":"Anwar M."},{"family":"Deaf","given":"Enas"},{"family":"Hassan","given":"Hebatallah M."},{"family":"Alaa","given":"Ahmed"},{"family":"Gamea","given":"Ayman"}],"issued":{"date-parts":[["2021",11,4]]},"citation-key":"khedrGutMicrobiotaParkinsons2021"}}],"schema":"https://github.com/citation-style-language/schema/raw/master/csl-citation.json"} </w:instrText>
      </w:r>
      <w:r w:rsidR="00FD2E8D">
        <w:rPr>
          <w:rFonts w:ascii="Times New Roman" w:eastAsiaTheme="minorEastAsia" w:hAnsi="Times New Roman" w:cs="Times New Roman"/>
          <w:iCs/>
          <w:sz w:val="20"/>
          <w:szCs w:val="20"/>
        </w:rPr>
        <w:fldChar w:fldCharType="separate"/>
      </w:r>
      <w:r w:rsidR="00FD2E8D" w:rsidRPr="00FD2E8D">
        <w:rPr>
          <w:rFonts w:ascii="Times New Roman" w:hAnsi="Times New Roman" w:cs="Times New Roman"/>
          <w:kern w:val="0"/>
          <w:sz w:val="20"/>
          <w:vertAlign w:val="superscript"/>
        </w:rPr>
        <w:t>13,14,18</w:t>
      </w:r>
      <w:r w:rsidR="00FD2E8D">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Our uniform covariate adjustment (Age, Sex, BMI, Laxatives, collection_method) and PD-only contrast likely reduce confounding that can inflate unadjusted taxa signals, yielding a conservative species panel.</w:t>
      </w:r>
    </w:p>
    <w:p w14:paraId="6A8CC398" w14:textId="5EDE030C"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In contrast, pathway analysis revealed broad, internally consistent differences: 64 pathways met FDR</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&lt;</w:t>
      </w:r>
      <w:r w:rsidR="004740BB">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0.05 overall, with most enriched in cases and a minority depleted (Fig. 4; Table 3; Supplementary Table S3). The leading signals</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phosphopantothenate/CoA biosynthesis, fatty-acid initiation, cis-vaccenate biosynthesis, and chorismate/aromatic-amino-acid precursors</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implicate remodeling of lipid and cofactor metabolism alongside central-carbon flow. These functional modules may reflect altered substrate availability and redox demands with constipation (e.g., slower transit, differential fiber/lipid utilization), and they echo prior PD reports in which function tracks clinical features more reliably than any fixed species list</w:t>
      </w:r>
      <w:r w:rsidR="00FD2E8D">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{"citationID":"FLxJZbBb","properties":{"formattedCitation":"\\super 14,17\\nosupersub{}","plainCitation":"14,17","noteIndex":0},"citationItems":[{"id":42,"uris":["http://zotero.org/users/14462068/items/MVJHUNQF"],"itemData":{"id":42,"type":"article-journal","abstract":"Background:\n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S."}],"issued":{"date-parts":[["2021",10,29]]},"citation-key":"kennaChangesGutMicrobiome2021"}},{"id":47,"uris":["http://zotero.org/users/14462068/items/PRZHI65J"],"itemData":{"id":47,"type":"article-journal","abstract":"Abstract\n            \n              Background\n              \n                Parkinson’s disease (PD) is a systemic disease clinically defined by the degeneration of dopaminergic neurons in the brain. While alterations in the gut microbiome composition have been reported in PD, their functional consequences remain unclear. Herein, we addressed this question by an analysis of stool samples from the Luxembourg Parkinson’s Study (\n                n\n                 = 147 typical PD cases,\n                n\n                 = 162 controls).\n              \n            \n            \n              Results\n              \n                All individuals underwent detailed clinical assessment, including neurological examinations and neuropsychological tests followed by self-reporting questionnaires. Stool samples from these individuals were first analysed by 16S rRNA gene sequencing. Second, we predicted the potential secretion for 129 microbial metabolites through personalised metabolic modelling using the microbiome data and genome-scale metabolic reconstructions of human gut microbes. Our key results include the following. Eight genera and seven species changed significantly in their relative abundances between PD patients and healthy controls. PD-associated microbial patterns statistically depended on sex, age, BMI, and constipation. Particularly, the relative abundances of\n                Bilophila\n                and\n                Paraprevotella\n                were significantly associated with the Hoehn and Yahr staging after controlling for the disease duration. Furthermore, personalised metabolic modelling of the gut microbiomes revealed PD-associated metabolic patterns in the predicted secretion potential of nine microbial metabolites in PD, including increased methionine and cysteinylglycine. The predicted microbial pantothenic acid production potential was linked to the presence of specific non-motor symptoms.\n              \n            \n            \n              Conclusion\n              Our results suggest that PD-associated alterations of the gut microbiome can translate into substantial functional differences affecting host metabolism and disease phenotype.","container-title":"BMC Biology","DOI":"10.1186/s12915-020-00775-7","ISSN":"1741-7007","issue":"1","journalAbbreviation":"BMC Biol","language":"en","page":"62","source":"DOI.org (Crossref)","title":"Parkinson’s disease-associated alterations of the gut microbiome predict disease-relevant changes in metabolic functions","volume":"18","author":[{"family":"Baldini","given":"Federico"},{"family":"Hertel","given":"Johannes"},{"family":"Sandt","given":"Estelle"},{"family":"Thinnes","given":"Cyrille C."},{"family":"Neuberger-Castillo","given":"Lorieza"},{"family":"Pavelka","given":"Lukas"},{"family":"Betsou","given":"Fay"},{"family":"Krüger","given":"Rejko"},{"family":"Thiele","given":"Ines"},{"literal":"on behalf of the NCER-PD Consortium"},{"family":"Aguayo","given":"Gloria"},{"family":"Allen","given":"Dominic"},{"family":"Ammerlann","given":"Wim"},{"family":"Aurich","given":"Maike"},{"family":"Balling","given":"Rudi"},{"family":"Banda","given":"Peter"},{"family":"Beaumont","given":"Katy"},{"family":"Becker","given":"Regina"},{"family":"Berg","given":"Daniela"},{"family":"Binck","given":"Sylvia"},{"family":"Bisdorff","given":"Alexandre"},{"family":"Bobbili","given":"Dheeraj"},{"family":"Brockmann","given":"Kathrin"},{"family":"Calmes","given":"Jessica"},{"family":"Castillo","given":"Lorieza"},{"family":"Diederich","given":"Nico"},{"family":"Dondelinger","given":"Rene"},{"family":"Esteves","given":"Daniela"},{"family":"Ferrand","given":"Jean-Yves"},{"family":"Fleming","given":"Ronan"},{"family":"Gantenbein","given":"Manon"},{"family":"Gasser","given":"Thomas"},{"family":"Gawron","given":"Piotr"},{"family":"Geffers","given":"Lars"},{"family":"Giarmana","given":"Virginie"},{"family":"Glaab","given":"Enrico"},{"family":"Gomes","given":"Clarissa P. C."},{"family":"Goncharenko","given":"Nikolai"},{"family":"Graas","given":"Jérôme"},{"family":"Graziano","given":"Mariela"},{"family":"Groues","given":"Valentin"},{"family":"Grünewald","given":"Anne"},{"family":"Gu","given":"Wei"},{"family":"Hammot","given":"Gaël"},{"family":"Hanff","given":"Anne-Marie"},{"family":"Hansen","given":"Linda"},{"family":"Hansen","given":"Maxime"},{"family":"Haraldsdöttir","given":"Hulda"},{"family":"Heirendt","given":"Laurent"},{"family":"Herbrink","given":"Sylvia"},{"family":"Herzinger","given":"Sascha"},{"family":"Heymann","given":"Michael"},{"family":"Hiller","given":"Karsten"},{"family":"Hipp","given":"Geraldine"},{"family":"Hu","given":"Michele"},{"family":"Huiart","given":"Laetitia"},{"family":"Hundt","given":"Alexander"},{"family":"Jacoby","given":"Nadine"},{"family":"Jarosław","given":"Jacek"},{"family":"Jaroz","given":"Yohan"},{"family":"Kolber","given":"Pierre"},{"family":"Kutzera","given":"Joachim"},{"family":"Landoulsi","given":"Zied"},{"family":"Larue","given":"Catherine"},{"family":"Lentz","given":"Roseline"},{"family":"Liepelt","given":"Inga"},{"family":"Liszka","given":"Robert"},{"family":"Longhino","given":"Laura"},{"family":"Lorentz","given":"Victoria"},{"family":"Mackay","given":"Clare"},{"family":"Maetzler","given":"Walter"},{"family":"Marcus","given":"Katrin"},{"family":"Marques","given":"Guilherme"},{"family":"Martens","given":"Jan"},{"family":"Mathay","given":"Conny"},{"family":"Matyjaszczyk","given":"Piotr"},{"family":"May","given":"Patrick"},{"family":"Meisch","given":"Francoise"},{"family":"Menster","given":"Myriam"},{"family":"Minelli","given":"Maura"},{"family":"Mittelbronn","given":"Michel"},{"family":"Mollenhauer","given":"Brit"},{"family":"Mommaerts","given":"Kathleen"},{"family":"Moreno","given":"Carlos"},{"family":"Mühlschlegel","given":"Friedrich"},{"family":"Nati","given":"Romain"},{"family":"Nehrbass","given":"Ulf"},{"family":"Nickels","given":"Sarah"},{"family":"Nicolai","given":"Beatrice"},{"family":"Nicolay","given":"Jean-Paul"},{"family":"Noronha","given":"Alberto"},{"family":"Oertel","given":"Wolfgang"},{"family":"Ostaszewski","given":"Marek"},{"family":"Pachchek","given":"Sinthuja"},{"family":"Pauly","given":"Claire"},{"family":"Perquin","given":"Magali"},{"family":"Reiter","given":"Dorothea"},{"family":"Rosety","given":"Isabel"},{"family":"Rump","given":"Kirsten"},{"family":"Satagopam","given":"Venkata"},{"family":"Schlesser","given":"Marc"},{"family":"Schmitz","given":"Sabine"},{"family":"Schmitz","given":"Susanne"},{"family":"Schneider","given":"Reinhard"},{"family":"Schwamborn","given":"Jens"},{"family":"Schweicher","given":"Alexandra"},{"family":"Simons","given":"Janine"},{"family":"Stute","given":"Lara"},{"family":"Trefois","given":"Christophe"},{"family":"Trezzi","given":"Jean-Pierre"},{"family":"Vaillant","given":"Michel"},{"family":"Vasco","given":"Daniel"},{"family":"Vyas","given":"Maharshi"},{"family":"Wade-Martins","given":"Richard"},{"family":"Wilmes","given":"Paul"}],"issued":{"date-parts":[["2020",12]]},"citation-key":"baldiniParkinsonsDiseaseassociatedAlterations2020"}}],"schema":"https://github.com/citation-style-language/schema/raw/master/csl-citation.json"} </w:instrText>
      </w:r>
      <w:r w:rsidR="00FD2E8D">
        <w:rPr>
          <w:rFonts w:ascii="Times New Roman" w:eastAsiaTheme="minorEastAsia" w:hAnsi="Times New Roman" w:cs="Times New Roman"/>
          <w:iCs/>
          <w:sz w:val="20"/>
          <w:szCs w:val="20"/>
        </w:rPr>
        <w:fldChar w:fldCharType="separate"/>
      </w:r>
      <w:r w:rsidR="00FD2E8D" w:rsidRPr="00FD2E8D">
        <w:rPr>
          <w:rFonts w:ascii="Times New Roman" w:hAnsi="Times New Roman" w:cs="Times New Roman"/>
          <w:kern w:val="0"/>
          <w:sz w:val="20"/>
          <w:vertAlign w:val="superscript"/>
        </w:rPr>
        <w:t>14,17</w:t>
      </w:r>
      <w:r w:rsidR="00FD2E8D">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We did not directly quantify metabolites (e.g., SCFAs, bile acids, quinones), so these inferences should be tested with paired metabolomics.</w:t>
      </w:r>
    </w:p>
    <w:p w14:paraId="35389C79" w14:textId="5374BAAA"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 xml:space="preserve">Enterotypes derived by model-based clustering (mclust/BIC) resolved two archetypes whose distribution </w:t>
      </w:r>
      <w:r w:rsidR="00196675" w:rsidRPr="00196675">
        <w:rPr>
          <w:rFonts w:ascii="Times New Roman" w:eastAsiaTheme="minorEastAsia" w:hAnsi="Times New Roman" w:cs="Times New Roman"/>
          <w:iCs/>
          <w:sz w:val="20"/>
          <w:szCs w:val="20"/>
        </w:rPr>
        <w:t xml:space="preserve">differed modestly by constipation status (Fisher’s exact </w:t>
      </w:r>
      <w:r w:rsidR="00196675" w:rsidRPr="00196675">
        <w:rPr>
          <w:rFonts w:ascii="Times New Roman" w:eastAsiaTheme="minorEastAsia" w:hAnsi="Times New Roman" w:cs="Times New Roman"/>
          <w:i/>
          <w:sz w:val="20"/>
          <w:szCs w:val="20"/>
        </w:rPr>
        <w:t>P</w:t>
      </w:r>
      <w:r w:rsidR="00196675" w:rsidRPr="00196675">
        <w:rPr>
          <w:rFonts w:ascii="Times New Roman" w:eastAsiaTheme="minorEastAsia" w:hAnsi="Times New Roman" w:cs="Times New Roman"/>
          <w:iCs/>
          <w:sz w:val="20"/>
          <w:szCs w:val="20"/>
        </w:rPr>
        <w:t xml:space="preserve"> = 0.0105; Fig. 5). The effect size is small, but statistically credible</w:t>
      </w:r>
      <w:r w:rsidR="00196675">
        <w:rPr>
          <w:rFonts w:ascii="Times New Roman" w:eastAsiaTheme="minorEastAsia" w:hAnsi="Times New Roman" w:cs="Times New Roman"/>
          <w:iCs/>
          <w:sz w:val="20"/>
          <w:szCs w:val="20"/>
        </w:rPr>
        <w:t xml:space="preserve"> (a</w:t>
      </w:r>
      <w:r w:rsidRPr="002E582C">
        <w:rPr>
          <w:rFonts w:ascii="Times New Roman" w:eastAsiaTheme="minorEastAsia" w:hAnsi="Times New Roman" w:cs="Times New Roman"/>
          <w:iCs/>
          <w:sz w:val="20"/>
          <w:szCs w:val="20"/>
        </w:rPr>
        <w:t>ccords with the prespecified BIC-based approach in Methods</w:t>
      </w:r>
      <w:r w:rsidR="00196675">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Even so, the functional signals (Fig. 4) carry more apparent biological coherence than these coarse archetypes, suggesting pathway-level readouts will be more useful for symptom stratification and intervention design.</w:t>
      </w:r>
    </w:p>
    <w:p w14:paraId="57D7AA44" w14:textId="2F7648BD" w:rsidR="002E582C" w:rsidRPr="002E582C" w:rsidRDefault="002E582C" w:rsidP="002E582C">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 xml:space="preserve">This study has several strengths: (i) a PD-only design targeting symptom heterogeneity; (ii) consistent covariate adjustment across all models; (iii) compositional handling via CLR/Aitchison and </w:t>
      </w:r>
      <w:r w:rsidR="00882A99">
        <w:rPr>
          <w:rFonts w:ascii="Times New Roman" w:eastAsiaTheme="minorEastAsia" w:hAnsi="Times New Roman" w:cs="Times New Roman"/>
          <w:iCs/>
          <w:sz w:val="20"/>
          <w:szCs w:val="20"/>
        </w:rPr>
        <w:t>voom–limma</w:t>
      </w:r>
      <w:r w:rsidRPr="002E582C">
        <w:rPr>
          <w:rFonts w:ascii="Times New Roman" w:eastAsiaTheme="minorEastAsia" w:hAnsi="Times New Roman" w:cs="Times New Roman"/>
          <w:iCs/>
          <w:sz w:val="20"/>
          <w:szCs w:val="20"/>
        </w:rPr>
        <w:t>; (iv) explicit dispersion checks qualifying PERMANOVA; and (v) fully reproducible outputs with alignment and complete-case diagnostics. Limitations reflect the retrospective, cross-sectional dataset: constipation was not uniformly phenotyped with stool-form or transit measures; diet, disease duration, and dopaminergic medications were incompletely available; and causality cannot be inferred. Shotgun metagenomics infers function from gene content rather than measured metabolites; paired stool/serum metabolomics (SCFAs, bile acids, redox cofactors) would materially strengthen mechanistic claims. Finally, effect sizes are small</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typical in human microbiome studies</w:t>
      </w:r>
      <w:r>
        <w:rPr>
          <w:rFonts w:ascii="Times New Roman" w:eastAsiaTheme="minorEastAsia" w:hAnsi="Times New Roman" w:cs="Times New Roman"/>
          <w:iCs/>
          <w:sz w:val="20"/>
          <w:szCs w:val="20"/>
        </w:rPr>
        <w:t xml:space="preserve">) </w:t>
      </w:r>
      <w:r w:rsidRPr="002E582C">
        <w:rPr>
          <w:rFonts w:ascii="Times New Roman" w:eastAsiaTheme="minorEastAsia" w:hAnsi="Times New Roman" w:cs="Times New Roman"/>
          <w:iCs/>
          <w:sz w:val="20"/>
          <w:szCs w:val="20"/>
        </w:rPr>
        <w:t>and warrant external replication, sensitivity analyses with alternative compositional models</w:t>
      </w:r>
      <w:r w:rsidR="00FD2E8D">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{"citationID":"XC8f0PRT","properties":{"formattedCitation":"\\super 15\\nosupersub{}","plainCitation":"15","noteIndex":0},"citationItems":[{"id":44,"uris":["http://zotero.org/users/14462068/items/NG3PWR68"],"itemData":{"id":44,"type":"article-journal","container-title":"Genome Biology","DOI":"10.1186/s13059-016-1086-x","ISSN":"1474-760X","issue":"1","journalAbbreviation":"Genome Biol","language":"en","page":"217","source":"DOI.org (Crossref)","title":"Tiny microbes, enormous impacts: what matters in gut microbiome studies?","title-short":"Tiny microbes, enormous impacts","volume":"17","author":[{"family":"Debelius","given":"Justine"},{"family":"Song","given":"Se Jin"},{"family":"Vazquez-Baeza","given":"Yoshiki"},{"family":"Xu","given":"Zhenjiang Zech"},{"family":"Gonzalez","given":"Antonio"},{"family":"Knight","given":"Rob"}],"issued":{"date-parts":[["2016",12]]},"citation-key":"debeliusTinyMicrobesEnormous2016"}}],"schema":"https://github.com/citation-style-language/schema/raw/master/csl-citation.json"} </w:instrText>
      </w:r>
      <w:r w:rsidR="00FD2E8D">
        <w:rPr>
          <w:rFonts w:ascii="Times New Roman" w:eastAsiaTheme="minorEastAsia" w:hAnsi="Times New Roman" w:cs="Times New Roman"/>
          <w:iCs/>
          <w:sz w:val="20"/>
          <w:szCs w:val="20"/>
        </w:rPr>
        <w:fldChar w:fldCharType="separate"/>
      </w:r>
      <w:r w:rsidR="00FD2E8D" w:rsidRPr="00FD2E8D">
        <w:rPr>
          <w:rFonts w:ascii="Times New Roman" w:hAnsi="Times New Roman" w:cs="Times New Roman"/>
          <w:kern w:val="0"/>
          <w:sz w:val="20"/>
          <w:vertAlign w:val="superscript"/>
        </w:rPr>
        <w:t>15</w:t>
      </w:r>
      <w:r w:rsidR="00FD2E8D">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 and cross-cohort comparisons under harmonized processing</w:t>
      </w:r>
      <w:r w:rsidR="00FD2E8D">
        <w:rPr>
          <w:rFonts w:ascii="Times New Roman" w:eastAsiaTheme="minorEastAsia" w:hAnsi="Times New Roman" w:cs="Times New Roman"/>
          <w:iCs/>
          <w:sz w:val="20"/>
          <w:szCs w:val="20"/>
        </w:rPr>
        <w:fldChar w:fldCharType="begin"/>
      </w:r>
      <w:r w:rsidR="00FD2E8D">
        <w:rPr>
          <w:rFonts w:ascii="Times New Roman" w:eastAsiaTheme="minorEastAsia" w:hAnsi="Times New Roman" w:cs="Times New Roman"/>
          <w:iCs/>
          <w:sz w:val="20"/>
          <w:szCs w:val="20"/>
        </w:rPr>
        <w:instrText xml:space="preserve"> ADDIN ZOTERO_ITEM CSL_CITATION {"citationID":"HuufDsg2","properties":{"formattedCitation":"\\super 14,18\\nosupersub{}","plainCitation":"14,18","noteIndex":0},"citationItems":[{"id":42,"uris":["http://zotero.org/users/14462068/items/MVJHUNQF"],"itemData":{"id":42,"type":"article-journal","abstract":"Background:\n              There has been increasing recognition of the importance of the gut microbiome in Parkinson’s disease (PD), but the influence of geographic location has received little attention. The present study characterized the gut microbiota and associated changes in host metabolic pathways in an Australian cohort of people with PD (PwP).\n            \n            \n              Methods:\n              The study involved recruitment and assessment of 87 PwP from multiple Movement Disorders Clinics in Australia and 47 healthy controls. Illumina sequencing of the V3 and V4 regions of the 16S rRNA gene was used to distinguish inter-cohort differences in gut microbiota; KEGG analysis was subsequently performed to predict functional changes in host metabolic pathways.\n            \n            \n              Results:\n              The current findings identified significant differences in relative abundance and diversity of microbial operational taxonomic units (OTUs), and specific bacterial taxa between PwP and control groups. Alpha diversity was significantly reduced in PwP when compared to controls. Differences were found in two phyla (Synergistetes and Proteobacteria; both increased in PwP), and five genera (C\n              olidextribacter, Intestinibacter, Kineothrix, Agathobaculum\n              , and\n              Roseburia\n              ; all decreased in PwP). Within the PD cohort, there was no association identified between microbial composition and gender, constipation or use of gastrointestinal medication. Furthermore, KEGG analysis identified 15 upregulated and 11 downregulated metabolic pathways which were predicted to be significantly altered in PwP.\n            \n            \n              Conclusion:\n              This study provides the first comprehensive characterization of the gut microbiome and predicted functional metabolic effects in a southern hemisphere PD population, further exploring the possible mechanisms whereby the gut microbiota may exert their influence on this disease, and providing evidence for the incorporation of such data in future individualized therapeutic strategies.","container-title":"Frontiers in Neuroscience","DOI":"10.3389/fnins.2021.756951","ISSN":"1662-453X","journalAbbreviation":"Front. Neurosci.","page":"756951","source":"DOI.org (Crossref)","title":"Changes in the Gut Microbiome and Predicted Functional Metabolic Effects in an Australian Parkinson’s Disease Cohort","volume":"15","author":[{"family":"Kenna","given":"Jade E."},{"family":"Chua","given":"Eng Guan"},{"family":"Bakeberg","given":"Megan"},{"family":"Tay","given":"Alfred"},{"family":"McGregor","given":"Sarah"},{"family":"Gorecki","given":"Anastazja"},{"family":"Horne","given":"Malcolm"},{"family":"Marshall","given":"Barry"},{"family":"Mastaglia","given":"Frank L."},{"family":"Anderton","given":"Ryan S."}],"issued":{"date-parts":[["2021",10,29]]},"citation-key":"kennaChangesGutMicrobiome2021"}},{"id":49,"uris":["http://zotero.org/users/14462068/items/WM3KSJYP"],"itemData":{"id":49,"type":"article-journal","abstract":"Abstract\n            \n              Background\n              Parkinson’s disease (PD) is one of the most common neurodegenerative diseases. There is accumulating evidence that link gut microbiota to symptomatology and pathophysiology of PD. The aim of this study was to describe the pattern of gut microbiota and its association with PD and identify the effect of environmental factors on gut microbiota. This case–control study included 46 patients diagnosed as Parkinson’s disease (PD) and 31 healthy volunteers age and sex matched. Detailed history including age of onset, duration of disease, environmental risk factors, diet data, treatment, Unified Parkinson’s Disease Rating Scale (UPDRS), and gastrointestinal tract (GIT) domain of Non‐Motor Symptoms Scale (NMSS) were assessed. After extraction of bacterial DNA from the fecal samples, bacterial abundance was quantified by qPCR using 16S rRNA group-specific primers.\n            \n            \n              Results\n              \n                Significant high abundance of Clostridium cluster IV, Akkermansia, Bifidobacterium, and lactic acid bacteria were found in the PD group compared with the control group (\n                P\n                 &lt; 0.001, 0.04, 0.02 and &lt; 0.001, respectively), while Firmicutes were significantly less abundant in the PD group (\n                P\n                 &lt; 0.001) compared with the control group. The naive PD patients had significant abundance of Bifidobacterium, and lactic acid compared with control group. Interestingly, Akkermansia was more abundant in treated than untreated patients. There were significant associations between pesticide exposure and Bifidobacterium (\n                P\n                 = 0.002), while no significant correlations between different gut microbiota and demographic, environment data, different rating scores or dominant type of PD. There was a significant negative correlation between the Bifidobacterium with the duration of illness (\n                P\n                 = 0.012).\n              \n            \n            \n              Conclusion\n              The present study highlighted a significant connection between PD and levels of certain types of gut microbiota, in support of a possible link between gut microbiota and a neurodegenerative cascade of PD.","container-title":"The Egyptian Journal of Neurology, Psychiatry and Neurosurgery","DOI":"10.1186/s41983-021-00407-z","ISSN":"1687-8329","issue":"1","journalAbbreviation":"Egypt J Neurol Psychiatry Neurosurg","language":"en","page":"153","source":"DOI.org (Crossref)","title":"Gut microbiota in Parkinson’s disease patients: hospital-based study","title-short":"Gut microbiota in Parkinson’s disease patients","volume":"57","author":[{"family":"Khedr","given":"Eman M."},{"family":"Ali","given":"Anwar M."},{"family":"Deaf","given":"Enas"},{"family":"Hassan","given":"Hebatallah M."},{"family":"Alaa","given":"Ahmed"},{"family":"Gamea","given":"Ayman"}],"issued":{"date-parts":[["2021",11,4]]},"citation-key":"khedrGutMicrobiotaParkinsons2021"}}],"schema":"https://github.com/citation-style-language/schema/raw/master/csl-citation.json"} </w:instrText>
      </w:r>
      <w:r w:rsidR="00FD2E8D">
        <w:rPr>
          <w:rFonts w:ascii="Times New Roman" w:eastAsiaTheme="minorEastAsia" w:hAnsi="Times New Roman" w:cs="Times New Roman"/>
          <w:iCs/>
          <w:sz w:val="20"/>
          <w:szCs w:val="20"/>
        </w:rPr>
        <w:fldChar w:fldCharType="separate"/>
      </w:r>
      <w:r w:rsidR="00FD2E8D" w:rsidRPr="00FD2E8D">
        <w:rPr>
          <w:rFonts w:ascii="Times New Roman" w:hAnsi="Times New Roman" w:cs="Times New Roman"/>
          <w:kern w:val="0"/>
          <w:sz w:val="20"/>
          <w:vertAlign w:val="superscript"/>
        </w:rPr>
        <w:t>14,18</w:t>
      </w:r>
      <w:r w:rsidR="00FD2E8D">
        <w:rPr>
          <w:rFonts w:ascii="Times New Roman" w:eastAsiaTheme="minorEastAsia" w:hAnsi="Times New Roman" w:cs="Times New Roman"/>
          <w:iCs/>
          <w:sz w:val="20"/>
          <w:szCs w:val="20"/>
        </w:rPr>
        <w:fldChar w:fldCharType="end"/>
      </w:r>
      <w:r w:rsidRPr="002E582C">
        <w:rPr>
          <w:rFonts w:ascii="Times New Roman" w:eastAsiaTheme="minorEastAsia" w:hAnsi="Times New Roman" w:cs="Times New Roman"/>
          <w:iCs/>
          <w:sz w:val="20"/>
          <w:szCs w:val="20"/>
        </w:rPr>
        <w:t>.</w:t>
      </w:r>
    </w:p>
    <w:p w14:paraId="2795422D" w14:textId="77777777" w:rsidR="007D164B" w:rsidRDefault="002E582C" w:rsidP="007D164B">
      <w:pPr>
        <w:rPr>
          <w:rFonts w:ascii="Times New Roman" w:eastAsiaTheme="minorEastAsia" w:hAnsi="Times New Roman" w:cs="Times New Roman"/>
          <w:iCs/>
          <w:sz w:val="20"/>
          <w:szCs w:val="20"/>
        </w:rPr>
      </w:pPr>
      <w:r w:rsidRPr="002E582C">
        <w:rPr>
          <w:rFonts w:ascii="Times New Roman" w:eastAsiaTheme="minorEastAsia" w:hAnsi="Times New Roman" w:cs="Times New Roman"/>
          <w:iCs/>
          <w:sz w:val="20"/>
          <w:szCs w:val="20"/>
        </w:rPr>
        <w:t xml:space="preserve">In </w:t>
      </w:r>
      <w:r>
        <w:rPr>
          <w:rFonts w:ascii="Times New Roman" w:eastAsiaTheme="minorEastAsia" w:hAnsi="Times New Roman" w:cs="Times New Roman"/>
          <w:iCs/>
          <w:sz w:val="20"/>
          <w:szCs w:val="20"/>
        </w:rPr>
        <w:t>conclusion</w:t>
      </w:r>
      <w:r w:rsidRPr="002E582C">
        <w:rPr>
          <w:rFonts w:ascii="Times New Roman" w:eastAsiaTheme="minorEastAsia" w:hAnsi="Times New Roman" w:cs="Times New Roman"/>
          <w:iCs/>
          <w:sz w:val="20"/>
          <w:szCs w:val="20"/>
        </w:rPr>
        <w:t xml:space="preserve">, a PD-only framework reveals that constipation is associated with subtle but statistically credible shifts in community composition, pronounced remodeling of microbial lipid/cofactor and central-carbon pathways, and a </w:t>
      </w:r>
      <w:r w:rsidRPr="002E582C">
        <w:rPr>
          <w:rFonts w:ascii="Times New Roman" w:eastAsiaTheme="minorEastAsia" w:hAnsi="Times New Roman" w:cs="Times New Roman"/>
          <w:iCs/>
          <w:sz w:val="20"/>
          <w:szCs w:val="20"/>
        </w:rPr>
        <w:lastRenderedPageBreak/>
        <w:t>modest redistribution of enterotypes. These data refine the microbiome</w:t>
      </w:r>
      <w:r>
        <w:rPr>
          <w:rFonts w:ascii="Times New Roman" w:eastAsiaTheme="minorEastAsia" w:hAnsi="Times New Roman" w:cs="Times New Roman"/>
          <w:iCs/>
          <w:sz w:val="20"/>
          <w:szCs w:val="20"/>
        </w:rPr>
        <w:t>-</w:t>
      </w:r>
      <w:r w:rsidRPr="002E582C">
        <w:rPr>
          <w:rFonts w:ascii="Times New Roman" w:eastAsiaTheme="minorEastAsia" w:hAnsi="Times New Roman" w:cs="Times New Roman"/>
          <w:iCs/>
          <w:sz w:val="20"/>
          <w:szCs w:val="20"/>
        </w:rPr>
        <w:t>constipation link in PD from a species-list narrative toward a pathway-centric view and motivate next steps: longitudinal PD cohorts to test temporal ordering of pathway signatures, integrated metagenome</w:t>
      </w:r>
      <w:r>
        <w:rPr>
          <w:rFonts w:ascii="Times New Roman" w:eastAsiaTheme="minorEastAsia" w:hAnsi="Times New Roman" w:cs="Times New Roman"/>
          <w:iCs/>
          <w:sz w:val="20"/>
          <w:szCs w:val="20"/>
        </w:rPr>
        <w:t>-</w:t>
      </w:r>
      <w:r w:rsidRPr="002E582C">
        <w:rPr>
          <w:rFonts w:ascii="Times New Roman" w:eastAsiaTheme="minorEastAsia" w:hAnsi="Times New Roman" w:cs="Times New Roman"/>
          <w:iCs/>
          <w:sz w:val="20"/>
          <w:szCs w:val="20"/>
        </w:rPr>
        <w:t>metabolome studies to validate biochemical outputs, and dietary or probiotic interventions that target reproducible functional modules rather than wholesale community types.</w:t>
      </w:r>
    </w:p>
    <w:p w14:paraId="58E1A455" w14:textId="77777777" w:rsidR="007D164B" w:rsidRDefault="007D164B" w:rsidP="007D164B">
      <w:pPr>
        <w:rPr>
          <w:rFonts w:ascii="Times New Roman" w:eastAsiaTheme="minorEastAsia" w:hAnsi="Times New Roman" w:cs="Times New Roman"/>
          <w:iCs/>
          <w:sz w:val="20"/>
          <w:szCs w:val="20"/>
        </w:rPr>
      </w:pPr>
    </w:p>
    <w:p w14:paraId="63C192DF" w14:textId="24187232" w:rsidR="007D164B" w:rsidRDefault="007D164B" w:rsidP="007D164B">
      <w:pPr>
        <w:rPr>
          <w:rFonts w:ascii="Times New Roman" w:eastAsiaTheme="minorEastAsia" w:hAnsi="Times New Roman" w:cs="Times New Roman"/>
          <w:b/>
          <w:bCs/>
          <w:iCs/>
        </w:rPr>
      </w:pPr>
      <w:r w:rsidRPr="007D164B">
        <w:rPr>
          <w:rFonts w:ascii="Times New Roman" w:eastAsiaTheme="minorEastAsia" w:hAnsi="Times New Roman" w:cs="Times New Roman"/>
          <w:b/>
          <w:bCs/>
          <w:iCs/>
        </w:rPr>
        <w:t>Data availability</w:t>
      </w:r>
    </w:p>
    <w:p w14:paraId="6C0341C9" w14:textId="6BCEB1ED" w:rsidR="000F3B57" w:rsidRDefault="000F3B57" w:rsidP="000F3B57">
      <w:pPr>
        <w:rPr>
          <w:rFonts w:ascii="Times New Roman" w:eastAsiaTheme="minorEastAsia" w:hAnsi="Times New Roman" w:cs="Times New Roman"/>
          <w:iCs/>
          <w:sz w:val="20"/>
          <w:szCs w:val="20"/>
        </w:rPr>
      </w:pPr>
      <w:r w:rsidRPr="000F3B57">
        <w:rPr>
          <w:rFonts w:ascii="Times New Roman" w:eastAsiaTheme="minorEastAsia" w:hAnsi="Times New Roman" w:cs="Times New Roman"/>
          <w:iCs/>
          <w:sz w:val="20"/>
          <w:szCs w:val="20"/>
        </w:rPr>
        <w:t>The raw shotgun metagenomic reads used in this study are publicly available in the NCBI SRA under BioProject ID PRJNA834801 (</w:t>
      </w:r>
      <w:hyperlink r:id="rId15" w:tgtFrame="_blank" w:history="1">
        <w:r w:rsidRPr="000F3B57">
          <w:rPr>
            <w:rStyle w:val="Hyperlink"/>
            <w:rFonts w:ascii="Times New Roman" w:eastAsiaTheme="minorEastAsia" w:hAnsi="Times New Roman" w:cs="Times New Roman"/>
            <w:iCs/>
            <w:sz w:val="20"/>
            <w:szCs w:val="20"/>
          </w:rPr>
          <w:t>https://www.ncbi.nlm.nih.gov/bioproject/834801</w:t>
        </w:r>
      </w:hyperlink>
      <w:r w:rsidRPr="000F3B57">
        <w:rPr>
          <w:rFonts w:ascii="Times New Roman" w:eastAsiaTheme="minorEastAsia" w:hAnsi="Times New Roman" w:cs="Times New Roman"/>
          <w:iCs/>
          <w:sz w:val="20"/>
          <w:szCs w:val="20"/>
        </w:rPr>
        <w:t>). We did not process raw reads. Instead, we used the post-</w:t>
      </w:r>
      <w:r w:rsidR="001D4467">
        <w:rPr>
          <w:rFonts w:ascii="Times New Roman" w:eastAsiaTheme="minorEastAsia" w:hAnsi="Times New Roman" w:cs="Times New Roman"/>
          <w:iCs/>
          <w:sz w:val="20"/>
          <w:szCs w:val="20"/>
        </w:rPr>
        <w:t>quality control (</w:t>
      </w:r>
      <w:r w:rsidRPr="000F3B57">
        <w:rPr>
          <w:rFonts w:ascii="Times New Roman" w:eastAsiaTheme="minorEastAsia" w:hAnsi="Times New Roman" w:cs="Times New Roman"/>
          <w:iCs/>
          <w:sz w:val="20"/>
          <w:szCs w:val="20"/>
        </w:rPr>
        <w:t>QC</w:t>
      </w:r>
      <w:r w:rsidR="001D4467">
        <w:rPr>
          <w:rFonts w:ascii="Times New Roman" w:eastAsiaTheme="minorEastAsia" w:hAnsi="Times New Roman" w:cs="Times New Roman"/>
          <w:iCs/>
          <w:sz w:val="20"/>
          <w:szCs w:val="20"/>
        </w:rPr>
        <w:t>),</w:t>
      </w:r>
      <w:r w:rsidRPr="000F3B57">
        <w:rPr>
          <w:rFonts w:ascii="Times New Roman" w:eastAsiaTheme="minorEastAsia" w:hAnsi="Times New Roman" w:cs="Times New Roman"/>
          <w:iCs/>
          <w:sz w:val="20"/>
          <w:szCs w:val="20"/>
        </w:rPr>
        <w:t xml:space="preserve"> post-profiling derivative tables released by Wallen et al.</w:t>
      </w:r>
      <w:r w:rsidR="003C5525">
        <w:rPr>
          <w:rFonts w:ascii="Times New Roman" w:eastAsiaTheme="minorEastAsia" w:hAnsi="Times New Roman" w:cs="Times New Roman"/>
          <w:iCs/>
          <w:sz w:val="20"/>
          <w:szCs w:val="20"/>
        </w:rPr>
        <w:fldChar w:fldCharType="begin"/>
      </w:r>
      <w:r w:rsidR="003C5525">
        <w:rPr>
          <w:rFonts w:ascii="Times New Roman" w:eastAsiaTheme="minorEastAsia" w:hAnsi="Times New Roman" w:cs="Times New Roman"/>
          <w:iCs/>
          <w:sz w:val="20"/>
          <w:szCs w:val="20"/>
        </w:rPr>
        <w:instrText xml:space="preserve"> ADDIN ZOTERO_ITEM CSL_CITATION {"citationID":"GOFdwzeb","properties":{"formattedCitation":"\\super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sidR="003C5525">
        <w:rPr>
          <w:rFonts w:ascii="Times New Roman" w:eastAsiaTheme="minorEastAsia" w:hAnsi="Times New Roman" w:cs="Times New Roman"/>
          <w:iCs/>
          <w:sz w:val="20"/>
          <w:szCs w:val="20"/>
        </w:rPr>
        <w:fldChar w:fldCharType="separate"/>
      </w:r>
      <w:r w:rsidR="003C5525" w:rsidRPr="003C5525">
        <w:rPr>
          <w:rFonts w:ascii="Times New Roman" w:hAnsi="Times New Roman" w:cs="Times New Roman"/>
          <w:kern w:val="0"/>
          <w:sz w:val="20"/>
          <w:vertAlign w:val="superscript"/>
        </w:rPr>
        <w:t>12</w:t>
      </w:r>
      <w:r w:rsidR="003C5525">
        <w:rPr>
          <w:rFonts w:ascii="Times New Roman" w:eastAsiaTheme="minorEastAsia" w:hAnsi="Times New Roman" w:cs="Times New Roman"/>
          <w:iCs/>
          <w:sz w:val="20"/>
          <w:szCs w:val="20"/>
        </w:rPr>
        <w:fldChar w:fldCharType="end"/>
      </w:r>
      <w:r w:rsidRPr="000F3B57">
        <w:rPr>
          <w:rFonts w:ascii="Times New Roman" w:eastAsiaTheme="minorEastAsia" w:hAnsi="Times New Roman" w:cs="Times New Roman"/>
          <w:iCs/>
          <w:sz w:val="20"/>
          <w:szCs w:val="20"/>
        </w:rPr>
        <w:t xml:space="preserve">, available at Zenodo (record 7246185; </w:t>
      </w:r>
      <w:hyperlink r:id="rId16" w:tgtFrame="_blank" w:history="1">
        <w:r w:rsidRPr="000F3B57">
          <w:rPr>
            <w:rStyle w:val="Hyperlink"/>
            <w:rFonts w:ascii="Times New Roman" w:eastAsiaTheme="minorEastAsia" w:hAnsi="Times New Roman" w:cs="Times New Roman"/>
            <w:iCs/>
            <w:sz w:val="20"/>
            <w:szCs w:val="20"/>
          </w:rPr>
          <w:t>https://zenodo.org/records/7246185</w:t>
        </w:r>
      </w:hyperlink>
      <w:r w:rsidRPr="000F3B57">
        <w:rPr>
          <w:rFonts w:ascii="Times New Roman" w:eastAsiaTheme="minorEastAsia" w:hAnsi="Times New Roman" w:cs="Times New Roman"/>
          <w:iCs/>
          <w:sz w:val="20"/>
          <w:szCs w:val="20"/>
        </w:rPr>
        <w:t>). From that release, we used the species-level relative-abundance tables (MetaPhlAn-style) and HUMAnN pathway count tables as the analysis inputs described in Methods.</w:t>
      </w:r>
    </w:p>
    <w:p w14:paraId="7D486AD6" w14:textId="7100B658" w:rsidR="003C5525" w:rsidRDefault="000F3B57" w:rsidP="000F3B57">
      <w:pPr>
        <w:rPr>
          <w:rFonts w:ascii="Times New Roman" w:eastAsiaTheme="minorEastAsia" w:hAnsi="Times New Roman" w:cs="Times New Roman"/>
          <w:iCs/>
          <w:sz w:val="20"/>
          <w:szCs w:val="20"/>
        </w:rPr>
      </w:pPr>
      <w:r w:rsidRPr="000F3B57">
        <w:rPr>
          <w:rFonts w:ascii="Times New Roman" w:eastAsiaTheme="minorEastAsia" w:hAnsi="Times New Roman" w:cs="Times New Roman"/>
          <w:iCs/>
          <w:sz w:val="20"/>
          <w:szCs w:val="20"/>
        </w:rPr>
        <w:t>The analysis-ready inputs (copies of the relevant Wallen et al. derivatives used here)</w:t>
      </w:r>
      <w:r w:rsidR="003C5525">
        <w:rPr>
          <w:rFonts w:ascii="Times New Roman" w:eastAsiaTheme="minorEastAsia" w:hAnsi="Times New Roman" w:cs="Times New Roman"/>
          <w:iCs/>
          <w:sz w:val="20"/>
          <w:szCs w:val="20"/>
        </w:rPr>
        <w:fldChar w:fldCharType="begin"/>
      </w:r>
      <w:r w:rsidR="003C5525">
        <w:rPr>
          <w:rFonts w:ascii="Times New Roman" w:eastAsiaTheme="minorEastAsia" w:hAnsi="Times New Roman" w:cs="Times New Roman"/>
          <w:iCs/>
          <w:sz w:val="20"/>
          <w:szCs w:val="20"/>
        </w:rPr>
        <w:instrText xml:space="preserve"> ADDIN ZOTERO_ITEM CSL_CITATION {"citationID":"AOTMJGYA","properties":{"formattedCitation":"\\super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sidR="003C5525">
        <w:rPr>
          <w:rFonts w:ascii="Times New Roman" w:eastAsiaTheme="minorEastAsia" w:hAnsi="Times New Roman" w:cs="Times New Roman"/>
          <w:iCs/>
          <w:sz w:val="20"/>
          <w:szCs w:val="20"/>
        </w:rPr>
        <w:fldChar w:fldCharType="separate"/>
      </w:r>
      <w:r w:rsidR="003C5525" w:rsidRPr="003C5525">
        <w:rPr>
          <w:rFonts w:ascii="Times New Roman" w:hAnsi="Times New Roman" w:cs="Times New Roman"/>
          <w:kern w:val="0"/>
          <w:sz w:val="20"/>
          <w:vertAlign w:val="superscript"/>
        </w:rPr>
        <w:t>12</w:t>
      </w:r>
      <w:r w:rsidR="003C5525">
        <w:rPr>
          <w:rFonts w:ascii="Times New Roman" w:eastAsiaTheme="minorEastAsia" w:hAnsi="Times New Roman" w:cs="Times New Roman"/>
          <w:iCs/>
          <w:sz w:val="20"/>
          <w:szCs w:val="20"/>
        </w:rPr>
        <w:fldChar w:fldCharType="end"/>
      </w:r>
      <w:r w:rsidRPr="000F3B57">
        <w:rPr>
          <w:rFonts w:ascii="Times New Roman" w:eastAsiaTheme="minorEastAsia" w:hAnsi="Times New Roman" w:cs="Times New Roman"/>
          <w:iCs/>
          <w:sz w:val="20"/>
          <w:szCs w:val="20"/>
        </w:rPr>
        <w:t>, the derived outputs (CSV tables for α/β-diversity, differential taxa and pathways, PERMANOVA, enterotype assignments; figure-ready PNG/PDF), and the versioned R script pipeline and configuration files required to reproduce the results are available without restriction at [GitHub repository link to be inserted]. The repository includes an organized list of files (results/README_outputs.txt) and the exact software environment (results/tables/session_info.txt). Data from third-party sources is redistributed under the terms set by the original providers. The additional information supporting the findings of this study is provided within the paper and in Supplementary information; further materials are available from the corresponding author upon request.</w:t>
      </w:r>
    </w:p>
    <w:p w14:paraId="5FC9498F" w14:textId="77777777" w:rsidR="001D4467" w:rsidRDefault="001D4467" w:rsidP="000F3B57">
      <w:pPr>
        <w:rPr>
          <w:rFonts w:ascii="Times New Roman" w:eastAsiaTheme="minorEastAsia" w:hAnsi="Times New Roman" w:cs="Times New Roman"/>
          <w:iCs/>
          <w:sz w:val="20"/>
          <w:szCs w:val="20"/>
        </w:rPr>
      </w:pPr>
    </w:p>
    <w:p w14:paraId="5603BCF0" w14:textId="4D32ADE4" w:rsidR="001D4467" w:rsidRPr="001D4467" w:rsidRDefault="001D4467" w:rsidP="000F3B57">
      <w:pPr>
        <w:rPr>
          <w:rFonts w:ascii="Times New Roman" w:eastAsiaTheme="minorEastAsia" w:hAnsi="Times New Roman" w:cs="Times New Roman"/>
          <w:b/>
          <w:bCs/>
          <w:iCs/>
        </w:rPr>
      </w:pPr>
      <w:r w:rsidRPr="001D4467">
        <w:rPr>
          <w:rFonts w:ascii="Times New Roman" w:eastAsiaTheme="minorEastAsia" w:hAnsi="Times New Roman" w:cs="Times New Roman"/>
          <w:b/>
          <w:bCs/>
          <w:iCs/>
        </w:rPr>
        <w:t xml:space="preserve">Code </w:t>
      </w:r>
      <w:r w:rsidR="0036305B" w:rsidRPr="001D4467">
        <w:rPr>
          <w:rFonts w:ascii="Times New Roman" w:eastAsiaTheme="minorEastAsia" w:hAnsi="Times New Roman" w:cs="Times New Roman"/>
          <w:b/>
          <w:bCs/>
          <w:iCs/>
        </w:rPr>
        <w:t>Availability</w:t>
      </w:r>
    </w:p>
    <w:p w14:paraId="2307EDA5" w14:textId="6C72E1A9" w:rsidR="001D4467" w:rsidRDefault="001D4467" w:rsidP="001D4467">
      <w:pPr>
        <w:rPr>
          <w:rFonts w:ascii="Times New Roman" w:eastAsiaTheme="minorEastAsia" w:hAnsi="Times New Roman" w:cs="Times New Roman"/>
          <w:iCs/>
          <w:sz w:val="20"/>
          <w:szCs w:val="20"/>
        </w:rPr>
      </w:pPr>
      <w:r w:rsidRPr="001D4467">
        <w:rPr>
          <w:rFonts w:ascii="Times New Roman" w:eastAsiaTheme="minorEastAsia" w:hAnsi="Times New Roman" w:cs="Times New Roman"/>
          <w:iCs/>
          <w:sz w:val="20"/>
          <w:szCs w:val="20"/>
        </w:rPr>
        <w:t>The upstream processing code used by Wallen et al. for sequence QC</w:t>
      </w:r>
      <w:r w:rsidR="0036305B">
        <w:rPr>
          <w:rFonts w:ascii="Times New Roman" w:eastAsiaTheme="minorEastAsia" w:hAnsi="Times New Roman" w:cs="Times New Roman"/>
          <w:iCs/>
          <w:sz w:val="20"/>
          <w:szCs w:val="20"/>
        </w:rPr>
        <w:fldChar w:fldCharType="begin"/>
      </w:r>
      <w:r w:rsidR="0036305B">
        <w:rPr>
          <w:rFonts w:ascii="Times New Roman" w:eastAsiaTheme="minorEastAsia" w:hAnsi="Times New Roman" w:cs="Times New Roman"/>
          <w:iCs/>
          <w:sz w:val="20"/>
          <w:szCs w:val="20"/>
        </w:rPr>
        <w:instrText xml:space="preserve"> ADDIN ZOTERO_ITEM CSL_CITATION {"citationID":"o7tSk00Z","properties":{"formattedCitation":"\\super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sidR="0036305B">
        <w:rPr>
          <w:rFonts w:ascii="Times New Roman" w:eastAsiaTheme="minorEastAsia" w:hAnsi="Times New Roman" w:cs="Times New Roman"/>
          <w:iCs/>
          <w:sz w:val="20"/>
          <w:szCs w:val="20"/>
        </w:rPr>
        <w:fldChar w:fldCharType="separate"/>
      </w:r>
      <w:r w:rsidR="0036305B" w:rsidRPr="0036305B">
        <w:rPr>
          <w:rFonts w:ascii="Times New Roman" w:hAnsi="Times New Roman" w:cs="Times New Roman"/>
          <w:kern w:val="0"/>
          <w:sz w:val="20"/>
          <w:vertAlign w:val="superscript"/>
        </w:rPr>
        <w:t>12</w:t>
      </w:r>
      <w:r w:rsidR="0036305B">
        <w:rPr>
          <w:rFonts w:ascii="Times New Roman" w:eastAsiaTheme="minorEastAsia" w:hAnsi="Times New Roman" w:cs="Times New Roman"/>
          <w:iCs/>
          <w:sz w:val="20"/>
          <w:szCs w:val="20"/>
        </w:rPr>
        <w:fldChar w:fldCharType="end"/>
      </w:r>
      <w:r w:rsidRPr="001D4467">
        <w:rPr>
          <w:rFonts w:ascii="Times New Roman" w:eastAsiaTheme="minorEastAsia" w:hAnsi="Times New Roman" w:cs="Times New Roman"/>
          <w:iCs/>
          <w:sz w:val="20"/>
          <w:szCs w:val="20"/>
        </w:rPr>
        <w:t>, taxonomic profiling (MetaPhlAn), and functional profiling (HUMAnN) is publicly available at Zenodo, record 7246185</w:t>
      </w:r>
      <w:r>
        <w:rPr>
          <w:rFonts w:ascii="Times New Roman" w:eastAsiaTheme="minorEastAsia" w:hAnsi="Times New Roman" w:cs="Times New Roman"/>
          <w:iCs/>
          <w:sz w:val="20"/>
          <w:szCs w:val="20"/>
        </w:rPr>
        <w:t xml:space="preserve"> </w:t>
      </w:r>
      <w:r w:rsidRPr="001D4467">
        <w:rPr>
          <w:rFonts w:ascii="Times New Roman" w:eastAsiaTheme="minorEastAsia" w:hAnsi="Times New Roman" w:cs="Times New Roman"/>
          <w:iCs/>
          <w:sz w:val="20"/>
          <w:szCs w:val="20"/>
        </w:rPr>
        <w:t>(</w:t>
      </w:r>
      <w:hyperlink r:id="rId17" w:history="1">
        <w:r w:rsidRPr="00567352">
          <w:rPr>
            <w:rStyle w:val="Hyperlink"/>
            <w:rFonts w:ascii="Times New Roman" w:eastAsiaTheme="minorEastAsia" w:hAnsi="Times New Roman" w:cs="Times New Roman"/>
            <w:iCs/>
            <w:sz w:val="20"/>
            <w:szCs w:val="20"/>
          </w:rPr>
          <w:t>https://zenodo.org/records/7246185</w:t>
        </w:r>
      </w:hyperlink>
      <w:r w:rsidRPr="001D4467">
        <w:rPr>
          <w:rFonts w:ascii="Times New Roman" w:eastAsiaTheme="minorEastAsia" w:hAnsi="Times New Roman" w:cs="Times New Roman"/>
          <w:iCs/>
          <w:sz w:val="20"/>
          <w:szCs w:val="20"/>
        </w:rPr>
        <w:t>).</w:t>
      </w:r>
      <w:r>
        <w:rPr>
          <w:rFonts w:ascii="Times New Roman" w:eastAsiaTheme="minorEastAsia" w:hAnsi="Times New Roman" w:cs="Times New Roman"/>
          <w:iCs/>
          <w:sz w:val="20"/>
          <w:szCs w:val="20"/>
        </w:rPr>
        <w:t xml:space="preserve"> </w:t>
      </w:r>
      <w:r w:rsidRPr="001D4467">
        <w:rPr>
          <w:rFonts w:ascii="Times New Roman" w:eastAsiaTheme="minorEastAsia" w:hAnsi="Times New Roman" w:cs="Times New Roman"/>
          <w:iCs/>
          <w:sz w:val="20"/>
          <w:szCs w:val="20"/>
        </w:rPr>
        <w:t>The code used in this study</w:t>
      </w:r>
      <w:r>
        <w:rPr>
          <w:rFonts w:ascii="Times New Roman" w:eastAsiaTheme="minorEastAsia" w:hAnsi="Times New Roman" w:cs="Times New Roman"/>
          <w:iCs/>
          <w:sz w:val="20"/>
          <w:szCs w:val="20"/>
        </w:rPr>
        <w:t xml:space="preserve"> </w:t>
      </w:r>
      <w:r w:rsidRPr="001D4467">
        <w:rPr>
          <w:rFonts w:ascii="Times New Roman" w:eastAsiaTheme="minorEastAsia" w:hAnsi="Times New Roman" w:cs="Times New Roman"/>
          <w:iCs/>
          <w:sz w:val="20"/>
          <w:szCs w:val="20"/>
        </w:rPr>
        <w:t>is available at [GitHub repository link to be inserted]. The repository contains the top-level script (constipation_pd_paper_pipeline.R).</w:t>
      </w:r>
    </w:p>
    <w:p w14:paraId="653DEF4A" w14:textId="09603871" w:rsidR="00FA6ECE" w:rsidRDefault="00FA6ECE" w:rsidP="001D4467">
      <w:pPr>
        <w:rPr>
          <w:rFonts w:ascii="Times New Roman" w:eastAsiaTheme="minorEastAsia" w:hAnsi="Times New Roman" w:cs="Times New Roman"/>
          <w:iCs/>
          <w:sz w:val="20"/>
          <w:szCs w:val="20"/>
        </w:rPr>
      </w:pPr>
    </w:p>
    <w:p w14:paraId="09AC7505" w14:textId="3F9E1E2D" w:rsidR="00FA6ECE" w:rsidRPr="00FA6ECE" w:rsidRDefault="00FA6ECE" w:rsidP="001D4467">
      <w:pPr>
        <w:rPr>
          <w:rFonts w:ascii="Times New Roman" w:eastAsiaTheme="minorEastAsia" w:hAnsi="Times New Roman" w:cs="Times New Roman"/>
          <w:b/>
          <w:bCs/>
          <w:iCs/>
        </w:rPr>
      </w:pPr>
      <w:r w:rsidRPr="00FA6ECE">
        <w:rPr>
          <w:rFonts w:ascii="Times New Roman" w:eastAsiaTheme="minorEastAsia" w:hAnsi="Times New Roman" w:cs="Times New Roman"/>
          <w:b/>
          <w:bCs/>
          <w:iCs/>
        </w:rPr>
        <w:t>Acknowledgements</w:t>
      </w:r>
    </w:p>
    <w:p w14:paraId="0B411DD4" w14:textId="216AFA23" w:rsidR="0036305B" w:rsidRDefault="0036305B" w:rsidP="002E582C">
      <w:pPr>
        <w:rPr>
          <w:rFonts w:ascii="Times New Roman" w:eastAsiaTheme="minorEastAsia" w:hAnsi="Times New Roman" w:cs="Times New Roman"/>
          <w:iCs/>
          <w:sz w:val="20"/>
          <w:szCs w:val="20"/>
        </w:rPr>
      </w:pPr>
      <w:r w:rsidRPr="0036305B">
        <w:rPr>
          <w:rFonts w:ascii="Times New Roman" w:eastAsiaTheme="minorEastAsia" w:hAnsi="Times New Roman" w:cs="Times New Roman"/>
          <w:iCs/>
          <w:sz w:val="20"/>
          <w:szCs w:val="20"/>
        </w:rPr>
        <w:t>We gratefully acknowledge Wallen et al. for curating and openly releasing the post-QC taxonomic and functional derivative tables used in this study (Zenodo record 7246185)</w:t>
      </w:r>
      <w:r>
        <w:rPr>
          <w:rFonts w:ascii="Times New Roman" w:eastAsiaTheme="minorEastAsia" w:hAnsi="Times New Roman" w:cs="Times New Roman"/>
          <w:iCs/>
          <w:sz w:val="20"/>
          <w:szCs w:val="20"/>
        </w:rPr>
        <w:fldChar w:fldCharType="begin"/>
      </w:r>
      <w:r>
        <w:rPr>
          <w:rFonts w:ascii="Times New Roman" w:eastAsiaTheme="minorEastAsia" w:hAnsi="Times New Roman" w:cs="Times New Roman"/>
          <w:iCs/>
          <w:sz w:val="20"/>
          <w:szCs w:val="20"/>
        </w:rPr>
        <w:instrText xml:space="preserve"> ADDIN ZOTERO_ITEM CSL_CITATION {"citationID":"Rlq047JT","properties":{"formattedCitation":"\\super 12\\nosupersub{}","plainCitation":"12","noteIndex":0},"citationItems":[{"id":1,"uris":["http://zotero.org/users/14462068/items/5RSYAUNU"],"itemData":{"id":1,"type":"article-journal","abstract":"Parkinson’s disease (PD) may start in the gut and spread to the brain. To investigate the role of gut microbiome, we conducted a large-scale study, at high taxonomic resolution, using uniform standardized methods from start to end. We enrolled 490 PD and 234 control individuals, conducted deep shotgun sequencing of fecal DNA, followed by metagenome-wide association studies requiring significance by two methods (ANCOM-BC and MaAsLin2) to declare disease association, network analysis to identify polymicrobial clusters, and functional profiling. Here we show that over 30% of species, genes and pathways tested have altered abundances in PD, depicting a widespread dysbiosis. PD-associated species form polymicrobial clusters that grow or shrink together, and some compete. PD microbiome is disease permissive, evidenced by overabundance of pathogens and immunogenic components, dysregulated neuroactive signaling, preponderance of molecules that induce alpha-synuclein pathology, and over-production of toxicants; with the reduction in anti-inflammatory and neuroprotective factors limiting the capacity to recover. We validate, in human PD, findings that were observed in experimental models; reconcile and resolve human PD microbiome literature; and provide a broad foundation with a wealth of concrete testable hypotheses to discern the role of the gut microbiome in PD.","container-title":"Nature Communications","DOI":"10.1038/s41467-022-34667-x","ISSN":"2041-1723","issue":"1","journalAbbreviation":"Nat Commun","language":"en","license":"2022 The Author(s)","note":"publisher: Nature Publishing Group","page":"6958","source":"www.nature.com","title":"Metagenomics of Parkinson’s disease implicates the gut microbiome in multiple disease mechanisms","volume":"13","author":[{"family":"Wallen","given":"Zachary D."},{"family":"Demirkan","given":"Ayse"},{"family":"Twa","given":"Guy"},{"family":"Cohen","given":"Gwendolyn"},{"family":"Dean","given":"Marissa N."},{"family":"Standaert","given":"David G."},{"family":"Sampson","given":"Timothy R."},{"family":"Payami","given":"Haydeh"}],"issued":{"date-parts":[["2022",11,15]]},"citation-key":"wallenMetagenomicsParkinsonsDisease2022"}}],"schema":"https://github.com/citation-style-language/schema/raw/master/csl-citation.json"} </w:instrText>
      </w:r>
      <w:r>
        <w:rPr>
          <w:rFonts w:ascii="Times New Roman" w:eastAsiaTheme="minorEastAsia" w:hAnsi="Times New Roman" w:cs="Times New Roman"/>
          <w:iCs/>
          <w:sz w:val="20"/>
          <w:szCs w:val="20"/>
        </w:rPr>
        <w:fldChar w:fldCharType="separate"/>
      </w:r>
      <w:r w:rsidRPr="0036305B">
        <w:rPr>
          <w:rFonts w:ascii="Times New Roman" w:hAnsi="Times New Roman" w:cs="Times New Roman"/>
          <w:kern w:val="0"/>
          <w:sz w:val="20"/>
          <w:vertAlign w:val="superscript"/>
        </w:rPr>
        <w:t>12</w:t>
      </w:r>
      <w:r>
        <w:rPr>
          <w:rFonts w:ascii="Times New Roman" w:eastAsiaTheme="minorEastAsia" w:hAnsi="Times New Roman" w:cs="Times New Roman"/>
          <w:iCs/>
          <w:sz w:val="20"/>
          <w:szCs w:val="20"/>
        </w:rPr>
        <w:fldChar w:fldCharType="end"/>
      </w:r>
      <w:r w:rsidRPr="0036305B">
        <w:rPr>
          <w:rFonts w:ascii="Times New Roman" w:eastAsiaTheme="minorEastAsia" w:hAnsi="Times New Roman" w:cs="Times New Roman"/>
          <w:iCs/>
          <w:sz w:val="20"/>
          <w:szCs w:val="20"/>
        </w:rPr>
        <w:t>, derived from raw reads deposited in the NCBI SRA BioProject PRJNA834801. We also thank the developers and maintainers of the open-source tools that made this work possible, including MetaPhlAn, HUMAnN, phyloseq, vegan, limma, edgeR, mclust, cluster, and the broader R/tidyverse ecosystem. For research funding transparency: this research received no specific grant from any funding agency in the public, commercial, or not-for-profit sectors.</w:t>
      </w:r>
    </w:p>
    <w:p w14:paraId="59C48A13" w14:textId="77777777" w:rsidR="0036305B" w:rsidRDefault="0036305B" w:rsidP="002E582C">
      <w:pPr>
        <w:rPr>
          <w:rFonts w:ascii="Times New Roman" w:eastAsiaTheme="minorEastAsia" w:hAnsi="Times New Roman" w:cs="Times New Roman"/>
          <w:iCs/>
          <w:sz w:val="20"/>
          <w:szCs w:val="20"/>
        </w:rPr>
      </w:pPr>
    </w:p>
    <w:p w14:paraId="4EC356F9" w14:textId="0EB6687B" w:rsidR="0036305B" w:rsidRPr="0036305B" w:rsidRDefault="0036305B" w:rsidP="002E582C">
      <w:pPr>
        <w:rPr>
          <w:rFonts w:ascii="Times New Roman" w:eastAsiaTheme="minorEastAsia" w:hAnsi="Times New Roman" w:cs="Times New Roman"/>
          <w:b/>
          <w:bCs/>
          <w:iCs/>
        </w:rPr>
      </w:pPr>
      <w:r w:rsidRPr="0036305B">
        <w:rPr>
          <w:rFonts w:ascii="Times New Roman" w:eastAsiaTheme="minorEastAsia" w:hAnsi="Times New Roman" w:cs="Times New Roman"/>
          <w:b/>
          <w:bCs/>
          <w:iCs/>
        </w:rPr>
        <w:t>Author contributions</w:t>
      </w:r>
    </w:p>
    <w:p w14:paraId="65FD8697" w14:textId="2B2990C7" w:rsidR="0036305B" w:rsidRDefault="0036305B" w:rsidP="002E582C">
      <w:pPr>
        <w:rPr>
          <w:rFonts w:ascii="Times New Roman" w:eastAsiaTheme="minorEastAsia" w:hAnsi="Times New Roman" w:cs="Times New Roman"/>
          <w:iCs/>
          <w:sz w:val="20"/>
          <w:szCs w:val="20"/>
        </w:rPr>
      </w:pPr>
      <w:r w:rsidRPr="0036305B">
        <w:rPr>
          <w:rFonts w:ascii="Times New Roman" w:eastAsiaTheme="minorEastAsia" w:hAnsi="Times New Roman" w:cs="Times New Roman"/>
          <w:iCs/>
          <w:sz w:val="20"/>
          <w:szCs w:val="20"/>
        </w:rPr>
        <w:t>A.S. conceived and designed the study; accessed and curated publicly available processed datasets; implemented the analysis pipeline; performed statistical analyses; generated figures and tables; interpreted the results; drafted the manuscript; revised and approved the final version.</w:t>
      </w:r>
    </w:p>
    <w:p w14:paraId="11A0206A" w14:textId="77777777" w:rsidR="0036305B" w:rsidRDefault="0036305B" w:rsidP="002E582C">
      <w:pPr>
        <w:rPr>
          <w:rFonts w:ascii="Times New Roman" w:eastAsiaTheme="minorEastAsia" w:hAnsi="Times New Roman" w:cs="Times New Roman"/>
          <w:iCs/>
          <w:sz w:val="20"/>
          <w:szCs w:val="20"/>
        </w:rPr>
      </w:pPr>
    </w:p>
    <w:p w14:paraId="2179114E" w14:textId="7173C46D" w:rsidR="0036305B" w:rsidRDefault="0036305B" w:rsidP="002E582C">
      <w:pPr>
        <w:rPr>
          <w:rFonts w:ascii="Times New Roman" w:eastAsiaTheme="minorEastAsia" w:hAnsi="Times New Roman" w:cs="Times New Roman"/>
          <w:b/>
          <w:bCs/>
          <w:iCs/>
        </w:rPr>
      </w:pPr>
      <w:r w:rsidRPr="0036305B">
        <w:rPr>
          <w:rFonts w:ascii="Times New Roman" w:eastAsiaTheme="minorEastAsia" w:hAnsi="Times New Roman" w:cs="Times New Roman"/>
          <w:b/>
          <w:bCs/>
          <w:iCs/>
        </w:rPr>
        <w:lastRenderedPageBreak/>
        <w:t>Competing Interests</w:t>
      </w:r>
    </w:p>
    <w:p w14:paraId="579E8C3F" w14:textId="779573D6" w:rsidR="00EE149A" w:rsidRDefault="0036305B" w:rsidP="002E582C">
      <w:pPr>
        <w:rPr>
          <w:rFonts w:ascii="Times New Roman" w:eastAsiaTheme="minorEastAsia" w:hAnsi="Times New Roman" w:cs="Times New Roman"/>
          <w:iCs/>
          <w:sz w:val="20"/>
          <w:szCs w:val="20"/>
        </w:rPr>
      </w:pPr>
      <w:r w:rsidRPr="0036305B">
        <w:rPr>
          <w:rFonts w:ascii="Times New Roman" w:eastAsiaTheme="minorEastAsia" w:hAnsi="Times New Roman" w:cs="Times New Roman"/>
          <w:iCs/>
          <w:sz w:val="20"/>
          <w:szCs w:val="20"/>
        </w:rPr>
        <w:t>The author declares no competing interests.</w:t>
      </w:r>
    </w:p>
    <w:p w14:paraId="11E9B325" w14:textId="77777777" w:rsidR="00EE149A" w:rsidRDefault="00EE149A" w:rsidP="002E582C">
      <w:pPr>
        <w:rPr>
          <w:rFonts w:ascii="Times New Roman" w:eastAsiaTheme="minorEastAsia" w:hAnsi="Times New Roman" w:cs="Times New Roman"/>
          <w:iCs/>
          <w:sz w:val="20"/>
          <w:szCs w:val="20"/>
        </w:rPr>
      </w:pPr>
    </w:p>
    <w:p w14:paraId="324ECDEC" w14:textId="6DA10778" w:rsidR="0036305B" w:rsidRPr="0036305B" w:rsidRDefault="0036305B" w:rsidP="002E582C">
      <w:pPr>
        <w:rPr>
          <w:rFonts w:ascii="Times New Roman" w:eastAsiaTheme="minorEastAsia" w:hAnsi="Times New Roman" w:cs="Times New Roman"/>
          <w:b/>
          <w:bCs/>
          <w:iCs/>
        </w:rPr>
      </w:pPr>
      <w:r w:rsidRPr="0036305B">
        <w:rPr>
          <w:rFonts w:ascii="Times New Roman" w:eastAsiaTheme="minorEastAsia" w:hAnsi="Times New Roman" w:cs="Times New Roman"/>
          <w:b/>
          <w:bCs/>
          <w:iCs/>
        </w:rPr>
        <w:t>Supplementary information</w:t>
      </w:r>
    </w:p>
    <w:p w14:paraId="350A0549" w14:textId="36C2149F" w:rsidR="00B20FFD" w:rsidRDefault="00E67F90" w:rsidP="002E582C">
      <w:pPr>
        <w:rPr>
          <w:rFonts w:ascii="Times New Roman" w:eastAsiaTheme="minorEastAsia" w:hAnsi="Times New Roman" w:cs="Times New Roman"/>
          <w:iCs/>
          <w:sz w:val="20"/>
          <w:szCs w:val="20"/>
        </w:rPr>
      </w:pPr>
      <w:r w:rsidRPr="00E67F90">
        <w:rPr>
          <w:rFonts w:ascii="Times New Roman" w:eastAsiaTheme="minorEastAsia" w:hAnsi="Times New Roman" w:cs="Times New Roman"/>
          <w:iCs/>
          <w:sz w:val="20"/>
          <w:szCs w:val="20"/>
        </w:rPr>
        <w:t>The supplementary tables S1–S6 and all other additional readable files are available at [GitHub repository link to be inserted]. A brief description for each supplementary item and a complete manifest (Supplement_index.txt) are provided at the exact location. Source data for Figs. 1–5 and Tables 1–3 are included within these supplementary files.</w:t>
      </w:r>
    </w:p>
    <w:p w14:paraId="1D2AA888" w14:textId="77777777" w:rsidR="00E67F90" w:rsidRPr="00E67F90" w:rsidRDefault="00E67F90" w:rsidP="002E582C">
      <w:pPr>
        <w:rPr>
          <w:rFonts w:ascii="Times New Roman" w:eastAsiaTheme="minorEastAsia" w:hAnsi="Times New Roman" w:cs="Times New Roman"/>
          <w:iCs/>
          <w:sz w:val="20"/>
          <w:szCs w:val="20"/>
        </w:rPr>
      </w:pPr>
    </w:p>
    <w:p w14:paraId="22343214" w14:textId="605EEF2A" w:rsidR="00EE149A" w:rsidRDefault="00EE149A" w:rsidP="002E582C">
      <w:pPr>
        <w:rPr>
          <w:rFonts w:ascii="Times New Roman" w:eastAsiaTheme="minorEastAsia" w:hAnsi="Times New Roman" w:cs="Times New Roman"/>
          <w:b/>
          <w:bCs/>
          <w:iCs/>
        </w:rPr>
      </w:pPr>
      <w:r w:rsidRPr="00EE149A">
        <w:rPr>
          <w:rFonts w:ascii="Times New Roman" w:eastAsiaTheme="minorEastAsia" w:hAnsi="Times New Roman" w:cs="Times New Roman"/>
          <w:b/>
          <w:bCs/>
          <w:iCs/>
        </w:rPr>
        <w:t>References</w:t>
      </w:r>
    </w:p>
    <w:p w14:paraId="6C5ECFD2" w14:textId="77777777" w:rsidR="0036305B" w:rsidRPr="0036305B" w:rsidRDefault="00EE149A" w:rsidP="0036305B">
      <w:pPr>
        <w:pStyle w:val="Bibliography"/>
        <w:rPr>
          <w:rFonts w:ascii="Times New Roman" w:hAnsi="Times New Roman" w:cs="Times New Roman"/>
          <w:sz w:val="20"/>
        </w:rPr>
      </w:pPr>
      <w:r>
        <w:rPr>
          <w:rFonts w:eastAsiaTheme="minorEastAsia"/>
          <w:iCs/>
          <w:sz w:val="20"/>
          <w:szCs w:val="20"/>
        </w:rPr>
        <w:fldChar w:fldCharType="begin"/>
      </w:r>
      <w:r w:rsidR="004451C8">
        <w:rPr>
          <w:rFonts w:eastAsiaTheme="minorEastAsia"/>
          <w:iCs/>
          <w:sz w:val="20"/>
          <w:szCs w:val="20"/>
        </w:rPr>
        <w:instrText xml:space="preserve"> ADDIN ZOTERO_BIBL {"uncited":[],"omitted":[],"custom":[]} CSL_BIBLIOGRAPHY </w:instrText>
      </w:r>
      <w:r>
        <w:rPr>
          <w:rFonts w:eastAsiaTheme="minorEastAsia"/>
          <w:iCs/>
          <w:sz w:val="20"/>
          <w:szCs w:val="20"/>
        </w:rPr>
        <w:fldChar w:fldCharType="separate"/>
      </w:r>
      <w:r w:rsidR="0036305B" w:rsidRPr="0036305B">
        <w:rPr>
          <w:rFonts w:ascii="Times New Roman" w:hAnsi="Times New Roman" w:cs="Times New Roman"/>
          <w:sz w:val="20"/>
        </w:rPr>
        <w:t>1.</w:t>
      </w:r>
      <w:r w:rsidR="0036305B" w:rsidRPr="0036305B">
        <w:rPr>
          <w:rFonts w:ascii="Times New Roman" w:hAnsi="Times New Roman" w:cs="Times New Roman"/>
          <w:sz w:val="20"/>
        </w:rPr>
        <w:tab/>
        <w:t xml:space="preserve">Ou, Z. </w:t>
      </w:r>
      <w:r w:rsidR="0036305B" w:rsidRPr="0036305B">
        <w:rPr>
          <w:rFonts w:ascii="Times New Roman" w:hAnsi="Times New Roman" w:cs="Times New Roman"/>
          <w:i/>
          <w:iCs/>
          <w:sz w:val="20"/>
        </w:rPr>
        <w:t>et al.</w:t>
      </w:r>
      <w:r w:rsidR="0036305B" w:rsidRPr="0036305B">
        <w:rPr>
          <w:rFonts w:ascii="Times New Roman" w:hAnsi="Times New Roman" w:cs="Times New Roman"/>
          <w:sz w:val="20"/>
        </w:rPr>
        <w:t xml:space="preserve"> Global Trends in the Incidence, Prevalence, and Years Lived With Disability of Parkinson’s Disease in 204 Countries/Territories From 1990 to 2019. </w:t>
      </w:r>
      <w:r w:rsidR="0036305B" w:rsidRPr="0036305B">
        <w:rPr>
          <w:rFonts w:ascii="Times New Roman" w:hAnsi="Times New Roman" w:cs="Times New Roman"/>
          <w:i/>
          <w:iCs/>
          <w:sz w:val="20"/>
        </w:rPr>
        <w:t>Front. Public Health</w:t>
      </w:r>
      <w:r w:rsidR="0036305B" w:rsidRPr="0036305B">
        <w:rPr>
          <w:rFonts w:ascii="Times New Roman" w:hAnsi="Times New Roman" w:cs="Times New Roman"/>
          <w:sz w:val="20"/>
        </w:rPr>
        <w:t xml:space="preserve"> </w:t>
      </w:r>
      <w:r w:rsidR="0036305B" w:rsidRPr="0036305B">
        <w:rPr>
          <w:rFonts w:ascii="Times New Roman" w:hAnsi="Times New Roman" w:cs="Times New Roman"/>
          <w:b/>
          <w:bCs/>
          <w:sz w:val="20"/>
        </w:rPr>
        <w:t>9</w:t>
      </w:r>
      <w:r w:rsidR="0036305B" w:rsidRPr="0036305B">
        <w:rPr>
          <w:rFonts w:ascii="Times New Roman" w:hAnsi="Times New Roman" w:cs="Times New Roman"/>
          <w:sz w:val="20"/>
        </w:rPr>
        <w:t>, 776847 (2021).</w:t>
      </w:r>
    </w:p>
    <w:p w14:paraId="0C578D99"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2.</w:t>
      </w:r>
      <w:r w:rsidRPr="0036305B">
        <w:rPr>
          <w:rFonts w:ascii="Times New Roman" w:hAnsi="Times New Roman" w:cs="Times New Roman"/>
          <w:sz w:val="20"/>
        </w:rPr>
        <w:tab/>
        <w:t xml:space="preserve">Poewe, W. </w:t>
      </w:r>
      <w:r w:rsidRPr="0036305B">
        <w:rPr>
          <w:rFonts w:ascii="Times New Roman" w:hAnsi="Times New Roman" w:cs="Times New Roman"/>
          <w:i/>
          <w:iCs/>
          <w:sz w:val="20"/>
        </w:rPr>
        <w:t>et al.</w:t>
      </w:r>
      <w:r w:rsidRPr="0036305B">
        <w:rPr>
          <w:rFonts w:ascii="Times New Roman" w:hAnsi="Times New Roman" w:cs="Times New Roman"/>
          <w:sz w:val="20"/>
        </w:rPr>
        <w:t xml:space="preserve"> Parkinson disease. </w:t>
      </w:r>
      <w:r w:rsidRPr="0036305B">
        <w:rPr>
          <w:rFonts w:ascii="Times New Roman" w:hAnsi="Times New Roman" w:cs="Times New Roman"/>
          <w:i/>
          <w:iCs/>
          <w:sz w:val="20"/>
        </w:rPr>
        <w:t>Nat. Rev. Dis. Primer</w:t>
      </w:r>
      <w:r w:rsidRPr="0036305B">
        <w:rPr>
          <w:rFonts w:ascii="Times New Roman" w:hAnsi="Times New Roman" w:cs="Times New Roman"/>
          <w:sz w:val="20"/>
        </w:rPr>
        <w:t xml:space="preserve"> </w:t>
      </w:r>
      <w:r w:rsidRPr="0036305B">
        <w:rPr>
          <w:rFonts w:ascii="Times New Roman" w:hAnsi="Times New Roman" w:cs="Times New Roman"/>
          <w:b/>
          <w:bCs/>
          <w:sz w:val="20"/>
        </w:rPr>
        <w:t>3</w:t>
      </w:r>
      <w:r w:rsidRPr="0036305B">
        <w:rPr>
          <w:rFonts w:ascii="Times New Roman" w:hAnsi="Times New Roman" w:cs="Times New Roman"/>
          <w:sz w:val="20"/>
        </w:rPr>
        <w:t>, 17013 (2017).</w:t>
      </w:r>
    </w:p>
    <w:p w14:paraId="15DFE60D"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3.</w:t>
      </w:r>
      <w:r w:rsidRPr="0036305B">
        <w:rPr>
          <w:rFonts w:ascii="Times New Roman" w:hAnsi="Times New Roman" w:cs="Times New Roman"/>
          <w:sz w:val="20"/>
        </w:rPr>
        <w:tab/>
        <w:t xml:space="preserve">Schapira, A. H. V., Chaudhuri, K. R. &amp; Jenner, P. Non-motor features of Parkinson disease. </w:t>
      </w:r>
      <w:r w:rsidRPr="0036305B">
        <w:rPr>
          <w:rFonts w:ascii="Times New Roman" w:hAnsi="Times New Roman" w:cs="Times New Roman"/>
          <w:i/>
          <w:iCs/>
          <w:sz w:val="20"/>
        </w:rPr>
        <w:t>Nat. Rev. Neurosci.</w:t>
      </w:r>
      <w:r w:rsidRPr="0036305B">
        <w:rPr>
          <w:rFonts w:ascii="Times New Roman" w:hAnsi="Times New Roman" w:cs="Times New Roman"/>
          <w:sz w:val="20"/>
        </w:rPr>
        <w:t xml:space="preserve"> </w:t>
      </w:r>
      <w:r w:rsidRPr="0036305B">
        <w:rPr>
          <w:rFonts w:ascii="Times New Roman" w:hAnsi="Times New Roman" w:cs="Times New Roman"/>
          <w:b/>
          <w:bCs/>
          <w:sz w:val="20"/>
        </w:rPr>
        <w:t>18</w:t>
      </w:r>
      <w:r w:rsidRPr="0036305B">
        <w:rPr>
          <w:rFonts w:ascii="Times New Roman" w:hAnsi="Times New Roman" w:cs="Times New Roman"/>
          <w:sz w:val="20"/>
        </w:rPr>
        <w:t>, 435–450 (2017).</w:t>
      </w:r>
    </w:p>
    <w:p w14:paraId="49892E6E"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4.</w:t>
      </w:r>
      <w:r w:rsidRPr="0036305B">
        <w:rPr>
          <w:rFonts w:ascii="Times New Roman" w:hAnsi="Times New Roman" w:cs="Times New Roman"/>
          <w:sz w:val="20"/>
        </w:rPr>
        <w:tab/>
        <w:t xml:space="preserve">Yu, Q.-J. </w:t>
      </w:r>
      <w:r w:rsidRPr="0036305B">
        <w:rPr>
          <w:rFonts w:ascii="Times New Roman" w:hAnsi="Times New Roman" w:cs="Times New Roman"/>
          <w:i/>
          <w:iCs/>
          <w:sz w:val="20"/>
        </w:rPr>
        <w:t>et al.</w:t>
      </w:r>
      <w:r w:rsidRPr="0036305B">
        <w:rPr>
          <w:rFonts w:ascii="Times New Roman" w:hAnsi="Times New Roman" w:cs="Times New Roman"/>
          <w:sz w:val="20"/>
        </w:rPr>
        <w:t xml:space="preserve"> Parkinson disease with constipation: clinical features and relevant factors. </w:t>
      </w:r>
      <w:r w:rsidRPr="0036305B">
        <w:rPr>
          <w:rFonts w:ascii="Times New Roman" w:hAnsi="Times New Roman" w:cs="Times New Roman"/>
          <w:i/>
          <w:iCs/>
          <w:sz w:val="20"/>
        </w:rPr>
        <w:t>Sci. Rep.</w:t>
      </w:r>
      <w:r w:rsidRPr="0036305B">
        <w:rPr>
          <w:rFonts w:ascii="Times New Roman" w:hAnsi="Times New Roman" w:cs="Times New Roman"/>
          <w:sz w:val="20"/>
        </w:rPr>
        <w:t xml:space="preserve"> </w:t>
      </w:r>
      <w:r w:rsidRPr="0036305B">
        <w:rPr>
          <w:rFonts w:ascii="Times New Roman" w:hAnsi="Times New Roman" w:cs="Times New Roman"/>
          <w:b/>
          <w:bCs/>
          <w:sz w:val="20"/>
        </w:rPr>
        <w:t>8</w:t>
      </w:r>
      <w:r w:rsidRPr="0036305B">
        <w:rPr>
          <w:rFonts w:ascii="Times New Roman" w:hAnsi="Times New Roman" w:cs="Times New Roman"/>
          <w:sz w:val="20"/>
        </w:rPr>
        <w:t>, 567 (2018).</w:t>
      </w:r>
    </w:p>
    <w:p w14:paraId="2EC70429"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5.</w:t>
      </w:r>
      <w:r w:rsidRPr="0036305B">
        <w:rPr>
          <w:rFonts w:ascii="Times New Roman" w:hAnsi="Times New Roman" w:cs="Times New Roman"/>
          <w:sz w:val="20"/>
        </w:rPr>
        <w:tab/>
        <w:t xml:space="preserve">Abbott, R. D. </w:t>
      </w:r>
      <w:r w:rsidRPr="0036305B">
        <w:rPr>
          <w:rFonts w:ascii="Times New Roman" w:hAnsi="Times New Roman" w:cs="Times New Roman"/>
          <w:i/>
          <w:iCs/>
          <w:sz w:val="20"/>
        </w:rPr>
        <w:t>et al.</w:t>
      </w:r>
      <w:r w:rsidRPr="0036305B">
        <w:rPr>
          <w:rFonts w:ascii="Times New Roman" w:hAnsi="Times New Roman" w:cs="Times New Roman"/>
          <w:sz w:val="20"/>
        </w:rPr>
        <w:t xml:space="preserve"> Frequency of bowel movements and the future risk of Parkinson’s disease. </w:t>
      </w:r>
      <w:r w:rsidRPr="0036305B">
        <w:rPr>
          <w:rFonts w:ascii="Times New Roman" w:hAnsi="Times New Roman" w:cs="Times New Roman"/>
          <w:i/>
          <w:iCs/>
          <w:sz w:val="20"/>
        </w:rPr>
        <w:t>Neurology</w:t>
      </w:r>
      <w:r w:rsidRPr="0036305B">
        <w:rPr>
          <w:rFonts w:ascii="Times New Roman" w:hAnsi="Times New Roman" w:cs="Times New Roman"/>
          <w:sz w:val="20"/>
        </w:rPr>
        <w:t xml:space="preserve"> </w:t>
      </w:r>
      <w:r w:rsidRPr="0036305B">
        <w:rPr>
          <w:rFonts w:ascii="Times New Roman" w:hAnsi="Times New Roman" w:cs="Times New Roman"/>
          <w:b/>
          <w:bCs/>
          <w:sz w:val="20"/>
        </w:rPr>
        <w:t>57</w:t>
      </w:r>
      <w:r w:rsidRPr="0036305B">
        <w:rPr>
          <w:rFonts w:ascii="Times New Roman" w:hAnsi="Times New Roman" w:cs="Times New Roman"/>
          <w:sz w:val="20"/>
        </w:rPr>
        <w:t>, 456–462 (2001).</w:t>
      </w:r>
    </w:p>
    <w:p w14:paraId="23F75656"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6.</w:t>
      </w:r>
      <w:r w:rsidRPr="0036305B">
        <w:rPr>
          <w:rFonts w:ascii="Times New Roman" w:hAnsi="Times New Roman" w:cs="Times New Roman"/>
          <w:sz w:val="20"/>
        </w:rPr>
        <w:tab/>
        <w:t xml:space="preserve">Braak, H. </w:t>
      </w:r>
      <w:r w:rsidRPr="0036305B">
        <w:rPr>
          <w:rFonts w:ascii="Times New Roman" w:hAnsi="Times New Roman" w:cs="Times New Roman"/>
          <w:i/>
          <w:iCs/>
          <w:sz w:val="20"/>
        </w:rPr>
        <w:t>et al.</w:t>
      </w:r>
      <w:r w:rsidRPr="0036305B">
        <w:rPr>
          <w:rFonts w:ascii="Times New Roman" w:hAnsi="Times New Roman" w:cs="Times New Roman"/>
          <w:sz w:val="20"/>
        </w:rPr>
        <w:t xml:space="preserve"> Staging of brain pathology related to sporadic Parkinson’s disease. </w:t>
      </w:r>
      <w:r w:rsidRPr="0036305B">
        <w:rPr>
          <w:rFonts w:ascii="Times New Roman" w:hAnsi="Times New Roman" w:cs="Times New Roman"/>
          <w:i/>
          <w:iCs/>
          <w:sz w:val="20"/>
        </w:rPr>
        <w:t>Neurobiol. Aging</w:t>
      </w:r>
      <w:r w:rsidRPr="0036305B">
        <w:rPr>
          <w:rFonts w:ascii="Times New Roman" w:hAnsi="Times New Roman" w:cs="Times New Roman"/>
          <w:sz w:val="20"/>
        </w:rPr>
        <w:t xml:space="preserve"> </w:t>
      </w:r>
      <w:r w:rsidRPr="0036305B">
        <w:rPr>
          <w:rFonts w:ascii="Times New Roman" w:hAnsi="Times New Roman" w:cs="Times New Roman"/>
          <w:b/>
          <w:bCs/>
          <w:sz w:val="20"/>
        </w:rPr>
        <w:t>24</w:t>
      </w:r>
      <w:r w:rsidRPr="0036305B">
        <w:rPr>
          <w:rFonts w:ascii="Times New Roman" w:hAnsi="Times New Roman" w:cs="Times New Roman"/>
          <w:sz w:val="20"/>
        </w:rPr>
        <w:t>, 197–211 (2003).</w:t>
      </w:r>
    </w:p>
    <w:p w14:paraId="62B7F8FB"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7.</w:t>
      </w:r>
      <w:r w:rsidRPr="0036305B">
        <w:rPr>
          <w:rFonts w:ascii="Times New Roman" w:hAnsi="Times New Roman" w:cs="Times New Roman"/>
          <w:sz w:val="20"/>
        </w:rPr>
        <w:tab/>
        <w:t xml:space="preserve">Shannon, K. M. </w:t>
      </w:r>
      <w:r w:rsidRPr="0036305B">
        <w:rPr>
          <w:rFonts w:ascii="Times New Roman" w:hAnsi="Times New Roman" w:cs="Times New Roman"/>
          <w:i/>
          <w:iCs/>
          <w:sz w:val="20"/>
        </w:rPr>
        <w:t>et al.</w:t>
      </w:r>
      <w:r w:rsidRPr="0036305B">
        <w:rPr>
          <w:rFonts w:ascii="Times New Roman" w:hAnsi="Times New Roman" w:cs="Times New Roman"/>
          <w:sz w:val="20"/>
        </w:rPr>
        <w:t xml:space="preserve"> Alpha‐synuclein in colonic submucosa in early untreated Parkinson’s disease. </w:t>
      </w:r>
      <w:r w:rsidRPr="0036305B">
        <w:rPr>
          <w:rFonts w:ascii="Times New Roman" w:hAnsi="Times New Roman" w:cs="Times New Roman"/>
          <w:i/>
          <w:iCs/>
          <w:sz w:val="20"/>
        </w:rPr>
        <w:t>Mov. Disord.</w:t>
      </w:r>
      <w:r w:rsidRPr="0036305B">
        <w:rPr>
          <w:rFonts w:ascii="Times New Roman" w:hAnsi="Times New Roman" w:cs="Times New Roman"/>
          <w:sz w:val="20"/>
        </w:rPr>
        <w:t xml:space="preserve"> </w:t>
      </w:r>
      <w:r w:rsidRPr="0036305B">
        <w:rPr>
          <w:rFonts w:ascii="Times New Roman" w:hAnsi="Times New Roman" w:cs="Times New Roman"/>
          <w:b/>
          <w:bCs/>
          <w:sz w:val="20"/>
        </w:rPr>
        <w:t>27</w:t>
      </w:r>
      <w:r w:rsidRPr="0036305B">
        <w:rPr>
          <w:rFonts w:ascii="Times New Roman" w:hAnsi="Times New Roman" w:cs="Times New Roman"/>
          <w:sz w:val="20"/>
        </w:rPr>
        <w:t>, 709–715 (2012).</w:t>
      </w:r>
    </w:p>
    <w:p w14:paraId="46D7A9EC"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8.</w:t>
      </w:r>
      <w:r w:rsidRPr="0036305B">
        <w:rPr>
          <w:rFonts w:ascii="Times New Roman" w:hAnsi="Times New Roman" w:cs="Times New Roman"/>
          <w:sz w:val="20"/>
        </w:rPr>
        <w:tab/>
        <w:t xml:space="preserve">Sampson, T. R. </w:t>
      </w:r>
      <w:r w:rsidRPr="0036305B">
        <w:rPr>
          <w:rFonts w:ascii="Times New Roman" w:hAnsi="Times New Roman" w:cs="Times New Roman"/>
          <w:i/>
          <w:iCs/>
          <w:sz w:val="20"/>
        </w:rPr>
        <w:t>et al.</w:t>
      </w:r>
      <w:r w:rsidRPr="0036305B">
        <w:rPr>
          <w:rFonts w:ascii="Times New Roman" w:hAnsi="Times New Roman" w:cs="Times New Roman"/>
          <w:sz w:val="20"/>
        </w:rPr>
        <w:t xml:space="preserve"> Gut Microbiota Regulate Motor Deficits and Neuroinflammation in a Model of Parkinson’s Disease. </w:t>
      </w:r>
      <w:r w:rsidRPr="0036305B">
        <w:rPr>
          <w:rFonts w:ascii="Times New Roman" w:hAnsi="Times New Roman" w:cs="Times New Roman"/>
          <w:i/>
          <w:iCs/>
          <w:sz w:val="20"/>
        </w:rPr>
        <w:t>Cell</w:t>
      </w:r>
      <w:r w:rsidRPr="0036305B">
        <w:rPr>
          <w:rFonts w:ascii="Times New Roman" w:hAnsi="Times New Roman" w:cs="Times New Roman"/>
          <w:sz w:val="20"/>
        </w:rPr>
        <w:t xml:space="preserve"> </w:t>
      </w:r>
      <w:r w:rsidRPr="0036305B">
        <w:rPr>
          <w:rFonts w:ascii="Times New Roman" w:hAnsi="Times New Roman" w:cs="Times New Roman"/>
          <w:b/>
          <w:bCs/>
          <w:sz w:val="20"/>
        </w:rPr>
        <w:t>167</w:t>
      </w:r>
      <w:r w:rsidRPr="0036305B">
        <w:rPr>
          <w:rFonts w:ascii="Times New Roman" w:hAnsi="Times New Roman" w:cs="Times New Roman"/>
          <w:sz w:val="20"/>
        </w:rPr>
        <w:t>, 1469-1480.e12 (2016).</w:t>
      </w:r>
    </w:p>
    <w:p w14:paraId="5A9E9C6C"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9.</w:t>
      </w:r>
      <w:r w:rsidRPr="0036305B">
        <w:rPr>
          <w:rFonts w:ascii="Times New Roman" w:hAnsi="Times New Roman" w:cs="Times New Roman"/>
          <w:sz w:val="20"/>
        </w:rPr>
        <w:tab/>
        <w:t xml:space="preserve">Romano, S. </w:t>
      </w:r>
      <w:r w:rsidRPr="0036305B">
        <w:rPr>
          <w:rFonts w:ascii="Times New Roman" w:hAnsi="Times New Roman" w:cs="Times New Roman"/>
          <w:i/>
          <w:iCs/>
          <w:sz w:val="20"/>
        </w:rPr>
        <w:t>et al.</w:t>
      </w:r>
      <w:r w:rsidRPr="0036305B">
        <w:rPr>
          <w:rFonts w:ascii="Times New Roman" w:hAnsi="Times New Roman" w:cs="Times New Roman"/>
          <w:sz w:val="20"/>
        </w:rPr>
        <w:t xml:space="preserve"> Meta-analysis of the Parkinson’s disease gut microbiome suggests alterations linked to intestinal inflammation. </w:t>
      </w:r>
      <w:r w:rsidRPr="0036305B">
        <w:rPr>
          <w:rFonts w:ascii="Times New Roman" w:hAnsi="Times New Roman" w:cs="Times New Roman"/>
          <w:i/>
          <w:iCs/>
          <w:sz w:val="20"/>
        </w:rPr>
        <w:t>Npj Park. Dis.</w:t>
      </w:r>
      <w:r w:rsidRPr="0036305B">
        <w:rPr>
          <w:rFonts w:ascii="Times New Roman" w:hAnsi="Times New Roman" w:cs="Times New Roman"/>
          <w:sz w:val="20"/>
        </w:rPr>
        <w:t xml:space="preserve"> </w:t>
      </w:r>
      <w:r w:rsidRPr="0036305B">
        <w:rPr>
          <w:rFonts w:ascii="Times New Roman" w:hAnsi="Times New Roman" w:cs="Times New Roman"/>
          <w:b/>
          <w:bCs/>
          <w:sz w:val="20"/>
        </w:rPr>
        <w:t>7</w:t>
      </w:r>
      <w:r w:rsidRPr="0036305B">
        <w:rPr>
          <w:rFonts w:ascii="Times New Roman" w:hAnsi="Times New Roman" w:cs="Times New Roman"/>
          <w:sz w:val="20"/>
        </w:rPr>
        <w:t>, 27 (2021).</w:t>
      </w:r>
    </w:p>
    <w:p w14:paraId="11E3C556"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10.</w:t>
      </w:r>
      <w:r w:rsidRPr="0036305B">
        <w:rPr>
          <w:rFonts w:ascii="Times New Roman" w:hAnsi="Times New Roman" w:cs="Times New Roman"/>
          <w:sz w:val="20"/>
        </w:rPr>
        <w:tab/>
        <w:t xml:space="preserve">Dalile, B., Van Oudenhove, L., Vervliet, B. &amp; Verbeke, K. The role of short-chain fatty acids in microbiota–gut–brain communication. </w:t>
      </w:r>
      <w:r w:rsidRPr="0036305B">
        <w:rPr>
          <w:rFonts w:ascii="Times New Roman" w:hAnsi="Times New Roman" w:cs="Times New Roman"/>
          <w:i/>
          <w:iCs/>
          <w:sz w:val="20"/>
        </w:rPr>
        <w:t>Nat. Rev. Gastroenterol. Hepatol.</w:t>
      </w:r>
      <w:r w:rsidRPr="0036305B">
        <w:rPr>
          <w:rFonts w:ascii="Times New Roman" w:hAnsi="Times New Roman" w:cs="Times New Roman"/>
          <w:sz w:val="20"/>
        </w:rPr>
        <w:t xml:space="preserve"> </w:t>
      </w:r>
      <w:r w:rsidRPr="0036305B">
        <w:rPr>
          <w:rFonts w:ascii="Times New Roman" w:hAnsi="Times New Roman" w:cs="Times New Roman"/>
          <w:b/>
          <w:bCs/>
          <w:sz w:val="20"/>
        </w:rPr>
        <w:t>16</w:t>
      </w:r>
      <w:r w:rsidRPr="0036305B">
        <w:rPr>
          <w:rFonts w:ascii="Times New Roman" w:hAnsi="Times New Roman" w:cs="Times New Roman"/>
          <w:sz w:val="20"/>
        </w:rPr>
        <w:t>, 461–478 (2019).</w:t>
      </w:r>
    </w:p>
    <w:p w14:paraId="6A162F82"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lastRenderedPageBreak/>
        <w:t>11.</w:t>
      </w:r>
      <w:r w:rsidRPr="0036305B">
        <w:rPr>
          <w:rFonts w:ascii="Times New Roman" w:hAnsi="Times New Roman" w:cs="Times New Roman"/>
          <w:sz w:val="20"/>
        </w:rPr>
        <w:tab/>
        <w:t xml:space="preserve">Houser, M. C. &amp; Tansey, M. G. The gut-brain axis: is intestinal inflammation a silent driver of Parkinson’s disease pathogenesis? </w:t>
      </w:r>
      <w:r w:rsidRPr="0036305B">
        <w:rPr>
          <w:rFonts w:ascii="Times New Roman" w:hAnsi="Times New Roman" w:cs="Times New Roman"/>
          <w:i/>
          <w:iCs/>
          <w:sz w:val="20"/>
        </w:rPr>
        <w:t>Npj Park. Dis.</w:t>
      </w:r>
      <w:r w:rsidRPr="0036305B">
        <w:rPr>
          <w:rFonts w:ascii="Times New Roman" w:hAnsi="Times New Roman" w:cs="Times New Roman"/>
          <w:sz w:val="20"/>
        </w:rPr>
        <w:t xml:space="preserve"> </w:t>
      </w:r>
      <w:r w:rsidRPr="0036305B">
        <w:rPr>
          <w:rFonts w:ascii="Times New Roman" w:hAnsi="Times New Roman" w:cs="Times New Roman"/>
          <w:b/>
          <w:bCs/>
          <w:sz w:val="20"/>
        </w:rPr>
        <w:t>3</w:t>
      </w:r>
      <w:r w:rsidRPr="0036305B">
        <w:rPr>
          <w:rFonts w:ascii="Times New Roman" w:hAnsi="Times New Roman" w:cs="Times New Roman"/>
          <w:sz w:val="20"/>
        </w:rPr>
        <w:t>, 3 (2017).</w:t>
      </w:r>
    </w:p>
    <w:p w14:paraId="70298210"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12.</w:t>
      </w:r>
      <w:r w:rsidRPr="0036305B">
        <w:rPr>
          <w:rFonts w:ascii="Times New Roman" w:hAnsi="Times New Roman" w:cs="Times New Roman"/>
          <w:sz w:val="20"/>
        </w:rPr>
        <w:tab/>
        <w:t xml:space="preserve">Wallen, Z. D. </w:t>
      </w:r>
      <w:r w:rsidRPr="0036305B">
        <w:rPr>
          <w:rFonts w:ascii="Times New Roman" w:hAnsi="Times New Roman" w:cs="Times New Roman"/>
          <w:i/>
          <w:iCs/>
          <w:sz w:val="20"/>
        </w:rPr>
        <w:t>et al.</w:t>
      </w:r>
      <w:r w:rsidRPr="0036305B">
        <w:rPr>
          <w:rFonts w:ascii="Times New Roman" w:hAnsi="Times New Roman" w:cs="Times New Roman"/>
          <w:sz w:val="20"/>
        </w:rPr>
        <w:t xml:space="preserve"> Metagenomics of Parkinson’s disease implicates the gut microbiome in multiple disease mechanisms. </w:t>
      </w:r>
      <w:r w:rsidRPr="0036305B">
        <w:rPr>
          <w:rFonts w:ascii="Times New Roman" w:hAnsi="Times New Roman" w:cs="Times New Roman"/>
          <w:i/>
          <w:iCs/>
          <w:sz w:val="20"/>
        </w:rPr>
        <w:t>Nat. Commun.</w:t>
      </w:r>
      <w:r w:rsidRPr="0036305B">
        <w:rPr>
          <w:rFonts w:ascii="Times New Roman" w:hAnsi="Times New Roman" w:cs="Times New Roman"/>
          <w:sz w:val="20"/>
        </w:rPr>
        <w:t xml:space="preserve"> </w:t>
      </w:r>
      <w:r w:rsidRPr="0036305B">
        <w:rPr>
          <w:rFonts w:ascii="Times New Roman" w:hAnsi="Times New Roman" w:cs="Times New Roman"/>
          <w:b/>
          <w:bCs/>
          <w:sz w:val="20"/>
        </w:rPr>
        <w:t>13</w:t>
      </w:r>
      <w:r w:rsidRPr="0036305B">
        <w:rPr>
          <w:rFonts w:ascii="Times New Roman" w:hAnsi="Times New Roman" w:cs="Times New Roman"/>
          <w:sz w:val="20"/>
        </w:rPr>
        <w:t>, 6958 (2022).</w:t>
      </w:r>
    </w:p>
    <w:p w14:paraId="036F98FA"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13.</w:t>
      </w:r>
      <w:r w:rsidRPr="0036305B">
        <w:rPr>
          <w:rFonts w:ascii="Times New Roman" w:hAnsi="Times New Roman" w:cs="Times New Roman"/>
          <w:sz w:val="20"/>
        </w:rPr>
        <w:tab/>
        <w:t xml:space="preserve">Fu, S.-C. </w:t>
      </w:r>
      <w:r w:rsidRPr="0036305B">
        <w:rPr>
          <w:rFonts w:ascii="Times New Roman" w:hAnsi="Times New Roman" w:cs="Times New Roman"/>
          <w:i/>
          <w:iCs/>
          <w:sz w:val="20"/>
        </w:rPr>
        <w:t>et al.</w:t>
      </w:r>
      <w:r w:rsidRPr="0036305B">
        <w:rPr>
          <w:rFonts w:ascii="Times New Roman" w:hAnsi="Times New Roman" w:cs="Times New Roman"/>
          <w:sz w:val="20"/>
        </w:rPr>
        <w:t xml:space="preserve"> Exploring the Causal Effect of Constipation on Parkinson’s Disease Through Mediation Analysis of Microbial Data. </w:t>
      </w:r>
      <w:r w:rsidRPr="0036305B">
        <w:rPr>
          <w:rFonts w:ascii="Times New Roman" w:hAnsi="Times New Roman" w:cs="Times New Roman"/>
          <w:i/>
          <w:iCs/>
          <w:sz w:val="20"/>
        </w:rPr>
        <w:t>Front. Cell. Infect. Microbiol.</w:t>
      </w:r>
      <w:r w:rsidRPr="0036305B">
        <w:rPr>
          <w:rFonts w:ascii="Times New Roman" w:hAnsi="Times New Roman" w:cs="Times New Roman"/>
          <w:sz w:val="20"/>
        </w:rPr>
        <w:t xml:space="preserve"> </w:t>
      </w:r>
      <w:r w:rsidRPr="0036305B">
        <w:rPr>
          <w:rFonts w:ascii="Times New Roman" w:hAnsi="Times New Roman" w:cs="Times New Roman"/>
          <w:b/>
          <w:bCs/>
          <w:sz w:val="20"/>
        </w:rPr>
        <w:t>12</w:t>
      </w:r>
      <w:r w:rsidRPr="0036305B">
        <w:rPr>
          <w:rFonts w:ascii="Times New Roman" w:hAnsi="Times New Roman" w:cs="Times New Roman"/>
          <w:sz w:val="20"/>
        </w:rPr>
        <w:t>, 871710 (2022).</w:t>
      </w:r>
    </w:p>
    <w:p w14:paraId="6B4C575B"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14.</w:t>
      </w:r>
      <w:r w:rsidRPr="0036305B">
        <w:rPr>
          <w:rFonts w:ascii="Times New Roman" w:hAnsi="Times New Roman" w:cs="Times New Roman"/>
          <w:sz w:val="20"/>
        </w:rPr>
        <w:tab/>
        <w:t xml:space="preserve">Kenna, J. E. </w:t>
      </w:r>
      <w:r w:rsidRPr="0036305B">
        <w:rPr>
          <w:rFonts w:ascii="Times New Roman" w:hAnsi="Times New Roman" w:cs="Times New Roman"/>
          <w:i/>
          <w:iCs/>
          <w:sz w:val="20"/>
        </w:rPr>
        <w:t>et al.</w:t>
      </w:r>
      <w:r w:rsidRPr="0036305B">
        <w:rPr>
          <w:rFonts w:ascii="Times New Roman" w:hAnsi="Times New Roman" w:cs="Times New Roman"/>
          <w:sz w:val="20"/>
        </w:rPr>
        <w:t xml:space="preserve"> Changes in the Gut Microbiome and Predicted Functional Metabolic Effects in an Australian Parkinson’s Disease Cohort. </w:t>
      </w:r>
      <w:r w:rsidRPr="0036305B">
        <w:rPr>
          <w:rFonts w:ascii="Times New Roman" w:hAnsi="Times New Roman" w:cs="Times New Roman"/>
          <w:i/>
          <w:iCs/>
          <w:sz w:val="20"/>
        </w:rPr>
        <w:t>Front. Neurosci.</w:t>
      </w:r>
      <w:r w:rsidRPr="0036305B">
        <w:rPr>
          <w:rFonts w:ascii="Times New Roman" w:hAnsi="Times New Roman" w:cs="Times New Roman"/>
          <w:sz w:val="20"/>
        </w:rPr>
        <w:t xml:space="preserve"> </w:t>
      </w:r>
      <w:r w:rsidRPr="0036305B">
        <w:rPr>
          <w:rFonts w:ascii="Times New Roman" w:hAnsi="Times New Roman" w:cs="Times New Roman"/>
          <w:b/>
          <w:bCs/>
          <w:sz w:val="20"/>
        </w:rPr>
        <w:t>15</w:t>
      </w:r>
      <w:r w:rsidRPr="0036305B">
        <w:rPr>
          <w:rFonts w:ascii="Times New Roman" w:hAnsi="Times New Roman" w:cs="Times New Roman"/>
          <w:sz w:val="20"/>
        </w:rPr>
        <w:t>, 756951 (2021).</w:t>
      </w:r>
    </w:p>
    <w:p w14:paraId="6AC02229"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15.</w:t>
      </w:r>
      <w:r w:rsidRPr="0036305B">
        <w:rPr>
          <w:rFonts w:ascii="Times New Roman" w:hAnsi="Times New Roman" w:cs="Times New Roman"/>
          <w:sz w:val="20"/>
        </w:rPr>
        <w:tab/>
        <w:t xml:space="preserve">Debelius, J. </w:t>
      </w:r>
      <w:r w:rsidRPr="0036305B">
        <w:rPr>
          <w:rFonts w:ascii="Times New Roman" w:hAnsi="Times New Roman" w:cs="Times New Roman"/>
          <w:i/>
          <w:iCs/>
          <w:sz w:val="20"/>
        </w:rPr>
        <w:t>et al.</w:t>
      </w:r>
      <w:r w:rsidRPr="0036305B">
        <w:rPr>
          <w:rFonts w:ascii="Times New Roman" w:hAnsi="Times New Roman" w:cs="Times New Roman"/>
          <w:sz w:val="20"/>
        </w:rPr>
        <w:t xml:space="preserve"> Tiny microbes, enormous impacts: what matters in gut microbiome studies? </w:t>
      </w:r>
      <w:r w:rsidRPr="0036305B">
        <w:rPr>
          <w:rFonts w:ascii="Times New Roman" w:hAnsi="Times New Roman" w:cs="Times New Roman"/>
          <w:i/>
          <w:iCs/>
          <w:sz w:val="20"/>
        </w:rPr>
        <w:t>Genome Biol.</w:t>
      </w:r>
      <w:r w:rsidRPr="0036305B">
        <w:rPr>
          <w:rFonts w:ascii="Times New Roman" w:hAnsi="Times New Roman" w:cs="Times New Roman"/>
          <w:sz w:val="20"/>
        </w:rPr>
        <w:t xml:space="preserve"> </w:t>
      </w:r>
      <w:r w:rsidRPr="0036305B">
        <w:rPr>
          <w:rFonts w:ascii="Times New Roman" w:hAnsi="Times New Roman" w:cs="Times New Roman"/>
          <w:b/>
          <w:bCs/>
          <w:sz w:val="20"/>
        </w:rPr>
        <w:t>17</w:t>
      </w:r>
      <w:r w:rsidRPr="0036305B">
        <w:rPr>
          <w:rFonts w:ascii="Times New Roman" w:hAnsi="Times New Roman" w:cs="Times New Roman"/>
          <w:sz w:val="20"/>
        </w:rPr>
        <w:t>, 217 (2016).</w:t>
      </w:r>
    </w:p>
    <w:p w14:paraId="67EB7282"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16.</w:t>
      </w:r>
      <w:r w:rsidRPr="0036305B">
        <w:rPr>
          <w:rFonts w:ascii="Times New Roman" w:hAnsi="Times New Roman" w:cs="Times New Roman"/>
          <w:sz w:val="20"/>
        </w:rPr>
        <w:tab/>
        <w:t xml:space="preserve">Mertsalmi, T. H. </w:t>
      </w:r>
      <w:r w:rsidRPr="0036305B">
        <w:rPr>
          <w:rFonts w:ascii="Times New Roman" w:hAnsi="Times New Roman" w:cs="Times New Roman"/>
          <w:i/>
          <w:iCs/>
          <w:sz w:val="20"/>
        </w:rPr>
        <w:t>et al.</w:t>
      </w:r>
      <w:r w:rsidRPr="0036305B">
        <w:rPr>
          <w:rFonts w:ascii="Times New Roman" w:hAnsi="Times New Roman" w:cs="Times New Roman"/>
          <w:sz w:val="20"/>
        </w:rPr>
        <w:t xml:space="preserve"> More than constipation – bowel symptoms in Parkinson’s disease and their connection to gut microbiota. </w:t>
      </w:r>
      <w:r w:rsidRPr="0036305B">
        <w:rPr>
          <w:rFonts w:ascii="Times New Roman" w:hAnsi="Times New Roman" w:cs="Times New Roman"/>
          <w:i/>
          <w:iCs/>
          <w:sz w:val="20"/>
        </w:rPr>
        <w:t>Eur. J. Neurol.</w:t>
      </w:r>
      <w:r w:rsidRPr="0036305B">
        <w:rPr>
          <w:rFonts w:ascii="Times New Roman" w:hAnsi="Times New Roman" w:cs="Times New Roman"/>
          <w:sz w:val="20"/>
        </w:rPr>
        <w:t xml:space="preserve"> </w:t>
      </w:r>
      <w:r w:rsidRPr="0036305B">
        <w:rPr>
          <w:rFonts w:ascii="Times New Roman" w:hAnsi="Times New Roman" w:cs="Times New Roman"/>
          <w:b/>
          <w:bCs/>
          <w:sz w:val="20"/>
        </w:rPr>
        <w:t>24</w:t>
      </w:r>
      <w:r w:rsidRPr="0036305B">
        <w:rPr>
          <w:rFonts w:ascii="Times New Roman" w:hAnsi="Times New Roman" w:cs="Times New Roman"/>
          <w:sz w:val="20"/>
        </w:rPr>
        <w:t>, 1375–1383 (2017).</w:t>
      </w:r>
    </w:p>
    <w:p w14:paraId="4E94C97B"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17.</w:t>
      </w:r>
      <w:r w:rsidRPr="0036305B">
        <w:rPr>
          <w:rFonts w:ascii="Times New Roman" w:hAnsi="Times New Roman" w:cs="Times New Roman"/>
          <w:sz w:val="20"/>
        </w:rPr>
        <w:tab/>
        <w:t xml:space="preserve">Baldini, F. </w:t>
      </w:r>
      <w:r w:rsidRPr="0036305B">
        <w:rPr>
          <w:rFonts w:ascii="Times New Roman" w:hAnsi="Times New Roman" w:cs="Times New Roman"/>
          <w:i/>
          <w:iCs/>
          <w:sz w:val="20"/>
        </w:rPr>
        <w:t>et al.</w:t>
      </w:r>
      <w:r w:rsidRPr="0036305B">
        <w:rPr>
          <w:rFonts w:ascii="Times New Roman" w:hAnsi="Times New Roman" w:cs="Times New Roman"/>
          <w:sz w:val="20"/>
        </w:rPr>
        <w:t xml:space="preserve"> Parkinson’s disease-associated alterations of the gut microbiome predict disease-relevant changes in metabolic functions. </w:t>
      </w:r>
      <w:r w:rsidRPr="0036305B">
        <w:rPr>
          <w:rFonts w:ascii="Times New Roman" w:hAnsi="Times New Roman" w:cs="Times New Roman"/>
          <w:i/>
          <w:iCs/>
          <w:sz w:val="20"/>
        </w:rPr>
        <w:t>BMC Biol.</w:t>
      </w:r>
      <w:r w:rsidRPr="0036305B">
        <w:rPr>
          <w:rFonts w:ascii="Times New Roman" w:hAnsi="Times New Roman" w:cs="Times New Roman"/>
          <w:sz w:val="20"/>
        </w:rPr>
        <w:t xml:space="preserve"> </w:t>
      </w:r>
      <w:r w:rsidRPr="0036305B">
        <w:rPr>
          <w:rFonts w:ascii="Times New Roman" w:hAnsi="Times New Roman" w:cs="Times New Roman"/>
          <w:b/>
          <w:bCs/>
          <w:sz w:val="20"/>
        </w:rPr>
        <w:t>18</w:t>
      </w:r>
      <w:r w:rsidRPr="0036305B">
        <w:rPr>
          <w:rFonts w:ascii="Times New Roman" w:hAnsi="Times New Roman" w:cs="Times New Roman"/>
          <w:sz w:val="20"/>
        </w:rPr>
        <w:t>, 62 (2020).</w:t>
      </w:r>
    </w:p>
    <w:p w14:paraId="3D024EDF" w14:textId="77777777" w:rsidR="0036305B" w:rsidRPr="0036305B" w:rsidRDefault="0036305B" w:rsidP="0036305B">
      <w:pPr>
        <w:pStyle w:val="Bibliography"/>
        <w:rPr>
          <w:rFonts w:ascii="Times New Roman" w:hAnsi="Times New Roman" w:cs="Times New Roman"/>
          <w:sz w:val="20"/>
        </w:rPr>
      </w:pPr>
      <w:r w:rsidRPr="0036305B">
        <w:rPr>
          <w:rFonts w:ascii="Times New Roman" w:hAnsi="Times New Roman" w:cs="Times New Roman"/>
          <w:sz w:val="20"/>
        </w:rPr>
        <w:t>18.</w:t>
      </w:r>
      <w:r w:rsidRPr="0036305B">
        <w:rPr>
          <w:rFonts w:ascii="Times New Roman" w:hAnsi="Times New Roman" w:cs="Times New Roman"/>
          <w:sz w:val="20"/>
        </w:rPr>
        <w:tab/>
        <w:t xml:space="preserve">Khedr, E. M. </w:t>
      </w:r>
      <w:r w:rsidRPr="0036305B">
        <w:rPr>
          <w:rFonts w:ascii="Times New Roman" w:hAnsi="Times New Roman" w:cs="Times New Roman"/>
          <w:i/>
          <w:iCs/>
          <w:sz w:val="20"/>
        </w:rPr>
        <w:t>et al.</w:t>
      </w:r>
      <w:r w:rsidRPr="0036305B">
        <w:rPr>
          <w:rFonts w:ascii="Times New Roman" w:hAnsi="Times New Roman" w:cs="Times New Roman"/>
          <w:sz w:val="20"/>
        </w:rPr>
        <w:t xml:space="preserve"> Gut microbiota in Parkinson’s disease patients: hospital-based study. </w:t>
      </w:r>
      <w:r w:rsidRPr="0036305B">
        <w:rPr>
          <w:rFonts w:ascii="Times New Roman" w:hAnsi="Times New Roman" w:cs="Times New Roman"/>
          <w:i/>
          <w:iCs/>
          <w:sz w:val="20"/>
        </w:rPr>
        <w:t>Egypt. J. Neurol. Psychiatry Neurosurg.</w:t>
      </w:r>
      <w:r w:rsidRPr="0036305B">
        <w:rPr>
          <w:rFonts w:ascii="Times New Roman" w:hAnsi="Times New Roman" w:cs="Times New Roman"/>
          <w:sz w:val="20"/>
        </w:rPr>
        <w:t xml:space="preserve"> </w:t>
      </w:r>
      <w:r w:rsidRPr="0036305B">
        <w:rPr>
          <w:rFonts w:ascii="Times New Roman" w:hAnsi="Times New Roman" w:cs="Times New Roman"/>
          <w:b/>
          <w:bCs/>
          <w:sz w:val="20"/>
        </w:rPr>
        <w:t>57</w:t>
      </w:r>
      <w:r w:rsidRPr="0036305B">
        <w:rPr>
          <w:rFonts w:ascii="Times New Roman" w:hAnsi="Times New Roman" w:cs="Times New Roman"/>
          <w:sz w:val="20"/>
        </w:rPr>
        <w:t>, 153 (2021).</w:t>
      </w:r>
    </w:p>
    <w:p w14:paraId="25386B00" w14:textId="3C9912DE" w:rsidR="00EE149A" w:rsidRPr="002E582C" w:rsidRDefault="00EE149A" w:rsidP="002E582C">
      <w:pPr>
        <w:rPr>
          <w:rFonts w:ascii="Times New Roman" w:eastAsiaTheme="minorEastAsia" w:hAnsi="Times New Roman" w:cs="Times New Roman"/>
          <w:iCs/>
          <w:sz w:val="20"/>
          <w:szCs w:val="20"/>
        </w:rPr>
      </w:pPr>
      <w:r>
        <w:rPr>
          <w:rFonts w:ascii="Times New Roman" w:eastAsiaTheme="minorEastAsia" w:hAnsi="Times New Roman" w:cs="Times New Roman"/>
          <w:iCs/>
          <w:sz w:val="20"/>
          <w:szCs w:val="20"/>
        </w:rPr>
        <w:fldChar w:fldCharType="end"/>
      </w:r>
    </w:p>
    <w:sectPr w:rsidR="00EE149A" w:rsidRPr="002E5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60C44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820A994"/>
    <w:lvl w:ilvl="0">
      <w:start w:val="1"/>
      <w:numFmt w:val="lowerRoman"/>
      <w:lvlText w:val="(%1)"/>
      <w:lvlJc w:val="left"/>
      <w:pPr>
        <w:ind w:left="360" w:hanging="360"/>
      </w:pPr>
      <w:rPr>
        <w:rFonts w:ascii="Times New Roman" w:eastAsiaTheme="minorHAnsi" w:hAnsi="Times New Roman" w:cs="Times New Roman"/>
      </w:rPr>
    </w:lvl>
    <w:lvl w:ilvl="1">
      <w:numFmt w:val="bullet"/>
      <w:lvlText w:val="o"/>
      <w:lvlJc w:val="left"/>
      <w:pPr>
        <w:ind w:left="1080" w:hanging="360"/>
      </w:pPr>
      <w:rPr>
        <w:rFonts w:ascii="Courier New" w:hAnsi="Courier New" w:cs="Courier New" w:hint="default"/>
      </w:rPr>
    </w:lvl>
    <w:lvl w:ilvl="2">
      <w:numFmt w:val="bullet"/>
      <w:lvlText w:val=""/>
      <w:lvlJc w:val="left"/>
      <w:pPr>
        <w:ind w:left="1800" w:hanging="360"/>
      </w:pPr>
      <w:rPr>
        <w:rFonts w:ascii="Wingdings" w:hAnsi="Wingdings" w:cs="Wingdings" w:hint="default"/>
      </w:rPr>
    </w:lvl>
    <w:lvl w:ilvl="3">
      <w:numFmt w:val="bullet"/>
      <w:lvlText w:val=""/>
      <w:lvlJc w:val="left"/>
      <w:pPr>
        <w:ind w:left="2520" w:hanging="360"/>
      </w:pPr>
      <w:rPr>
        <w:rFonts w:ascii="Symbol" w:hAnsi="Symbol" w:cs="Symbol" w:hint="default"/>
      </w:rPr>
    </w:lvl>
    <w:lvl w:ilvl="4">
      <w:numFmt w:val="bullet"/>
      <w:lvlText w:val="o"/>
      <w:lvlJc w:val="left"/>
      <w:pPr>
        <w:ind w:left="3240" w:hanging="360"/>
      </w:pPr>
      <w:rPr>
        <w:rFonts w:ascii="Courier New" w:hAnsi="Courier New" w:cs="Courier New" w:hint="default"/>
      </w:rPr>
    </w:lvl>
    <w:lvl w:ilvl="5">
      <w:numFmt w:val="bullet"/>
      <w:lvlText w:val=""/>
      <w:lvlJc w:val="left"/>
      <w:pPr>
        <w:ind w:left="3960" w:hanging="360"/>
      </w:pPr>
      <w:rPr>
        <w:rFonts w:ascii="Wingdings" w:hAnsi="Wingdings" w:cs="Wingdings" w:hint="default"/>
      </w:rPr>
    </w:lvl>
    <w:lvl w:ilvl="6">
      <w:numFmt w:val="bullet"/>
      <w:lvlText w:val=""/>
      <w:lvlJc w:val="left"/>
      <w:pPr>
        <w:ind w:left="4680" w:hanging="360"/>
      </w:pPr>
      <w:rPr>
        <w:rFonts w:ascii="Symbol" w:hAnsi="Symbol" w:cs="Symbol" w:hint="default"/>
      </w:rPr>
    </w:lvl>
    <w:lvl w:ilvl="7">
      <w:numFmt w:val="bullet"/>
      <w:lvlText w:val="o"/>
      <w:lvlJc w:val="left"/>
      <w:pPr>
        <w:ind w:left="5400" w:hanging="360"/>
      </w:pPr>
      <w:rPr>
        <w:rFonts w:ascii="Courier New" w:hAnsi="Courier New" w:cs="Courier New" w:hint="default"/>
      </w:rPr>
    </w:lvl>
    <w:lvl w:ilvl="8">
      <w:numFmt w:val="bullet"/>
      <w:lvlText w:val=""/>
      <w:lvlJc w:val="left"/>
      <w:pPr>
        <w:ind w:left="6120" w:hanging="360"/>
      </w:pPr>
      <w:rPr>
        <w:rFonts w:ascii="Wingdings" w:hAnsi="Wingdings" w:cs="Wingdings" w:hint="default"/>
      </w:rPr>
    </w:lvl>
  </w:abstractNum>
  <w:abstractNum w:abstractNumId="2" w15:restartNumberingAfterBreak="0">
    <w:nsid w:val="00A99201"/>
    <w:multiLevelType w:val="multilevel"/>
    <w:tmpl w:val="0680C566"/>
    <w:lvl w:ilvl="0">
      <w:start w:val="1"/>
      <w:numFmt w:val="lowerRoman"/>
      <w:lvlText w:val="(%1)"/>
      <w:lvlJc w:val="left"/>
      <w:pPr>
        <w:ind w:left="360" w:hanging="360"/>
      </w:pPr>
      <w:rPr>
        <w:rFonts w:ascii="Times New Roman" w:eastAsiaTheme="minorHAnsi" w:hAnsi="Times New Roman" w:cs="Times New Roman"/>
      </w:r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left"/>
      <w:pPr>
        <w:ind w:left="3960" w:hanging="36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left"/>
      <w:pPr>
        <w:ind w:left="6120" w:hanging="360"/>
      </w:pPr>
    </w:lvl>
  </w:abstractNum>
  <w:abstractNum w:abstractNumId="3" w15:restartNumberingAfterBreak="0">
    <w:nsid w:val="00A99202"/>
    <w:multiLevelType w:val="multilevel"/>
    <w:tmpl w:val="11CE5D92"/>
    <w:lvl w:ilvl="0">
      <w:start w:val="2"/>
      <w:numFmt w:val="lowerRoman"/>
      <w:lvlText w:val="(%1)"/>
      <w:lvlJc w:val="left"/>
      <w:pPr>
        <w:ind w:left="360" w:hanging="360"/>
      </w:pPr>
      <w:rPr>
        <w:rFonts w:ascii="Times New Roman" w:eastAsiaTheme="minorEastAsia" w:hAnsi="Times New Roman" w:cs="Times New Roman" w:hint="default"/>
      </w:rPr>
    </w:lvl>
    <w:lvl w:ilvl="1">
      <w:start w:val="2"/>
      <w:numFmt w:val="lowerLetter"/>
      <w:lvlText w:val="%2."/>
      <w:lvlJc w:val="left"/>
      <w:pPr>
        <w:ind w:left="1080" w:hanging="360"/>
      </w:pPr>
      <w:rPr>
        <w:rFonts w:hint="default"/>
      </w:rPr>
    </w:lvl>
    <w:lvl w:ilvl="2">
      <w:start w:val="2"/>
      <w:numFmt w:val="lowerRoman"/>
      <w:lvlText w:val="%3."/>
      <w:lvlJc w:val="left"/>
      <w:pPr>
        <w:ind w:left="1800" w:hanging="360"/>
      </w:pPr>
      <w:rPr>
        <w:rFonts w:hint="default"/>
      </w:rPr>
    </w:lvl>
    <w:lvl w:ilvl="3">
      <w:start w:val="2"/>
      <w:numFmt w:val="decimal"/>
      <w:lvlText w:val="%4."/>
      <w:lvlJc w:val="left"/>
      <w:pPr>
        <w:ind w:left="2520" w:hanging="360"/>
      </w:pPr>
      <w:rPr>
        <w:rFonts w:hint="default"/>
      </w:rPr>
    </w:lvl>
    <w:lvl w:ilvl="4">
      <w:start w:val="2"/>
      <w:numFmt w:val="lowerLetter"/>
      <w:lvlText w:val="%5."/>
      <w:lvlJc w:val="left"/>
      <w:pPr>
        <w:ind w:left="3240" w:hanging="360"/>
      </w:pPr>
      <w:rPr>
        <w:rFonts w:hint="default"/>
      </w:rPr>
    </w:lvl>
    <w:lvl w:ilvl="5">
      <w:start w:val="2"/>
      <w:numFmt w:val="lowerRoman"/>
      <w:lvlText w:val="%6."/>
      <w:lvlJc w:val="left"/>
      <w:pPr>
        <w:ind w:left="3960" w:hanging="360"/>
      </w:pPr>
      <w:rPr>
        <w:rFonts w:hint="default"/>
      </w:rPr>
    </w:lvl>
    <w:lvl w:ilvl="6">
      <w:start w:val="2"/>
      <w:numFmt w:val="decimal"/>
      <w:lvlText w:val="%7."/>
      <w:lvlJc w:val="left"/>
      <w:pPr>
        <w:ind w:left="4680" w:hanging="360"/>
      </w:pPr>
      <w:rPr>
        <w:rFonts w:hint="default"/>
      </w:rPr>
    </w:lvl>
    <w:lvl w:ilvl="7">
      <w:start w:val="2"/>
      <w:numFmt w:val="lowerLetter"/>
      <w:lvlText w:val="%8."/>
      <w:lvlJc w:val="left"/>
      <w:pPr>
        <w:ind w:left="5400" w:hanging="360"/>
      </w:pPr>
      <w:rPr>
        <w:rFonts w:hint="default"/>
      </w:rPr>
    </w:lvl>
    <w:lvl w:ilvl="8">
      <w:start w:val="2"/>
      <w:numFmt w:val="lowerRoman"/>
      <w:lvlText w:val="%9."/>
      <w:lvlJc w:val="left"/>
      <w:pPr>
        <w:ind w:left="6120" w:hanging="360"/>
      </w:pPr>
      <w:rPr>
        <w:rFonts w:hint="default"/>
      </w:rPr>
    </w:lvl>
  </w:abstractNum>
  <w:abstractNum w:abstractNumId="4" w15:restartNumberingAfterBreak="0">
    <w:nsid w:val="06331382"/>
    <w:multiLevelType w:val="hybridMultilevel"/>
    <w:tmpl w:val="D9226F36"/>
    <w:lvl w:ilvl="0" w:tplc="BFACDF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32516"/>
    <w:multiLevelType w:val="hybridMultilevel"/>
    <w:tmpl w:val="67720CE6"/>
    <w:lvl w:ilvl="0" w:tplc="CAF4A65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81990"/>
    <w:multiLevelType w:val="hybridMultilevel"/>
    <w:tmpl w:val="5EDA5624"/>
    <w:lvl w:ilvl="0" w:tplc="D40EB87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8908DC"/>
    <w:multiLevelType w:val="hybridMultilevel"/>
    <w:tmpl w:val="6E5A0398"/>
    <w:lvl w:ilvl="0" w:tplc="60B8F38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E312E3"/>
    <w:multiLevelType w:val="hybridMultilevel"/>
    <w:tmpl w:val="C5A4AC0E"/>
    <w:lvl w:ilvl="0" w:tplc="F880C92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5550D4"/>
    <w:multiLevelType w:val="hybridMultilevel"/>
    <w:tmpl w:val="8B4679A6"/>
    <w:lvl w:ilvl="0" w:tplc="73EEECB0">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C35E4"/>
    <w:multiLevelType w:val="hybridMultilevel"/>
    <w:tmpl w:val="F030FAD4"/>
    <w:lvl w:ilvl="0" w:tplc="5BAC4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8C467C"/>
    <w:multiLevelType w:val="hybridMultilevel"/>
    <w:tmpl w:val="AA40F0CA"/>
    <w:lvl w:ilvl="0" w:tplc="1C30D69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94A0463"/>
    <w:multiLevelType w:val="hybridMultilevel"/>
    <w:tmpl w:val="0BB0ACC8"/>
    <w:lvl w:ilvl="0" w:tplc="33CA1296">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F986B81"/>
    <w:multiLevelType w:val="hybridMultilevel"/>
    <w:tmpl w:val="FB0C92D8"/>
    <w:lvl w:ilvl="0" w:tplc="8B18A45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A836AC"/>
    <w:multiLevelType w:val="hybridMultilevel"/>
    <w:tmpl w:val="F3CA51DC"/>
    <w:lvl w:ilvl="0" w:tplc="720EEB7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DE34F9"/>
    <w:multiLevelType w:val="hybridMultilevel"/>
    <w:tmpl w:val="2F4A90E2"/>
    <w:lvl w:ilvl="0" w:tplc="01A694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0256955">
    <w:abstractNumId w:val="10"/>
  </w:num>
  <w:num w:numId="2" w16cid:durableId="1851793703">
    <w:abstractNumId w:val="8"/>
  </w:num>
  <w:num w:numId="3" w16cid:durableId="1688480923">
    <w:abstractNumId w:val="15"/>
  </w:num>
  <w:num w:numId="4" w16cid:durableId="39794279">
    <w:abstractNumId w:val="0"/>
  </w:num>
  <w:num w:numId="5" w16cid:durableId="1394354251">
    <w:abstractNumId w:val="1"/>
  </w:num>
  <w:num w:numId="6" w16cid:durableId="4664370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160818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91254582">
    <w:abstractNumId w:val="9"/>
  </w:num>
  <w:num w:numId="9" w16cid:durableId="318732495">
    <w:abstractNumId w:val="4"/>
  </w:num>
  <w:num w:numId="10" w16cid:durableId="1321500381">
    <w:abstractNumId w:val="13"/>
  </w:num>
  <w:num w:numId="11" w16cid:durableId="1723674289">
    <w:abstractNumId w:val="5"/>
  </w:num>
  <w:num w:numId="12" w16cid:durableId="1708798014">
    <w:abstractNumId w:val="6"/>
  </w:num>
  <w:num w:numId="13" w16cid:durableId="1268735571">
    <w:abstractNumId w:val="1"/>
  </w:num>
  <w:num w:numId="14" w16cid:durableId="12067149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80606769">
    <w:abstractNumId w:val="3"/>
  </w:num>
  <w:num w:numId="16" w16cid:durableId="1635793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592052">
    <w:abstractNumId w:val="14"/>
  </w:num>
  <w:num w:numId="18" w16cid:durableId="1828863791">
    <w:abstractNumId w:val="7"/>
  </w:num>
  <w:num w:numId="19" w16cid:durableId="958299070">
    <w:abstractNumId w:val="11"/>
  </w:num>
  <w:num w:numId="20" w16cid:durableId="6490169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9A"/>
    <w:rsid w:val="00003C4F"/>
    <w:rsid w:val="00010A6B"/>
    <w:rsid w:val="0001110B"/>
    <w:rsid w:val="00041D88"/>
    <w:rsid w:val="0004326E"/>
    <w:rsid w:val="00053144"/>
    <w:rsid w:val="00091B00"/>
    <w:rsid w:val="000962DE"/>
    <w:rsid w:val="000B002C"/>
    <w:rsid w:val="000B4544"/>
    <w:rsid w:val="000B4D8A"/>
    <w:rsid w:val="000C043B"/>
    <w:rsid w:val="000C28A6"/>
    <w:rsid w:val="000C4C46"/>
    <w:rsid w:val="000D7856"/>
    <w:rsid w:val="000E0035"/>
    <w:rsid w:val="000F3B57"/>
    <w:rsid w:val="001005E0"/>
    <w:rsid w:val="00142487"/>
    <w:rsid w:val="00146302"/>
    <w:rsid w:val="00151AA8"/>
    <w:rsid w:val="00155DF6"/>
    <w:rsid w:val="00170353"/>
    <w:rsid w:val="001703B0"/>
    <w:rsid w:val="00172680"/>
    <w:rsid w:val="0019458A"/>
    <w:rsid w:val="00196675"/>
    <w:rsid w:val="001B07A7"/>
    <w:rsid w:val="001B0AA5"/>
    <w:rsid w:val="001C6872"/>
    <w:rsid w:val="001D4467"/>
    <w:rsid w:val="001E347D"/>
    <w:rsid w:val="001F4A71"/>
    <w:rsid w:val="001F5D93"/>
    <w:rsid w:val="002108C7"/>
    <w:rsid w:val="00215838"/>
    <w:rsid w:val="00232B26"/>
    <w:rsid w:val="00260847"/>
    <w:rsid w:val="00263FD8"/>
    <w:rsid w:val="00270AAF"/>
    <w:rsid w:val="0027297E"/>
    <w:rsid w:val="00275E8A"/>
    <w:rsid w:val="00276677"/>
    <w:rsid w:val="00292C60"/>
    <w:rsid w:val="002A242D"/>
    <w:rsid w:val="002D1E74"/>
    <w:rsid w:val="002E501F"/>
    <w:rsid w:val="002E582C"/>
    <w:rsid w:val="002F1F05"/>
    <w:rsid w:val="002F291D"/>
    <w:rsid w:val="002F7AD8"/>
    <w:rsid w:val="00337780"/>
    <w:rsid w:val="003440B4"/>
    <w:rsid w:val="00360C69"/>
    <w:rsid w:val="0036305B"/>
    <w:rsid w:val="00373BE2"/>
    <w:rsid w:val="003C5525"/>
    <w:rsid w:val="00416C8E"/>
    <w:rsid w:val="00434A4F"/>
    <w:rsid w:val="004451C8"/>
    <w:rsid w:val="0045316B"/>
    <w:rsid w:val="00453458"/>
    <w:rsid w:val="0045362A"/>
    <w:rsid w:val="00455862"/>
    <w:rsid w:val="00463DBB"/>
    <w:rsid w:val="00472A12"/>
    <w:rsid w:val="004740BB"/>
    <w:rsid w:val="00491027"/>
    <w:rsid w:val="004962C0"/>
    <w:rsid w:val="004B203F"/>
    <w:rsid w:val="004B5A8F"/>
    <w:rsid w:val="004B6BFD"/>
    <w:rsid w:val="004C26E8"/>
    <w:rsid w:val="004C7083"/>
    <w:rsid w:val="00504A49"/>
    <w:rsid w:val="00524023"/>
    <w:rsid w:val="00541162"/>
    <w:rsid w:val="00560301"/>
    <w:rsid w:val="00564869"/>
    <w:rsid w:val="00575E80"/>
    <w:rsid w:val="00596009"/>
    <w:rsid w:val="005B45C1"/>
    <w:rsid w:val="005C28E7"/>
    <w:rsid w:val="005C2D93"/>
    <w:rsid w:val="005D26E6"/>
    <w:rsid w:val="005D33DA"/>
    <w:rsid w:val="005F04F4"/>
    <w:rsid w:val="005F5D92"/>
    <w:rsid w:val="00625FB2"/>
    <w:rsid w:val="0064429A"/>
    <w:rsid w:val="00647FC8"/>
    <w:rsid w:val="00652710"/>
    <w:rsid w:val="00657143"/>
    <w:rsid w:val="00664D1E"/>
    <w:rsid w:val="006A509F"/>
    <w:rsid w:val="006D4620"/>
    <w:rsid w:val="006E1B5E"/>
    <w:rsid w:val="00727D9A"/>
    <w:rsid w:val="00756591"/>
    <w:rsid w:val="00763A33"/>
    <w:rsid w:val="00767B93"/>
    <w:rsid w:val="00775C34"/>
    <w:rsid w:val="00777E4B"/>
    <w:rsid w:val="007A6EB0"/>
    <w:rsid w:val="007B3064"/>
    <w:rsid w:val="007C665E"/>
    <w:rsid w:val="007D164B"/>
    <w:rsid w:val="007D264E"/>
    <w:rsid w:val="007D27E9"/>
    <w:rsid w:val="007D41CC"/>
    <w:rsid w:val="007E4C05"/>
    <w:rsid w:val="007F4A28"/>
    <w:rsid w:val="008153B5"/>
    <w:rsid w:val="00822C77"/>
    <w:rsid w:val="0086528D"/>
    <w:rsid w:val="00871CDC"/>
    <w:rsid w:val="008820F1"/>
    <w:rsid w:val="00882A99"/>
    <w:rsid w:val="00896B0D"/>
    <w:rsid w:val="008A23E5"/>
    <w:rsid w:val="008D2388"/>
    <w:rsid w:val="008D3800"/>
    <w:rsid w:val="008D7C7E"/>
    <w:rsid w:val="008F764B"/>
    <w:rsid w:val="00920574"/>
    <w:rsid w:val="00944B40"/>
    <w:rsid w:val="009457B9"/>
    <w:rsid w:val="009564C1"/>
    <w:rsid w:val="00962B99"/>
    <w:rsid w:val="009B19CD"/>
    <w:rsid w:val="00A108DE"/>
    <w:rsid w:val="00A12641"/>
    <w:rsid w:val="00A2437A"/>
    <w:rsid w:val="00A54534"/>
    <w:rsid w:val="00A57C60"/>
    <w:rsid w:val="00A71C61"/>
    <w:rsid w:val="00AA6037"/>
    <w:rsid w:val="00AE2744"/>
    <w:rsid w:val="00AF1418"/>
    <w:rsid w:val="00AF6091"/>
    <w:rsid w:val="00B20FFD"/>
    <w:rsid w:val="00B27DEC"/>
    <w:rsid w:val="00B3023F"/>
    <w:rsid w:val="00B41BFA"/>
    <w:rsid w:val="00B47637"/>
    <w:rsid w:val="00B519C0"/>
    <w:rsid w:val="00B6507D"/>
    <w:rsid w:val="00B7014A"/>
    <w:rsid w:val="00B738AF"/>
    <w:rsid w:val="00BA0647"/>
    <w:rsid w:val="00BA14A4"/>
    <w:rsid w:val="00BB08F0"/>
    <w:rsid w:val="00BB1FEE"/>
    <w:rsid w:val="00BB3032"/>
    <w:rsid w:val="00BC471C"/>
    <w:rsid w:val="00BD2170"/>
    <w:rsid w:val="00BD7D10"/>
    <w:rsid w:val="00C11201"/>
    <w:rsid w:val="00C26B3C"/>
    <w:rsid w:val="00C564C2"/>
    <w:rsid w:val="00C57683"/>
    <w:rsid w:val="00C60278"/>
    <w:rsid w:val="00C70400"/>
    <w:rsid w:val="00C809F5"/>
    <w:rsid w:val="00C928D9"/>
    <w:rsid w:val="00C97B73"/>
    <w:rsid w:val="00CA19A7"/>
    <w:rsid w:val="00CA5BFE"/>
    <w:rsid w:val="00CA5DAB"/>
    <w:rsid w:val="00CB0196"/>
    <w:rsid w:val="00CC34A3"/>
    <w:rsid w:val="00CE3C38"/>
    <w:rsid w:val="00CE47B9"/>
    <w:rsid w:val="00CF2583"/>
    <w:rsid w:val="00CF2B2E"/>
    <w:rsid w:val="00D0113E"/>
    <w:rsid w:val="00D10DB0"/>
    <w:rsid w:val="00D21448"/>
    <w:rsid w:val="00D2247F"/>
    <w:rsid w:val="00D425C7"/>
    <w:rsid w:val="00D5244E"/>
    <w:rsid w:val="00D56EF3"/>
    <w:rsid w:val="00D64C14"/>
    <w:rsid w:val="00D73072"/>
    <w:rsid w:val="00D749C3"/>
    <w:rsid w:val="00D8559D"/>
    <w:rsid w:val="00D9095F"/>
    <w:rsid w:val="00DA12C4"/>
    <w:rsid w:val="00DA2F0D"/>
    <w:rsid w:val="00DC027E"/>
    <w:rsid w:val="00DC5C62"/>
    <w:rsid w:val="00DD6AAA"/>
    <w:rsid w:val="00DE15F8"/>
    <w:rsid w:val="00DE4FA7"/>
    <w:rsid w:val="00DF633F"/>
    <w:rsid w:val="00E03ECC"/>
    <w:rsid w:val="00E13D9C"/>
    <w:rsid w:val="00E15888"/>
    <w:rsid w:val="00E26322"/>
    <w:rsid w:val="00E33B04"/>
    <w:rsid w:val="00E34BE9"/>
    <w:rsid w:val="00E3578A"/>
    <w:rsid w:val="00E3689E"/>
    <w:rsid w:val="00E47E99"/>
    <w:rsid w:val="00E5029E"/>
    <w:rsid w:val="00E5179E"/>
    <w:rsid w:val="00E546B1"/>
    <w:rsid w:val="00E54BCE"/>
    <w:rsid w:val="00E63F3C"/>
    <w:rsid w:val="00E6500A"/>
    <w:rsid w:val="00E67F90"/>
    <w:rsid w:val="00EA0763"/>
    <w:rsid w:val="00EA25B0"/>
    <w:rsid w:val="00EE149A"/>
    <w:rsid w:val="00EF3CF1"/>
    <w:rsid w:val="00F17BF6"/>
    <w:rsid w:val="00F21DCC"/>
    <w:rsid w:val="00F45DE2"/>
    <w:rsid w:val="00F70507"/>
    <w:rsid w:val="00F7503E"/>
    <w:rsid w:val="00FA4740"/>
    <w:rsid w:val="00FA6ECE"/>
    <w:rsid w:val="00FD2E8D"/>
    <w:rsid w:val="00FD72DF"/>
    <w:rsid w:val="00FE2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52DC"/>
  <w15:chartTrackingRefBased/>
  <w15:docId w15:val="{8E2DBDD6-6CD4-4171-9564-BA1291DB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9E"/>
  </w:style>
  <w:style w:type="paragraph" w:styleId="Heading1">
    <w:name w:val="heading 1"/>
    <w:basedOn w:val="Normal"/>
    <w:next w:val="Normal"/>
    <w:link w:val="Heading1Char"/>
    <w:uiPriority w:val="9"/>
    <w:qFormat/>
    <w:rsid w:val="00727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D9A"/>
    <w:rPr>
      <w:rFonts w:eastAsiaTheme="majorEastAsia" w:cstheme="majorBidi"/>
      <w:color w:val="272727" w:themeColor="text1" w:themeTint="D8"/>
    </w:rPr>
  </w:style>
  <w:style w:type="paragraph" w:styleId="Title">
    <w:name w:val="Title"/>
    <w:basedOn w:val="Normal"/>
    <w:next w:val="Normal"/>
    <w:link w:val="TitleChar"/>
    <w:uiPriority w:val="10"/>
    <w:qFormat/>
    <w:rsid w:val="00727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D9A"/>
    <w:pPr>
      <w:spacing w:before="160"/>
      <w:jc w:val="center"/>
    </w:pPr>
    <w:rPr>
      <w:i/>
      <w:iCs/>
      <w:color w:val="404040" w:themeColor="text1" w:themeTint="BF"/>
    </w:rPr>
  </w:style>
  <w:style w:type="character" w:customStyle="1" w:styleId="QuoteChar">
    <w:name w:val="Quote Char"/>
    <w:basedOn w:val="DefaultParagraphFont"/>
    <w:link w:val="Quote"/>
    <w:uiPriority w:val="29"/>
    <w:rsid w:val="00727D9A"/>
    <w:rPr>
      <w:i/>
      <w:iCs/>
      <w:color w:val="404040" w:themeColor="text1" w:themeTint="BF"/>
    </w:rPr>
  </w:style>
  <w:style w:type="paragraph" w:styleId="ListParagraph">
    <w:name w:val="List Paragraph"/>
    <w:basedOn w:val="Normal"/>
    <w:uiPriority w:val="34"/>
    <w:qFormat/>
    <w:rsid w:val="00727D9A"/>
    <w:pPr>
      <w:ind w:left="720"/>
      <w:contextualSpacing/>
    </w:pPr>
  </w:style>
  <w:style w:type="character" w:styleId="IntenseEmphasis">
    <w:name w:val="Intense Emphasis"/>
    <w:basedOn w:val="DefaultParagraphFont"/>
    <w:uiPriority w:val="21"/>
    <w:qFormat/>
    <w:rsid w:val="00727D9A"/>
    <w:rPr>
      <w:i/>
      <w:iCs/>
      <w:color w:val="0F4761" w:themeColor="accent1" w:themeShade="BF"/>
    </w:rPr>
  </w:style>
  <w:style w:type="paragraph" w:styleId="IntenseQuote">
    <w:name w:val="Intense Quote"/>
    <w:basedOn w:val="Normal"/>
    <w:next w:val="Normal"/>
    <w:link w:val="IntenseQuoteChar"/>
    <w:uiPriority w:val="30"/>
    <w:qFormat/>
    <w:rsid w:val="00727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D9A"/>
    <w:rPr>
      <w:i/>
      <w:iCs/>
      <w:color w:val="0F4761" w:themeColor="accent1" w:themeShade="BF"/>
    </w:rPr>
  </w:style>
  <w:style w:type="character" w:styleId="IntenseReference">
    <w:name w:val="Intense Reference"/>
    <w:basedOn w:val="DefaultParagraphFont"/>
    <w:uiPriority w:val="32"/>
    <w:qFormat/>
    <w:rsid w:val="00727D9A"/>
    <w:rPr>
      <w:b/>
      <w:bCs/>
      <w:smallCaps/>
      <w:color w:val="0F4761" w:themeColor="accent1" w:themeShade="BF"/>
      <w:spacing w:val="5"/>
    </w:rPr>
  </w:style>
  <w:style w:type="character" w:styleId="PlaceholderText">
    <w:name w:val="Placeholder Text"/>
    <w:basedOn w:val="DefaultParagraphFont"/>
    <w:uiPriority w:val="99"/>
    <w:semiHidden/>
    <w:rsid w:val="00BD7D10"/>
    <w:rPr>
      <w:color w:val="666666"/>
    </w:rPr>
  </w:style>
  <w:style w:type="paragraph" w:styleId="Caption">
    <w:name w:val="caption"/>
    <w:basedOn w:val="Normal"/>
    <w:next w:val="Normal"/>
    <w:uiPriority w:val="35"/>
    <w:unhideWhenUsed/>
    <w:qFormat/>
    <w:rsid w:val="00E26322"/>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EE149A"/>
    <w:pPr>
      <w:tabs>
        <w:tab w:val="left" w:pos="384"/>
      </w:tabs>
      <w:spacing w:after="0" w:line="480" w:lineRule="auto"/>
      <w:ind w:left="384" w:hanging="384"/>
    </w:pPr>
  </w:style>
  <w:style w:type="character" w:styleId="Hyperlink">
    <w:name w:val="Hyperlink"/>
    <w:basedOn w:val="DefaultParagraphFont"/>
    <w:uiPriority w:val="99"/>
    <w:unhideWhenUsed/>
    <w:rsid w:val="0064429A"/>
    <w:rPr>
      <w:color w:val="467886" w:themeColor="hyperlink"/>
      <w:u w:val="single"/>
    </w:rPr>
  </w:style>
  <w:style w:type="character" w:styleId="UnresolvedMention">
    <w:name w:val="Unresolved Mention"/>
    <w:basedOn w:val="DefaultParagraphFont"/>
    <w:uiPriority w:val="99"/>
    <w:semiHidden/>
    <w:unhideWhenUsed/>
    <w:rsid w:val="0064429A"/>
    <w:rPr>
      <w:color w:val="605E5C"/>
      <w:shd w:val="clear" w:color="auto" w:fill="E1DFDD"/>
    </w:rPr>
  </w:style>
  <w:style w:type="character" w:styleId="FollowedHyperlink">
    <w:name w:val="FollowedHyperlink"/>
    <w:basedOn w:val="DefaultParagraphFont"/>
    <w:uiPriority w:val="99"/>
    <w:semiHidden/>
    <w:unhideWhenUsed/>
    <w:rsid w:val="007D16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zenodo.org/records/7246185" TargetMode="External"/><Relationship Id="rId2" Type="http://schemas.openxmlformats.org/officeDocument/2006/relationships/numbering" Target="numbering.xml"/><Relationship Id="rId16" Type="http://schemas.openxmlformats.org/officeDocument/2006/relationships/hyperlink" Target="https://zenodo.org/records/7246185" TargetMode="External"/><Relationship Id="rId1" Type="http://schemas.openxmlformats.org/officeDocument/2006/relationships/customXml" Target="../customXml/item1.xml"/><Relationship Id="rId6" Type="http://schemas.openxmlformats.org/officeDocument/2006/relationships/hyperlink" Target="mailto:ay153866@ucf.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ncbi.nlm.nih.gov/bioproject/834801"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9BAC2-D91D-4FC7-A7B5-6AA5869A7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TotalTime>
  <Pages>15</Pages>
  <Words>20804</Words>
  <Characters>118585</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Siddiqui</dc:creator>
  <cp:keywords/>
  <dc:description/>
  <cp:lastModifiedBy>Ayan Siddiqui</cp:lastModifiedBy>
  <cp:revision>70</cp:revision>
  <dcterms:created xsi:type="dcterms:W3CDTF">2025-08-28T23:07:00Z</dcterms:created>
  <dcterms:modified xsi:type="dcterms:W3CDTF">2025-09-17T01:24:00Z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id="IjhekrDB"/&gt;&lt;style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