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7AE60" w14:textId="5F0E8774" w:rsidR="00692466" w:rsidRDefault="00692466" w:rsidP="00692466">
      <w:pPr>
        <w:rPr>
          <w:rFonts w:ascii="Times New Roman" w:hAnsi="Times New Roman" w:cs="Times New Roman"/>
          <w:b/>
          <w:bCs/>
        </w:rPr>
      </w:pPr>
      <w:r w:rsidRPr="00692466">
        <w:rPr>
          <w:rFonts w:ascii="Times New Roman" w:hAnsi="Times New Roman" w:cs="Times New Roman"/>
          <w:b/>
          <w:bCs/>
        </w:rPr>
        <w:t xml:space="preserve">Supplementary </w:t>
      </w:r>
      <w:r w:rsidRPr="00692466">
        <w:rPr>
          <w:rFonts w:ascii="Times New Roman" w:hAnsi="Times New Roman" w:cs="Times New Roman"/>
          <w:b/>
          <w:bCs/>
        </w:rPr>
        <w:t>i</w:t>
      </w:r>
      <w:r w:rsidRPr="00692466">
        <w:rPr>
          <w:rFonts w:ascii="Times New Roman" w:hAnsi="Times New Roman" w:cs="Times New Roman"/>
          <w:b/>
          <w:bCs/>
        </w:rPr>
        <w:t>nformation for</w:t>
      </w:r>
      <w:r w:rsidRPr="00692466">
        <w:rPr>
          <w:rFonts w:ascii="Times New Roman" w:hAnsi="Times New Roman" w:cs="Times New Roman"/>
          <w:b/>
          <w:bCs/>
        </w:rPr>
        <w:t xml:space="preserve"> </w:t>
      </w:r>
      <w:r>
        <w:rPr>
          <w:rFonts w:ascii="Times New Roman" w:hAnsi="Times New Roman" w:cs="Times New Roman"/>
          <w:b/>
          <w:bCs/>
        </w:rPr>
        <w:t>p</w:t>
      </w:r>
      <w:r w:rsidRPr="00692466">
        <w:rPr>
          <w:rFonts w:ascii="Times New Roman" w:hAnsi="Times New Roman" w:cs="Times New Roman"/>
          <w:b/>
          <w:bCs/>
        </w:rPr>
        <w:t>athway-centric remodeling of the gut microbiome in constipated Parkinson’s disease: PD-only metagenomic analysis</w:t>
      </w:r>
    </w:p>
    <w:p w14:paraId="0B91E85A" w14:textId="77777777" w:rsidR="00692466" w:rsidRDefault="00692466" w:rsidP="00692466">
      <w:pPr>
        <w:rPr>
          <w:rFonts w:ascii="Times New Roman" w:hAnsi="Times New Roman" w:cs="Times New Roman"/>
          <w:b/>
          <w:bCs/>
        </w:rPr>
      </w:pPr>
    </w:p>
    <w:p w14:paraId="3EB5E8D3" w14:textId="6E6ED748" w:rsidR="00692466" w:rsidRDefault="00692466" w:rsidP="00692466">
      <w:pPr>
        <w:rPr>
          <w:rFonts w:ascii="Times New Roman" w:hAnsi="Times New Roman" w:cs="Times New Roman"/>
          <w:b/>
          <w:bCs/>
        </w:rPr>
      </w:pPr>
      <w:r>
        <w:rPr>
          <w:rFonts w:ascii="Times New Roman" w:hAnsi="Times New Roman" w:cs="Times New Roman"/>
          <w:b/>
          <w:bCs/>
        </w:rPr>
        <w:t>Overview</w:t>
      </w:r>
    </w:p>
    <w:p w14:paraId="1E6DD338" w14:textId="1130418E" w:rsidR="00692466" w:rsidRDefault="004B128A">
      <w:pPr>
        <w:rPr>
          <w:rFonts w:ascii="Times New Roman" w:hAnsi="Times New Roman" w:cs="Times New Roman"/>
          <w:sz w:val="20"/>
          <w:szCs w:val="20"/>
        </w:rPr>
      </w:pPr>
      <w:r w:rsidRPr="004B128A">
        <w:rPr>
          <w:rFonts w:ascii="Times New Roman" w:hAnsi="Times New Roman" w:cs="Times New Roman"/>
          <w:sz w:val="20"/>
          <w:szCs w:val="20"/>
        </w:rPr>
        <w:t>All supplementary materials are provided as readable files in the repository. “Supplementary Tables S1–S6” correspond to the items cited in the main manuscript. Additional source files and logs are supplied as supplementary data files to help with reproduction.</w:t>
      </w:r>
    </w:p>
    <w:p w14:paraId="228BCCD4" w14:textId="77777777" w:rsidR="004B128A" w:rsidRDefault="004B128A">
      <w:pPr>
        <w:rPr>
          <w:rFonts w:ascii="Times New Roman" w:hAnsi="Times New Roman" w:cs="Times New Roman"/>
          <w:sz w:val="20"/>
          <w:szCs w:val="20"/>
        </w:rPr>
      </w:pPr>
    </w:p>
    <w:p w14:paraId="7D9C9DC7" w14:textId="5851D2F2" w:rsidR="00692466" w:rsidRPr="00692466" w:rsidRDefault="00692466">
      <w:pPr>
        <w:rPr>
          <w:rFonts w:ascii="Times New Roman" w:hAnsi="Times New Roman" w:cs="Times New Roman"/>
          <w:b/>
          <w:bCs/>
        </w:rPr>
      </w:pPr>
      <w:r w:rsidRPr="00692466">
        <w:rPr>
          <w:rFonts w:ascii="Times New Roman" w:hAnsi="Times New Roman" w:cs="Times New Roman"/>
          <w:b/>
          <w:bCs/>
        </w:rPr>
        <w:t>Supplementary tables</w:t>
      </w:r>
    </w:p>
    <w:p w14:paraId="389D2F43"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Table S1</w:t>
      </w:r>
      <w:r w:rsidRPr="000A3D8A">
        <w:rPr>
          <w:rFonts w:ascii="Times New Roman" w:hAnsi="Times New Roman" w:cs="Times New Roman"/>
          <w:sz w:val="20"/>
          <w:szCs w:val="20"/>
        </w:rPr>
        <w:t>:</w:t>
      </w:r>
      <w:r w:rsidRPr="00692466">
        <w:rPr>
          <w:rFonts w:ascii="Times New Roman" w:hAnsi="Times New Roman" w:cs="Times New Roman"/>
          <w:sz w:val="20"/>
          <w:szCs w:val="20"/>
        </w:rPr>
        <w:t xml:space="preserve"> S1_alpha_diversity_stats.csv</w:t>
      </w:r>
    </w:p>
    <w:p w14:paraId="3A9C7B39" w14:textId="7B2AEB98"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Per-sample α-diversity metrics (Shannon, Gini–Simpson, observed richness), group labels, and Wilcoxon test outputs; source data for Fig. 1.</w:t>
      </w:r>
    </w:p>
    <w:p w14:paraId="1CB59F12"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Table S2</w:t>
      </w:r>
      <w:r w:rsidRPr="000A3D8A">
        <w:rPr>
          <w:rFonts w:ascii="Times New Roman" w:hAnsi="Times New Roman" w:cs="Times New Roman"/>
          <w:sz w:val="20"/>
          <w:szCs w:val="20"/>
        </w:rPr>
        <w:t>:</w:t>
      </w:r>
      <w:r w:rsidRPr="00692466">
        <w:rPr>
          <w:rFonts w:ascii="Times New Roman" w:hAnsi="Times New Roman" w:cs="Times New Roman"/>
          <w:sz w:val="20"/>
          <w:szCs w:val="20"/>
        </w:rPr>
        <w:t xml:space="preserve"> S2_full_taxa_differentials.csv</w:t>
      </w:r>
    </w:p>
    <w:p w14:paraId="20301426" w14:textId="0CAD6671"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Complete CLR</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 xml:space="preserve">limma results for </w:t>
      </w:r>
      <w:r w:rsidRPr="00692466">
        <w:rPr>
          <w:rFonts w:ascii="Times New Roman" w:hAnsi="Times New Roman" w:cs="Times New Roman"/>
          <w:i/>
          <w:iCs/>
          <w:sz w:val="20"/>
          <w:szCs w:val="20"/>
        </w:rPr>
        <w:t xml:space="preserve">n </w:t>
      </w:r>
      <w:r w:rsidRPr="00692466">
        <w:rPr>
          <w:rFonts w:ascii="Times New Roman" w:hAnsi="Times New Roman" w:cs="Times New Roman"/>
          <w:sz w:val="20"/>
          <w:szCs w:val="20"/>
        </w:rPr>
        <w:t xml:space="preserve">= 230 taxa (covariate-adjusted): logFC (case </w:t>
      </w:r>
      <w:r w:rsidR="004B128A" w:rsidRPr="000A3D8A">
        <w:rPr>
          <w:rFonts w:ascii="Times New Roman" w:hAnsi="Times New Roman" w:cs="Times New Roman"/>
          <w:sz w:val="20"/>
          <w:szCs w:val="20"/>
        </w:rPr>
        <w:t>-</w:t>
      </w:r>
      <w:r w:rsidRPr="00692466">
        <w:rPr>
          <w:rFonts w:ascii="Times New Roman" w:hAnsi="Times New Roman" w:cs="Times New Roman"/>
          <w:sz w:val="20"/>
          <w:szCs w:val="20"/>
        </w:rPr>
        <w:t xml:space="preserve"> control), SE, moderated </w:t>
      </w:r>
      <w:r w:rsidRPr="00692466">
        <w:rPr>
          <w:rFonts w:ascii="Times New Roman" w:hAnsi="Times New Roman" w:cs="Times New Roman"/>
          <w:i/>
          <w:iCs/>
          <w:sz w:val="20"/>
          <w:szCs w:val="20"/>
        </w:rPr>
        <w:t>t</w:t>
      </w:r>
      <w:r w:rsidRPr="00692466">
        <w:rPr>
          <w:rFonts w:ascii="Times New Roman" w:hAnsi="Times New Roman" w:cs="Times New Roman"/>
          <w:sz w:val="20"/>
          <w:szCs w:val="20"/>
        </w:rPr>
        <w:t xml:space="preserve">, </w:t>
      </w:r>
      <w:r w:rsidRPr="00692466">
        <w:rPr>
          <w:rFonts w:ascii="Times New Roman" w:hAnsi="Times New Roman" w:cs="Times New Roman"/>
          <w:i/>
          <w:iCs/>
          <w:sz w:val="20"/>
          <w:szCs w:val="20"/>
        </w:rPr>
        <w:t>P</w:t>
      </w:r>
      <w:r w:rsidRPr="00692466">
        <w:rPr>
          <w:rFonts w:ascii="Times New Roman" w:hAnsi="Times New Roman" w:cs="Times New Roman"/>
          <w:sz w:val="20"/>
          <w:szCs w:val="20"/>
        </w:rPr>
        <w:t xml:space="preserve">, </w:t>
      </w:r>
      <w:r w:rsidRPr="00692466">
        <w:rPr>
          <w:rFonts w:ascii="Times New Roman" w:hAnsi="Times New Roman" w:cs="Times New Roman"/>
          <w:i/>
          <w:iCs/>
          <w:sz w:val="20"/>
          <w:szCs w:val="20"/>
        </w:rPr>
        <w:t>q</w:t>
      </w:r>
      <w:r w:rsidRPr="00692466">
        <w:rPr>
          <w:rFonts w:ascii="Times New Roman" w:hAnsi="Times New Roman" w:cs="Times New Roman"/>
          <w:sz w:val="20"/>
          <w:szCs w:val="20"/>
        </w:rPr>
        <w:t xml:space="preserve"> (BH FDR), and diagnostics; source data for Fig. 3 and Table 2.</w:t>
      </w:r>
    </w:p>
    <w:p w14:paraId="1F046783"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Table S3</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S3_full_pathways_differentials.csv</w:t>
      </w:r>
    </w:p>
    <w:p w14:paraId="6F81B27E" w14:textId="3F9666F5"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 xml:space="preserve">Complete voom–limma results for </w:t>
      </w:r>
      <w:r w:rsidRPr="00692466">
        <w:rPr>
          <w:rFonts w:ascii="Times New Roman" w:hAnsi="Times New Roman" w:cs="Times New Roman"/>
          <w:i/>
          <w:iCs/>
          <w:sz w:val="20"/>
          <w:szCs w:val="20"/>
        </w:rPr>
        <w:t>n</w:t>
      </w:r>
      <w:r w:rsidRPr="00692466">
        <w:rPr>
          <w:rFonts w:ascii="Times New Roman" w:hAnsi="Times New Roman" w:cs="Times New Roman"/>
          <w:sz w:val="20"/>
          <w:szCs w:val="20"/>
        </w:rPr>
        <w:t xml:space="preserve"> = 510 HUMAnN pathways (covariate-adjusted): log2FC (case </w:t>
      </w:r>
      <w:r w:rsidR="004B128A" w:rsidRPr="000A3D8A">
        <w:rPr>
          <w:rFonts w:ascii="Times New Roman" w:hAnsi="Times New Roman" w:cs="Times New Roman"/>
          <w:sz w:val="20"/>
          <w:szCs w:val="20"/>
        </w:rPr>
        <w:t>-</w:t>
      </w:r>
      <w:r w:rsidRPr="00692466">
        <w:rPr>
          <w:rFonts w:ascii="Times New Roman" w:hAnsi="Times New Roman" w:cs="Times New Roman"/>
          <w:sz w:val="20"/>
          <w:szCs w:val="20"/>
        </w:rPr>
        <w:t xml:space="preserve"> control), SE, moderated </w:t>
      </w:r>
      <w:r w:rsidRPr="00692466">
        <w:rPr>
          <w:rFonts w:ascii="Times New Roman" w:hAnsi="Times New Roman" w:cs="Times New Roman"/>
          <w:i/>
          <w:iCs/>
          <w:sz w:val="20"/>
          <w:szCs w:val="20"/>
        </w:rPr>
        <w:t>t</w:t>
      </w:r>
      <w:r w:rsidRPr="00692466">
        <w:rPr>
          <w:rFonts w:ascii="Times New Roman" w:hAnsi="Times New Roman" w:cs="Times New Roman"/>
          <w:sz w:val="20"/>
          <w:szCs w:val="20"/>
        </w:rPr>
        <w:t xml:space="preserve">, </w:t>
      </w:r>
      <w:r w:rsidRPr="00692466">
        <w:rPr>
          <w:rFonts w:ascii="Times New Roman" w:hAnsi="Times New Roman" w:cs="Times New Roman"/>
          <w:i/>
          <w:iCs/>
          <w:sz w:val="20"/>
          <w:szCs w:val="20"/>
        </w:rPr>
        <w:t>P</w:t>
      </w:r>
      <w:r w:rsidRPr="00692466">
        <w:rPr>
          <w:rFonts w:ascii="Times New Roman" w:hAnsi="Times New Roman" w:cs="Times New Roman"/>
          <w:sz w:val="20"/>
          <w:szCs w:val="20"/>
        </w:rPr>
        <w:t xml:space="preserve">, </w:t>
      </w:r>
      <w:r w:rsidRPr="00692466">
        <w:rPr>
          <w:rFonts w:ascii="Times New Roman" w:hAnsi="Times New Roman" w:cs="Times New Roman"/>
          <w:i/>
          <w:iCs/>
          <w:sz w:val="20"/>
          <w:szCs w:val="20"/>
        </w:rPr>
        <w:t>q</w:t>
      </w:r>
      <w:r w:rsidRPr="00692466">
        <w:rPr>
          <w:rFonts w:ascii="Times New Roman" w:hAnsi="Times New Roman" w:cs="Times New Roman"/>
          <w:sz w:val="20"/>
          <w:szCs w:val="20"/>
        </w:rPr>
        <w:t xml:space="preserve"> (BH FDR), and diagnostics; source data for Fig. 4 and Table 3.</w:t>
      </w:r>
    </w:p>
    <w:p w14:paraId="7DB8EEC7"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Table S4</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S4_permanova_summary.csv and S4_permdisp_tests.txt</w:t>
      </w:r>
    </w:p>
    <w:p w14:paraId="5DA990EB" w14:textId="6425158F"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 xml:space="preserve">PERMANOVA summaries (Bray–Curtis and Aitchison; by terms: partial </w:t>
      </w:r>
      <w:r w:rsidRPr="00692466">
        <w:rPr>
          <w:rFonts w:ascii="Times New Roman" w:hAnsi="Times New Roman" w:cs="Times New Roman"/>
          <w:i/>
          <w:iCs/>
          <w:sz w:val="20"/>
          <w:szCs w:val="20"/>
        </w:rPr>
        <w:t>R</w:t>
      </w:r>
      <w:r w:rsidRPr="00692466">
        <w:rPr>
          <w:rFonts w:ascii="Times New Roman" w:hAnsi="Times New Roman" w:cs="Times New Roman"/>
          <w:sz w:val="20"/>
          <w:szCs w:val="20"/>
        </w:rPr>
        <w:t xml:space="preserve">², </w:t>
      </w:r>
      <w:r w:rsidRPr="00692466">
        <w:rPr>
          <w:rFonts w:ascii="Times New Roman" w:hAnsi="Times New Roman" w:cs="Times New Roman"/>
          <w:i/>
          <w:iCs/>
          <w:sz w:val="20"/>
          <w:szCs w:val="20"/>
        </w:rPr>
        <w:t>F</w:t>
      </w:r>
      <w:r w:rsidRPr="00692466">
        <w:rPr>
          <w:rFonts w:ascii="Times New Roman" w:hAnsi="Times New Roman" w:cs="Times New Roman"/>
          <w:sz w:val="20"/>
          <w:szCs w:val="20"/>
        </w:rPr>
        <w:t xml:space="preserve">, </w:t>
      </w:r>
      <w:r w:rsidRPr="00692466">
        <w:rPr>
          <w:rFonts w:ascii="Times New Roman" w:hAnsi="Times New Roman" w:cs="Times New Roman"/>
          <w:i/>
          <w:iCs/>
          <w:sz w:val="20"/>
          <w:szCs w:val="20"/>
        </w:rPr>
        <w:t>P</w:t>
      </w:r>
      <w:r w:rsidRPr="00692466">
        <w:rPr>
          <w:rFonts w:ascii="Times New Roman" w:hAnsi="Times New Roman" w:cs="Times New Roman"/>
          <w:sz w:val="20"/>
          <w:szCs w:val="20"/>
        </w:rPr>
        <w:t xml:space="preserve">, </w:t>
      </w:r>
      <w:r w:rsidRPr="00692466">
        <w:rPr>
          <w:rFonts w:ascii="Times New Roman" w:hAnsi="Times New Roman" w:cs="Times New Roman"/>
          <w:i/>
          <w:iCs/>
          <w:sz w:val="20"/>
          <w:szCs w:val="20"/>
        </w:rPr>
        <w:t>q</w:t>
      </w:r>
      <w:r w:rsidRPr="00692466">
        <w:rPr>
          <w:rFonts w:ascii="Times New Roman" w:hAnsi="Times New Roman" w:cs="Times New Roman"/>
          <w:sz w:val="20"/>
          <w:szCs w:val="20"/>
        </w:rPr>
        <w:t>, 999 permutations) and homogeneity-of-dispersion (betadisper/permutest) results; source data for Fig. 2.</w:t>
      </w:r>
    </w:p>
    <w:p w14:paraId="503ACA40"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Table S5</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S5_enterotype_assignments.csv and S5_enterotype_model_selection.csv</w:t>
      </w:r>
    </w:p>
    <w:p w14:paraId="4D297F08" w14:textId="4C5605C7"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Per-sample enterotype labels (</w:t>
      </w:r>
      <w:r w:rsidRPr="00692466">
        <w:rPr>
          <w:rFonts w:ascii="Times New Roman" w:hAnsi="Times New Roman" w:cs="Times New Roman"/>
          <w:i/>
          <w:iCs/>
          <w:sz w:val="20"/>
          <w:szCs w:val="20"/>
        </w:rPr>
        <w:t>k</w:t>
      </w:r>
      <w:r w:rsidRPr="00692466">
        <w:rPr>
          <w:rFonts w:ascii="Times New Roman" w:hAnsi="Times New Roman" w:cs="Times New Roman"/>
          <w:sz w:val="20"/>
          <w:szCs w:val="20"/>
        </w:rPr>
        <w:t xml:space="preserve"> = 2 by BIC) and model-selection diagnostics (mclust BIC for </w:t>
      </w:r>
      <w:r w:rsidRPr="00692466">
        <w:rPr>
          <w:rFonts w:ascii="Times New Roman" w:hAnsi="Times New Roman" w:cs="Times New Roman"/>
          <w:i/>
          <w:iCs/>
          <w:sz w:val="20"/>
          <w:szCs w:val="20"/>
        </w:rPr>
        <w:t>G</w:t>
      </w:r>
      <w:r w:rsidRPr="00692466">
        <w:rPr>
          <w:rFonts w:ascii="Times New Roman" w:hAnsi="Times New Roman" w:cs="Times New Roman"/>
          <w:sz w:val="20"/>
          <w:szCs w:val="20"/>
        </w:rPr>
        <w:t xml:space="preserve"> = 1–6; </w:t>
      </w:r>
      <w:r w:rsidRPr="00692466">
        <w:rPr>
          <w:rFonts w:ascii="Times New Roman" w:hAnsi="Times New Roman" w:cs="Times New Roman"/>
          <w:i/>
          <w:iCs/>
          <w:sz w:val="20"/>
          <w:szCs w:val="20"/>
        </w:rPr>
        <w:t>k</w:t>
      </w:r>
      <w:r w:rsidRPr="00692466">
        <w:rPr>
          <w:rFonts w:ascii="Times New Roman" w:hAnsi="Times New Roman" w:cs="Times New Roman"/>
          <w:sz w:val="20"/>
          <w:szCs w:val="20"/>
        </w:rPr>
        <w:t>-means average silhouette for centers 2</w:t>
      </w:r>
      <w:r w:rsidR="004B128A" w:rsidRPr="00692466">
        <w:rPr>
          <w:rFonts w:ascii="Times New Roman" w:hAnsi="Times New Roman" w:cs="Times New Roman"/>
          <w:sz w:val="20"/>
          <w:szCs w:val="20"/>
        </w:rPr>
        <w:t>–</w:t>
      </w:r>
      <w:r w:rsidRPr="00692466">
        <w:rPr>
          <w:rFonts w:ascii="Times New Roman" w:hAnsi="Times New Roman" w:cs="Times New Roman"/>
          <w:sz w:val="20"/>
          <w:szCs w:val="20"/>
        </w:rPr>
        <w:t>6); source data for Fig. 5.</w:t>
      </w:r>
    </w:p>
    <w:p w14:paraId="7E57DB10"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Table S6</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S6_id_alignment_report.csv, S6_id_alignment_report.txt, and S6_design_drop_report.tx</w:t>
      </w:r>
      <w:r w:rsidRPr="000A3D8A">
        <w:rPr>
          <w:rFonts w:ascii="Times New Roman" w:hAnsi="Times New Roman" w:cs="Times New Roman"/>
          <w:sz w:val="20"/>
          <w:szCs w:val="20"/>
        </w:rPr>
        <w:t>t</w:t>
      </w:r>
    </w:p>
    <w:p w14:paraId="69A122A3" w14:textId="35F115EB" w:rsidR="00692466" w:rsidRPr="000A3D8A" w:rsidRDefault="000A3D8A" w:rsidP="00692466">
      <w:pPr>
        <w:rPr>
          <w:rFonts w:ascii="Times New Roman" w:hAnsi="Times New Roman" w:cs="Times New Roman"/>
          <w:sz w:val="20"/>
          <w:szCs w:val="20"/>
        </w:rPr>
      </w:pPr>
      <w:r w:rsidRPr="000A3D8A">
        <w:rPr>
          <w:rFonts w:ascii="Times New Roman" w:hAnsi="Times New Roman" w:cs="Times New Roman"/>
          <w:sz w:val="20"/>
          <w:szCs w:val="20"/>
        </w:rPr>
        <w:t>ID-harmonization crosswalk, narrative log (pre/post matching counts, examples of counts-only and metadata-only IDs), and a design-drop audit listing samples removed for missing covariates.</w:t>
      </w:r>
    </w:p>
    <w:p w14:paraId="205A0D9A" w14:textId="77777777" w:rsidR="000A3D8A" w:rsidRDefault="000A3D8A" w:rsidP="00692466">
      <w:pPr>
        <w:rPr>
          <w:rFonts w:ascii="Times New Roman" w:hAnsi="Times New Roman" w:cs="Times New Roman"/>
          <w:sz w:val="20"/>
          <w:szCs w:val="20"/>
        </w:rPr>
      </w:pPr>
    </w:p>
    <w:p w14:paraId="4805C214" w14:textId="26C0C80A" w:rsidR="00692466" w:rsidRPr="00692466" w:rsidRDefault="00692466" w:rsidP="00692466">
      <w:pPr>
        <w:rPr>
          <w:rFonts w:ascii="Times New Roman" w:hAnsi="Times New Roman" w:cs="Times New Roman"/>
          <w:b/>
          <w:bCs/>
        </w:rPr>
      </w:pPr>
      <w:r w:rsidRPr="00692466">
        <w:rPr>
          <w:rFonts w:ascii="Times New Roman" w:hAnsi="Times New Roman" w:cs="Times New Roman"/>
          <w:b/>
          <w:bCs/>
        </w:rPr>
        <w:t>Supplementary Data (</w:t>
      </w:r>
      <w:r w:rsidR="000A3D8A" w:rsidRPr="000A3D8A">
        <w:rPr>
          <w:rFonts w:ascii="Times New Roman" w:hAnsi="Times New Roman" w:cs="Times New Roman"/>
          <w:b/>
          <w:bCs/>
        </w:rPr>
        <w:t>source matrices and manifest</w:t>
      </w:r>
      <w:r w:rsidR="000A3D8A">
        <w:rPr>
          <w:rFonts w:ascii="Times New Roman" w:hAnsi="Times New Roman" w:cs="Times New Roman"/>
          <w:b/>
          <w:bCs/>
        </w:rPr>
        <w:t>)</w:t>
      </w:r>
    </w:p>
    <w:p w14:paraId="20291637" w14:textId="77777777"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Data A</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S2_taxa_full.csv</w:t>
      </w:r>
    </w:p>
    <w:p w14:paraId="394D5E76" w14:textId="77AF6E58"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Species-level relative-abundance matrix (post-filtering; samples × taxa) used for α/β-diversity and taxonomic DA.</w:t>
      </w:r>
    </w:p>
    <w:p w14:paraId="411F730D" w14:textId="05EAE80E"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Supplementary Data B</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S3_pathways_full.csv</w:t>
      </w:r>
    </w:p>
    <w:p w14:paraId="682DB992" w14:textId="0D95A674"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HUMAnN pathway counts matrix (samples × pathways) used as input to the voom–limma analysis.</w:t>
      </w:r>
    </w:p>
    <w:p w14:paraId="4C402788" w14:textId="2DFF34E2"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lastRenderedPageBreak/>
        <w:t>Supplementary Data C</w:t>
      </w:r>
      <w:r w:rsidRPr="000A3D8A">
        <w:rPr>
          <w:rFonts w:ascii="Times New Roman" w:hAnsi="Times New Roman" w:cs="Times New Roman"/>
          <w:sz w:val="20"/>
          <w:szCs w:val="20"/>
        </w:rPr>
        <w:t xml:space="preserve">: </w:t>
      </w:r>
      <w:r w:rsidRPr="00692466">
        <w:rPr>
          <w:rFonts w:ascii="Times New Roman" w:hAnsi="Times New Roman" w:cs="Times New Roman"/>
          <w:sz w:val="20"/>
          <w:szCs w:val="20"/>
        </w:rPr>
        <w:t>Supplement_index.txt</w:t>
      </w:r>
    </w:p>
    <w:p w14:paraId="3D34F4AD" w14:textId="49909F68" w:rsidR="00692466" w:rsidRPr="000A3D8A"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Index/manifest describing the full set of outputs and on-disk paths.</w:t>
      </w:r>
    </w:p>
    <w:p w14:paraId="39880738" w14:textId="77777777" w:rsidR="00692466" w:rsidRDefault="00692466" w:rsidP="00692466">
      <w:pPr>
        <w:rPr>
          <w:rFonts w:ascii="Times New Roman" w:hAnsi="Times New Roman" w:cs="Times New Roman"/>
          <w:sz w:val="20"/>
          <w:szCs w:val="20"/>
        </w:rPr>
      </w:pPr>
    </w:p>
    <w:p w14:paraId="6B343F07" w14:textId="585E0D62" w:rsidR="00692466" w:rsidRPr="00692466" w:rsidRDefault="00692466" w:rsidP="00692466">
      <w:pPr>
        <w:rPr>
          <w:rFonts w:ascii="Times New Roman" w:hAnsi="Times New Roman" w:cs="Times New Roman"/>
          <w:b/>
          <w:bCs/>
        </w:rPr>
      </w:pPr>
      <w:r w:rsidRPr="00692466">
        <w:rPr>
          <w:rFonts w:ascii="Times New Roman" w:hAnsi="Times New Roman" w:cs="Times New Roman"/>
          <w:b/>
          <w:bCs/>
        </w:rPr>
        <w:t>Reproducibility notes</w:t>
      </w:r>
    </w:p>
    <w:p w14:paraId="131429D9" w14:textId="0AF964FF" w:rsid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 xml:space="preserve">Top-level script: </w:t>
      </w:r>
      <w:r w:rsidR="000A3D8A" w:rsidRPr="000A3D8A">
        <w:rPr>
          <w:rFonts w:ascii="Times New Roman" w:hAnsi="Times New Roman" w:cs="Times New Roman"/>
          <w:sz w:val="20"/>
          <w:szCs w:val="20"/>
        </w:rPr>
        <w:t>constipation_pd_paper_pipeline.R</w:t>
      </w:r>
    </w:p>
    <w:p w14:paraId="5306E179" w14:textId="17BB9A1E"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Environment: results/tables/session_info.txt (R 4.4.2; package versions).</w:t>
      </w:r>
    </w:p>
    <w:p w14:paraId="31748451" w14:textId="77777777" w:rsidR="00692466" w:rsidRPr="00692466" w:rsidRDefault="00692466" w:rsidP="00692466">
      <w:pPr>
        <w:rPr>
          <w:rFonts w:ascii="Times New Roman" w:hAnsi="Times New Roman" w:cs="Times New Roman"/>
          <w:sz w:val="20"/>
          <w:szCs w:val="20"/>
        </w:rPr>
      </w:pPr>
      <w:r w:rsidRPr="00692466">
        <w:rPr>
          <w:rFonts w:ascii="Times New Roman" w:hAnsi="Times New Roman" w:cs="Times New Roman"/>
          <w:sz w:val="20"/>
          <w:szCs w:val="20"/>
        </w:rPr>
        <w:t>Random seed: 42 for ordinations, permutations, and clustering.</w:t>
      </w:r>
    </w:p>
    <w:p w14:paraId="0F1B0B6F" w14:textId="7E03D2B4" w:rsidR="00692466" w:rsidRPr="000A3D8A" w:rsidRDefault="00692466">
      <w:pPr>
        <w:rPr>
          <w:rFonts w:ascii="Times New Roman" w:hAnsi="Times New Roman" w:cs="Times New Roman"/>
          <w:sz w:val="20"/>
          <w:szCs w:val="20"/>
        </w:rPr>
      </w:pPr>
      <w:r w:rsidRPr="00692466">
        <w:rPr>
          <w:rFonts w:ascii="Times New Roman" w:hAnsi="Times New Roman" w:cs="Times New Roman"/>
          <w:sz w:val="20"/>
          <w:szCs w:val="20"/>
        </w:rPr>
        <w:t>Inputs: Copies of the processed derivatives from Wallen et al. (Zenodo record 7246185); raw reads at SRA BioProject PRJNA834801.</w:t>
      </w:r>
    </w:p>
    <w:sectPr w:rsidR="00692466" w:rsidRPr="000A3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66"/>
    <w:rsid w:val="000A3D8A"/>
    <w:rsid w:val="004B128A"/>
    <w:rsid w:val="0067618C"/>
    <w:rsid w:val="0069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079A"/>
  <w15:chartTrackingRefBased/>
  <w15:docId w15:val="{D5617AF4-E792-411A-81B0-577954C6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66"/>
  </w:style>
  <w:style w:type="paragraph" w:styleId="Heading1">
    <w:name w:val="heading 1"/>
    <w:basedOn w:val="Normal"/>
    <w:next w:val="Normal"/>
    <w:link w:val="Heading1Char"/>
    <w:uiPriority w:val="9"/>
    <w:qFormat/>
    <w:rsid w:val="00692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466"/>
    <w:rPr>
      <w:rFonts w:eastAsiaTheme="majorEastAsia" w:cstheme="majorBidi"/>
      <w:color w:val="272727" w:themeColor="text1" w:themeTint="D8"/>
    </w:rPr>
  </w:style>
  <w:style w:type="paragraph" w:styleId="Title">
    <w:name w:val="Title"/>
    <w:basedOn w:val="Normal"/>
    <w:next w:val="Normal"/>
    <w:link w:val="TitleChar"/>
    <w:uiPriority w:val="10"/>
    <w:qFormat/>
    <w:rsid w:val="00692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466"/>
    <w:pPr>
      <w:spacing w:before="160"/>
      <w:jc w:val="center"/>
    </w:pPr>
    <w:rPr>
      <w:i/>
      <w:iCs/>
      <w:color w:val="404040" w:themeColor="text1" w:themeTint="BF"/>
    </w:rPr>
  </w:style>
  <w:style w:type="character" w:customStyle="1" w:styleId="QuoteChar">
    <w:name w:val="Quote Char"/>
    <w:basedOn w:val="DefaultParagraphFont"/>
    <w:link w:val="Quote"/>
    <w:uiPriority w:val="29"/>
    <w:rsid w:val="00692466"/>
    <w:rPr>
      <w:i/>
      <w:iCs/>
      <w:color w:val="404040" w:themeColor="text1" w:themeTint="BF"/>
    </w:rPr>
  </w:style>
  <w:style w:type="paragraph" w:styleId="ListParagraph">
    <w:name w:val="List Paragraph"/>
    <w:basedOn w:val="Normal"/>
    <w:uiPriority w:val="34"/>
    <w:qFormat/>
    <w:rsid w:val="00692466"/>
    <w:pPr>
      <w:ind w:left="720"/>
      <w:contextualSpacing/>
    </w:pPr>
  </w:style>
  <w:style w:type="character" w:styleId="IntenseEmphasis">
    <w:name w:val="Intense Emphasis"/>
    <w:basedOn w:val="DefaultParagraphFont"/>
    <w:uiPriority w:val="21"/>
    <w:qFormat/>
    <w:rsid w:val="00692466"/>
    <w:rPr>
      <w:i/>
      <w:iCs/>
      <w:color w:val="0F4761" w:themeColor="accent1" w:themeShade="BF"/>
    </w:rPr>
  </w:style>
  <w:style w:type="paragraph" w:styleId="IntenseQuote">
    <w:name w:val="Intense Quote"/>
    <w:basedOn w:val="Normal"/>
    <w:next w:val="Normal"/>
    <w:link w:val="IntenseQuoteChar"/>
    <w:uiPriority w:val="30"/>
    <w:qFormat/>
    <w:rsid w:val="00692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466"/>
    <w:rPr>
      <w:i/>
      <w:iCs/>
      <w:color w:val="0F4761" w:themeColor="accent1" w:themeShade="BF"/>
    </w:rPr>
  </w:style>
  <w:style w:type="character" w:styleId="IntenseReference">
    <w:name w:val="Intense Reference"/>
    <w:basedOn w:val="DefaultParagraphFont"/>
    <w:uiPriority w:val="32"/>
    <w:qFormat/>
    <w:rsid w:val="00692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Siddiqui</dc:creator>
  <cp:keywords/>
  <dc:description/>
  <cp:lastModifiedBy>Ayan Siddiqui</cp:lastModifiedBy>
  <cp:revision>1</cp:revision>
  <dcterms:created xsi:type="dcterms:W3CDTF">2025-09-16T04:38:00Z</dcterms:created>
  <dcterms:modified xsi:type="dcterms:W3CDTF">2025-09-16T05:18:00Z</dcterms:modified>
</cp:coreProperties>
</file>