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19AD" w14:textId="3488AC4D" w:rsidR="009E02FD" w:rsidRDefault="00C011C9" w:rsidP="00E44BB5">
      <w:pPr>
        <w:spacing w:after="0"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ab/>
      </w:r>
      <w:r>
        <w:rPr>
          <w:rFonts w:ascii="Garamond" w:hAnsi="Garamond" w:cs="Times New Roman"/>
          <w:sz w:val="24"/>
          <w:szCs w:val="24"/>
        </w:rPr>
        <w:tab/>
        <w:tab/>
        <w:t xml:space="preserve">     </w:t>
      </w:r>
      <w:r>
        <w:rPr>
          <w:rFonts w:ascii="Garamond" w:hAnsi="Garamond" w:cs="Times New Roman"/>
          <w:b/>
          <w:sz w:val="24"/>
          <w:szCs w:val="24"/>
        </w:rPr>
        <w:t>AYAN ORUJOV</w:t>
      </w:r>
    </w:p>
    <w:p w14:paraId="3A77720E" w14:textId="73D9E96F" w:rsidR="001313BA" w:rsidRPr="006C575D" w:rsidRDefault="003934A8" w:rsidP="003D1E50">
      <w:pPr>
        <w:spacing w:after="0"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ab/>
        <w:tab/>
        <w:t xml:space="preserve">        University of Liverpool Management School</w:t>
      </w:r>
    </w:p>
    <w:p w14:paraId="4BAAEB36" w14:textId="2E59A28A" w:rsidR="00A6771F" w:rsidRPr="006C575D" w:rsidRDefault="001313BA" w:rsidP="00E44BB5">
      <w:pPr>
        <w:spacing w:after="0"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ab/>
        <w:tab/>
        <w:tab/>
        <w:t xml:space="preserve">        ayan.orujov@liverpool.ac.uk</w:t>
        <w:tab/>
      </w:r>
    </w:p>
    <w:p w14:paraId="770E49EF" w14:textId="77777777" w:rsidR="00A6771F" w:rsidRPr="00A6771F" w:rsidRDefault="00AE572D" w:rsidP="00A6771F">
      <w:pPr>
        <w:pBdr>
          <w:bottom w:val="single" w:sz="4" w:space="1" w:color="auto"/>
        </w:pBdr>
        <w:spacing w:line="240" w:lineRule="auto"/>
        <w:rPr>
          <w:rFonts w:ascii="Garamond" w:hAnsi="Garamond" w:cs="Times New Roman"/>
          <w:b/>
          <w:sz w:val="32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Areas of Interest</w:t>
      </w:r>
    </w:p>
    <w:p w14:paraId="7A37556D" w14:textId="693296B2" w:rsidR="00AE572D" w:rsidRPr="006C575D" w:rsidRDefault="00AE572D" w:rsidP="00AE572D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 xml:space="preserve">Research: </w:t>
      </w:r>
      <w:r>
        <w:rPr>
          <w:rFonts w:ascii="Garamond" w:hAnsi="Garamond" w:cs="Times New Roman"/>
          <w:bCs/>
          <w:sz w:val="24"/>
          <w:szCs w:val="24"/>
        </w:rPr>
        <w:t xml:space="preserve">Gambling Harm, Gambling Behaviour, Analytics, Gambling in Finance, </w:t>
      </w:r>
      <w:r>
        <w:rPr>
          <w:rFonts w:ascii="Garamond" w:hAnsi="Garamond" w:cs="Times New Roman"/>
          <w:sz w:val="24"/>
          <w:szCs w:val="24"/>
        </w:rPr>
        <w:t>Sports and Finance</w:t>
      </w:r>
      <w:r>
        <w:rPr>
          <w:rFonts w:ascii="Garamond" w:hAnsi="Garamond" w:cs="Times New Roman"/>
          <w:bCs/>
          <w:sz w:val="24"/>
          <w:szCs w:val="24"/>
        </w:rPr>
        <w:t xml:space="preserve">, Corporate Finance, </w:t>
      </w:r>
      <w:r>
        <w:rPr>
          <w:rFonts w:ascii="Garamond" w:hAnsi="Garamond" w:cs="Times New Roman"/>
          <w:sz w:val="24"/>
          <w:szCs w:val="24"/>
        </w:rPr>
        <w:t>Retail Investors, eSports Business.</w:t>
      </w:r>
    </w:p>
    <w:p w14:paraId="37D51D53" w14:textId="79286D33" w:rsidR="00A6771F" w:rsidRPr="006C575D" w:rsidRDefault="00AE572D" w:rsidP="00AE572D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 xml:space="preserve">Teaching: </w:t>
      </w:r>
      <w:r>
        <w:rPr>
          <w:rFonts w:ascii="Garamond" w:hAnsi="Garamond" w:cs="Times New Roman"/>
          <w:sz w:val="24"/>
          <w:szCs w:val="24"/>
        </w:rPr>
        <w:t>Sports Business, Sports Analytics, Corporate Finance, Trading Simulations, Quantitative Methods, eSports Business.</w:t>
      </w:r>
    </w:p>
    <w:p w14:paraId="05D2D432" w14:textId="77777777" w:rsidR="007B3DAC" w:rsidRPr="006C575D" w:rsidRDefault="007B3DAC" w:rsidP="00A6771F">
      <w:pPr>
        <w:pBdr>
          <w:bottom w:val="single" w:sz="4" w:space="1" w:color="auto"/>
        </w:pBdr>
        <w:spacing w:line="240" w:lineRule="auto"/>
        <w:rPr>
          <w:rFonts w:ascii="Garamond" w:hAnsi="Garamond" w:cs="Times New Roman"/>
          <w:sz w:val="28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Education</w:t>
      </w:r>
    </w:p>
    <w:p w14:paraId="042329E1" w14:textId="77777777" w:rsidR="00B2378B" w:rsidRPr="000F3F10" w:rsidRDefault="007B3DAC" w:rsidP="00E44BB5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 xml:space="preserve">PhD in Finance and Accounting, University of Bristol, </w:t>
      </w:r>
      <w:r>
        <w:rPr>
          <w:rFonts w:ascii="Garamond" w:hAnsi="Garamond" w:cs="Times New Roman"/>
          <w:sz w:val="24"/>
          <w:szCs w:val="24"/>
        </w:rPr>
        <w:t>2016</w:t>
      </w:r>
    </w:p>
    <w:p w14:paraId="540A5A8E" w14:textId="77777777" w:rsidR="00B2378B" w:rsidRPr="000F3F10" w:rsidRDefault="007B3DAC" w:rsidP="00E44BB5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 xml:space="preserve">MSc in Finance and Investment, University of Bristol, (distinction), </w:t>
      </w:r>
      <w:r>
        <w:rPr>
          <w:rFonts w:ascii="Garamond" w:hAnsi="Garamond" w:cs="Times New Roman"/>
          <w:sz w:val="24"/>
          <w:szCs w:val="24"/>
        </w:rPr>
        <w:t>2011.</w:t>
      </w:r>
    </w:p>
    <w:p w14:paraId="2C40CDCF" w14:textId="6DFA631E" w:rsidR="00AC77EA" w:rsidRDefault="007B3DAC" w:rsidP="00E44BB5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 xml:space="preserve">BSc in Economics, Baku State University (first class honours), </w:t>
      </w:r>
      <w:r>
        <w:rPr>
          <w:rFonts w:ascii="Garamond" w:hAnsi="Garamond" w:cs="Times New Roman"/>
          <w:sz w:val="24"/>
          <w:szCs w:val="24"/>
        </w:rPr>
        <w:t>Baku, Azerbaijan, 2010.</w:t>
      </w:r>
    </w:p>
    <w:p w14:paraId="39B9573B" w14:textId="3AB9EE35" w:rsidR="00213E62" w:rsidRDefault="00213E62" w:rsidP="00E44BB5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 xml:space="preserve">Postgraduate Certificate in Higher Education (PGCertHE), Bangor University, </w:t>
      </w:r>
      <w:r>
        <w:rPr>
          <w:rFonts w:ascii="Garamond" w:hAnsi="Garamond" w:cs="Times New Roman"/>
          <w:sz w:val="24"/>
          <w:szCs w:val="24"/>
        </w:rPr>
        <w:t>2019.</w:t>
      </w:r>
    </w:p>
    <w:p w14:paraId="4D2437F8" w14:textId="77777777" w:rsidR="00A6771F" w:rsidRPr="007B7650" w:rsidRDefault="007B7650" w:rsidP="00E44BB5">
      <w:pPr>
        <w:spacing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>CFA Level 1 Candidate.</w:t>
      </w:r>
    </w:p>
    <w:p w14:paraId="018400A9" w14:textId="3400106B" w:rsidR="000F3F10" w:rsidRDefault="00990E97" w:rsidP="00A6771F">
      <w:pPr>
        <w:spacing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Publications</w:t>
      </w:r>
    </w:p>
    <w:p w14:paraId="1A2B3C01" w14:textId="1A2B3C01" w:rsidR="00990E97" w:rsidRDefault="00990E97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 xml:space="preserve">Forrest, D., McHale, I., Narita, K. and Orujov, A., 2026. Gambling and wellbeing: Uneven gains and deficits across risk levels. </w:t>
      </w:r>
      <w:r>
        <w:rPr>
          <w:rFonts w:ascii="Garamond" w:hAnsi="Garamond" w:cs="Times New Roman"/>
          <w:b/>
          <w:sz w:val="24"/>
          <w:szCs w:val="24"/>
        </w:rPr>
        <w:t xml:space="preserve">Social Science &amp; Medicine, </w:t>
      </w:r>
      <w:r>
        <w:rPr>
          <w:rFonts w:ascii="Garamond" w:hAnsi="Garamond" w:cs="Times New Roman"/>
          <w:bCs/>
          <w:sz w:val="24"/>
          <w:szCs w:val="24"/>
        </w:rPr>
        <w:t>p.119060.</w:t>
      </w:r>
    </w:p>
    <w:p w14:paraId="42F95674" w14:textId="7499FDEA" w:rsidR="00040697" w:rsidRDefault="00040697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>Brownen</w:t>
      </w:r>
      <w:r>
        <w:rPr>
          <w:rFonts w:ascii="Cambria Math" w:hAnsi="Cambria Math" w:cs="Cambria Math"/>
          <w:bCs/>
          <w:sz w:val="24"/>
          <w:szCs w:val="24"/>
        </w:rPr>
        <w:t>‐</w:t>
      </w:r>
      <w:r>
        <w:rPr>
          <w:rFonts w:ascii="Garamond" w:hAnsi="Garamond" w:cs="Times New Roman"/>
          <w:bCs/>
          <w:sz w:val="24"/>
          <w:szCs w:val="24"/>
        </w:rPr>
        <w:t>Trinh, R. and Orujov, A., 2023. Corporate Socio-political Activism and Retail Investors: Evidence from the Black Lives Matter Campaign.</w:t>
      </w:r>
      <w:r>
        <w:rPr>
          <w:rFonts w:ascii="Garamond" w:hAnsi="Garamond" w:cs="Times New Roman"/>
          <w:b/>
          <w:sz w:val="24"/>
          <w:szCs w:val="24"/>
        </w:rPr>
        <w:t xml:space="preserve"> Journal of Corporate Finance, </w:t>
      </w:r>
      <w:r>
        <w:rPr>
          <w:rFonts w:ascii="Garamond" w:hAnsi="Garamond" w:cs="Times New Roman"/>
          <w:bCs/>
          <w:sz w:val="24"/>
          <w:szCs w:val="24"/>
        </w:rPr>
        <w:t>80, 102417.</w:t>
      </w:r>
    </w:p>
    <w:p w14:paraId="7A4EC6F2" w14:textId="7421A4C9" w:rsidR="002B3DEC" w:rsidRPr="002B3DEC" w:rsidRDefault="002B3DEC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 xml:space="preserve">Kang, W., Ashton, J.K., Orujov, A. and Wang, Y., 2022. Realizing Gender Diversity on Corporate Boards. </w:t>
      </w:r>
      <w:r>
        <w:rPr>
          <w:rFonts w:ascii="Garamond" w:hAnsi="Garamond" w:cs="Times New Roman"/>
          <w:b/>
          <w:sz w:val="24"/>
          <w:szCs w:val="24"/>
        </w:rPr>
        <w:t>International Journal of the Economics of Business</w:t>
      </w:r>
      <w:r>
        <w:rPr>
          <w:rFonts w:ascii="Garamond" w:hAnsi="Garamond" w:cs="Times New Roman"/>
          <w:bCs/>
          <w:sz w:val="24"/>
          <w:szCs w:val="24"/>
        </w:rPr>
        <w:t>, pp.1-29.</w:t>
      </w:r>
    </w:p>
    <w:p w14:paraId="4152AD03" w14:textId="1B3E6019" w:rsidR="00074F57" w:rsidRDefault="00990E97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 xml:space="preserve">Acker, D., Orujov, A. and Simpson, H., 2018. Political donations and political risk in the UK: Evidence from a closely-fought election. </w:t>
      </w:r>
      <w:r>
        <w:rPr>
          <w:rFonts w:ascii="Garamond" w:hAnsi="Garamond" w:cs="Times New Roman"/>
          <w:b/>
          <w:sz w:val="24"/>
          <w:szCs w:val="24"/>
        </w:rPr>
        <w:t>Journal of Banking &amp; Finance</w:t>
      </w:r>
      <w:r>
        <w:rPr>
          <w:rFonts w:ascii="Garamond" w:hAnsi="Garamond" w:cs="Times New Roman"/>
          <w:bCs/>
          <w:sz w:val="24"/>
          <w:szCs w:val="24"/>
        </w:rPr>
        <w:t>, 92, pp.146-167.</w:t>
      </w:r>
    </w:p>
    <w:p w14:paraId="5A2E0B5A" w14:textId="4CACA41A" w:rsidR="00990E97" w:rsidRDefault="00990E97" w:rsidP="00990E97">
      <w:pPr>
        <w:spacing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Working Papers</w:t>
      </w:r>
    </w:p>
    <w:p w14:paraId="4EAF4BFC" w14:textId="58648BB1" w:rsidR="008461FD" w:rsidRDefault="008461FD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i/>
          <w:i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>Hemmings, D. and Orujov, A., The word on main street: The value of social media earnings analyses. (</w:t>
      </w:r>
      <w:r>
        <w:rPr>
          <w:rFonts w:ascii="Garamond" w:hAnsi="Garamond" w:cs="Times New Roman"/>
          <w:bCs/>
          <w:i/>
          <w:iCs/>
          <w:sz w:val="24"/>
          <w:szCs w:val="24"/>
        </w:rPr>
        <w:t>Revise and Resubmit, second round – Accounting and Business Research)</w:t>
      </w:r>
      <w:r>
        <w:rPr>
          <w:rFonts w:ascii="Garamond" w:hAnsi="Garamond" w:cs="Times New Roman"/>
          <w:bCs/>
          <w:sz w:val="24"/>
          <w:szCs w:val="24"/>
        </w:rPr>
        <w:t xml:space="preserve"> (</w:t>
      </w:r>
      <w:hyperlink r:id="rId8" w:history="1">
        <w:r>
          <w:rPr>
            <w:rStyle w:val="Hyperlink"/>
            <w:rFonts w:ascii="Garamond" w:hAnsi="Garamond" w:cs="Times New Roman"/>
            <w:bCs/>
            <w:i/>
            <w:iCs/>
            <w:sz w:val="24"/>
            <w:szCs w:val="24"/>
          </w:rPr>
          <w:t>https://papers.ssrn.com/abstract=4428412</w:t>
        </w:r>
      </w:hyperlink>
      <w:r>
        <w:rPr>
          <w:rFonts w:ascii="Garamond" w:hAnsi="Garamond" w:cs="Times New Roman"/>
          <w:bCs/>
          <w:i/>
          <w:iCs/>
          <w:sz w:val="24"/>
          <w:szCs w:val="24"/>
        </w:rPr>
        <w:t>)</w:t>
      </w:r>
    </w:p>
    <w:p w14:paraId="65B32016" w14:textId="50F409B6" w:rsidR="008461FD" w:rsidRDefault="008461FD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i/>
          <w:i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>He, H., Orujov, A., Soner, C., and Zhao, B. Closing Doors, Closing Opportunities? The Impact of Bank Branch Coverage on SMEs (</w:t>
      </w:r>
      <w:r>
        <w:rPr>
          <w:rFonts w:ascii="Garamond" w:hAnsi="Garamond" w:cs="Times New Roman"/>
          <w:bCs/>
          <w:i/>
          <w:iCs/>
          <w:sz w:val="24"/>
          <w:szCs w:val="24"/>
        </w:rPr>
        <w:t>Revise and Resubmit, first round – Regional Studies)</w:t>
      </w:r>
    </w:p>
    <w:p w14:paraId="0DBCEB49" w14:textId="42D863FA" w:rsidR="008461FD" w:rsidRDefault="008461FD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i/>
          <w:i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>Orujov, A., Hemmings, D. A.I. disclosures.</w:t>
      </w:r>
      <w:r>
        <w:rPr>
          <w:rFonts w:ascii="Garamond" w:hAnsi="Garamond" w:cs="Times New Roman"/>
          <w:bCs/>
          <w:i/>
          <w:iCs/>
          <w:sz w:val="24"/>
          <w:szCs w:val="24"/>
        </w:rPr>
        <w:t/>
      </w:r>
    </w:p>
    <w:p w14:paraId="666FFE4C" w14:textId="11EDF74A" w:rsidR="008461FD" w:rsidRPr="008461FD" w:rsidRDefault="008461FD" w:rsidP="008461FD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 xml:space="preserve">Forrest, D., Narita, K., and Orujov, A. Sports Betting Legalisation and Suicide Mortality. (</w:t>
      </w:r>
      <w:r>
        <w:rPr>
          <w:rFonts w:ascii="Garamond" w:hAnsi="Garamond" w:cs="Times New Roman"/>
          <w:bCs/>
          <w:i/>
          <w:iCs/>
          <w:sz w:val="24"/>
          <w:szCs w:val="24"/>
        </w:rPr>
        <w:t>Revise and Resubmit, first round – Health Economics)</w:t>
      </w:r>
      <w:r>
        <w:rPr>
          <w:rFonts w:ascii="Garamond" w:hAnsi="Garamond" w:cs="Times New Roman"/>
          <w:bCs/>
          <w:sz w:val="24"/>
          <w:szCs w:val="24"/>
        </w:rPr>
        <w:t xml:space="preserve"> (</w:t>
      </w:r>
      <w:hyperlink r:id="rId9" w:history="1">
        <w:r>
          <w:rPr>
            <w:rStyle w:val="Hyperlink"/>
            <w:rFonts w:ascii="Garamond" w:hAnsi="Garamond" w:cs="Times New Roman"/>
            <w:bCs/>
            <w:i/>
            <w:iCs/>
            <w:sz w:val="24"/>
            <w:szCs w:val="24"/>
          </w:rPr>
          <w:t>https://papers.ssrn.com/sol3/papers.cfm?abstract_id=5698862</w:t>
        </w:r>
      </w:hyperlink>
      <w:r>
        <w:rPr>
          <w:rFonts w:ascii="Garamond" w:hAnsi="Garamond" w:cs="Times New Roman"/>
          <w:bCs/>
          <w:sz w:val="24"/>
          <w:szCs w:val="24"/>
        </w:rPr>
        <w:t>).</w:t>
      </w:r>
    </w:p>
    <w:p w14:paraId="32A7A275" w14:textId="77777777" w:rsidR="008461FD" w:rsidRPr="008461FD" w:rsidRDefault="008461FD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sz w:val="24"/>
          <w:szCs w:val="24"/>
        </w:rPr>
      </w:pPr>
    </w:p>
    <w:p w14:paraId="287B892F" w14:textId="5ADA317F" w:rsidR="00CA1CA5" w:rsidRDefault="00CA1CA5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lastRenderedPageBreak/>
        <w:t>Forrest, D., McHale, I., Narita, K., and Orujov, A. A Nuanced Analysis of Problem and No-Problem Gambling: Associations with Suicidality and Mental Health.</w:t>
      </w:r>
      <w:r>
        <w:rPr>
          <w:rFonts w:ascii="Garamond" w:hAnsi="Garamond" w:cs="Times New Roman"/>
          <w:bCs/>
          <w:i/>
          <w:iCs/>
          <w:sz w:val="24"/>
          <w:szCs w:val="24"/>
        </w:rPr>
        <w:t/>
      </w:r>
      <w:r>
        <w:rPr>
          <w:rFonts w:ascii="Garamond" w:hAnsi="Garamond" w:cs="Times New Roman"/>
          <w:bCs/>
          <w:sz w:val="24"/>
          <w:szCs w:val="24"/>
        </w:rPr>
        <w:t/>
      </w:r>
    </w:p>
    <w:p w14:paraId="0A138A17" w14:textId="559D03B0" w:rsidR="00CA1CA5" w:rsidRDefault="00CA1CA5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 xml:space="preserve">Orujov, A., R. Brownen-Trinh and M. Pedio, Gambling Legalization and Mutual Fund Managers Risk-Taking, </w:t>
      </w:r>
      <w:r>
        <w:rPr>
          <w:rFonts w:ascii="Garamond" w:hAnsi="Garamond" w:cs="Times New Roman"/>
          <w:bCs/>
          <w:i/>
          <w:iCs/>
          <w:sz w:val="24"/>
          <w:szCs w:val="24"/>
        </w:rPr>
        <w:t/>
      </w:r>
      <w:r>
        <w:rPr>
          <w:rFonts w:ascii="Garamond" w:hAnsi="Garamond" w:cs="Times New Roman"/>
          <w:bCs/>
          <w:sz w:val="24"/>
          <w:szCs w:val="24"/>
        </w:rPr>
        <w:t/>
      </w:r>
      <w:r>
        <w:rPr>
          <w:rFonts w:ascii="Garamond" w:hAnsi="Garamond" w:cs="Times New Roman"/>
          <w:bCs/>
          <w:i/>
          <w:iCs/>
          <w:sz w:val="24"/>
          <w:szCs w:val="24"/>
        </w:rPr>
        <w:t>(</w:t>
      </w:r>
      <w:hyperlink r:id="rId10" w:history="1">
        <w:r>
          <w:rPr>
            <w:rStyle w:val="Hyperlink"/>
            <w:rFonts w:ascii="Garamond" w:hAnsi="Garamond" w:cs="Times New Roman"/>
            <w:bCs/>
            <w:i/>
            <w:iCs/>
            <w:sz w:val="24"/>
            <w:szCs w:val="24"/>
          </w:rPr>
          <w:t>https://papers.ssrn.com/sol3/papers.cfm?abstract_id=5084471</w:t>
        </w:r>
      </w:hyperlink>
      <w:r>
        <w:rPr>
          <w:rFonts w:ascii="Garamond" w:hAnsi="Garamond" w:cs="Times New Roman"/>
          <w:bCs/>
          <w:sz w:val="24"/>
          <w:szCs w:val="24"/>
        </w:rPr>
        <w:t xml:space="preserve">) </w:t>
      </w:r>
    </w:p>
    <w:p w14:paraId="38635F2D" w14:textId="2B6F3B3E" w:rsidR="00040755" w:rsidRDefault="00040755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 xml:space="preserve">Orujov, A. Trading as Gambling During Lockdown: The Role of the Recent Legalization of Sports Betting in the US. </w:t>
      </w:r>
      <w:r>
        <w:rPr>
          <w:rFonts w:ascii="Garamond" w:hAnsi="Garamond" w:cs="Times New Roman"/>
          <w:bCs/>
          <w:i/>
          <w:iCs/>
          <w:sz w:val="24"/>
          <w:szCs w:val="24"/>
        </w:rPr>
        <w:t/>
      </w:r>
      <w:r>
        <w:rPr>
          <w:rFonts w:ascii="Garamond" w:hAnsi="Garamond" w:cs="Times New Roman"/>
          <w:bCs/>
          <w:sz w:val="24"/>
          <w:szCs w:val="24"/>
        </w:rPr>
        <w:t>(</w:t>
      </w:r>
      <w:hyperlink r:id="rId11" w:history="1">
        <w:r>
          <w:rPr>
            <w:rStyle w:val="Hyperlink"/>
            <w:rFonts w:ascii="Garamond" w:hAnsi="Garamond" w:cs="Times New Roman"/>
            <w:bCs/>
            <w:i/>
            <w:iCs/>
            <w:sz w:val="24"/>
            <w:szCs w:val="24"/>
          </w:rPr>
          <w:t>https://papers.ssrn.com/sol3/papers.cfm?abstract_id=4423095</w:t>
        </w:r>
      </w:hyperlink>
      <w:r>
        <w:rPr>
          <w:rFonts w:ascii="Garamond" w:hAnsi="Garamond" w:cs="Times New Roman"/>
          <w:bCs/>
          <w:sz w:val="24"/>
          <w:szCs w:val="24"/>
        </w:rPr>
        <w:t xml:space="preserve">) </w:t>
      </w:r>
    </w:p>
    <w:p w14:paraId="1AFF4278" w14:textId="65407CF5" w:rsidR="008C6719" w:rsidRDefault="008C6719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i/>
          <w:i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>Orujov, A. and Jones, L., Schadenfreude or Support for the Underdog?: How Unexpected Sporting Outcomes Influence Retail Investor Behaviour</w:t>
      </w:r>
      <w:r>
        <w:rPr>
          <w:rFonts w:ascii="Garamond" w:hAnsi="Garamond" w:cs="Times New Roman"/>
          <w:bCs/>
          <w:i/>
          <w:iCs/>
          <w:sz w:val="24"/>
          <w:szCs w:val="24"/>
        </w:rPr>
        <w:t/>
      </w:r>
      <w:r>
        <w:rPr>
          <w:rFonts w:ascii="Garamond" w:hAnsi="Garamond" w:cs="Times New Roman"/>
          <w:bCs/>
          <w:sz w:val="24"/>
          <w:szCs w:val="24"/>
        </w:rPr>
        <w:t xml:space="preserve"> </w:t>
      </w:r>
      <w:r>
        <w:rPr>
          <w:rFonts w:ascii="Garamond" w:hAnsi="Garamond" w:cs="Times New Roman"/>
          <w:bCs/>
          <w:i/>
          <w:iCs/>
          <w:sz w:val="24"/>
          <w:szCs w:val="24"/>
        </w:rPr>
        <w:t>(</w:t>
      </w:r>
      <w:hyperlink r:id="rId12" w:history="1">
        <w:r>
          <w:rPr>
            <w:rStyle w:val="Hyperlink"/>
            <w:rFonts w:ascii="Garamond" w:hAnsi="Garamond" w:cs="Times New Roman"/>
            <w:bCs/>
            <w:i/>
            <w:iCs/>
            <w:sz w:val="24"/>
            <w:szCs w:val="24"/>
          </w:rPr>
          <w:t>https://papers.ssrn.com/sol3/papers.cfm?abstract_id=4423168</w:t>
        </w:r>
      </w:hyperlink>
      <w:r>
        <w:rPr>
          <w:rFonts w:ascii="Garamond" w:hAnsi="Garamond" w:cs="Times New Roman"/>
          <w:bCs/>
          <w:i/>
          <w:iCs/>
          <w:sz w:val="24"/>
          <w:szCs w:val="24"/>
        </w:rPr>
        <w:t xml:space="preserve">) </w:t>
      </w:r>
    </w:p>
    <w:p w14:paraId="79793C95" w14:textId="09BA05D6" w:rsidR="00B52EC4" w:rsidRPr="008C6719" w:rsidRDefault="00B52EC4" w:rsidP="00E44BB5">
      <w:pPr>
        <w:pBdr>
          <w:top w:val="single" w:sz="4" w:space="1" w:color="auto"/>
        </w:pBdr>
        <w:spacing w:line="240" w:lineRule="auto"/>
        <w:rPr>
          <w:rFonts w:ascii="Garamond" w:hAnsi="Garamond" w:cs="Times New Roman"/>
          <w:bCs/>
          <w:i/>
          <w:iCs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>Hemmings, D. and Orujov, A., Does quasi-indexer ownership affect information production? Evidence from earnings conference calls</w:t>
      </w:r>
      <w:r>
        <w:rPr>
          <w:rFonts w:ascii="Garamond" w:hAnsi="Garamond" w:cs="Times New Roman"/>
          <w:bCs/>
          <w:i/>
          <w:iCs/>
          <w:sz w:val="24"/>
          <w:szCs w:val="24"/>
        </w:rPr>
        <w:t/>
      </w:r>
    </w:p>
    <w:p w14:paraId="0B1A13AA" w14:textId="1623D502" w:rsidR="00C92E8D" w:rsidRPr="00625934" w:rsidRDefault="00C92E8D" w:rsidP="00C92E8D">
      <w:pPr>
        <w:spacing w:line="240" w:lineRule="auto"/>
        <w:rPr>
          <w:rFonts w:ascii="Garamond" w:hAnsi="Garamond" w:cs="Times New Roman"/>
          <w:b/>
          <w:sz w:val="32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Funding and grant capture</w:t>
      </w:r>
    </w:p>
    <w:p w14:paraId="43B5A9E4" w14:textId="77777777" w:rsidR="008C6719" w:rsidRDefault="008C6719" w:rsidP="008C6719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Cs/>
          <w:sz w:val="24"/>
          <w:szCs w:val="24"/>
        </w:rPr>
      </w:pPr>
      <w:bookmarkStart w:id="0" w:name="OLE_LINK5"/>
      <w:bookmarkStart w:id="1" w:name="OLE_LINK6"/>
      <w:r>
        <w:rPr>
          <w:rFonts w:ascii="Garamond" w:hAnsi="Garamond" w:cs="Times New Roman"/>
          <w:b/>
          <w:sz w:val="24"/>
          <w:szCs w:val="24"/>
        </w:rPr>
        <w:t xml:space="preserve">British Academy/Leverhulme Small Grant </w:t>
      </w:r>
      <w:r>
        <w:rPr>
          <w:rFonts w:ascii="Garamond" w:hAnsi="Garamond" w:cs="Times New Roman"/>
          <w:bCs/>
          <w:sz w:val="24"/>
          <w:szCs w:val="24"/>
        </w:rPr>
        <w:t xml:space="preserve">(£9,964) </w:t>
      </w:r>
      <w:r>
        <w:rPr>
          <w:rFonts w:ascii="Garamond" w:hAnsi="Garamond" w:cs="Times New Roman"/>
          <w:b/>
          <w:sz w:val="24"/>
          <w:szCs w:val="24"/>
        </w:rPr>
        <w:t xml:space="preserve">awarded </w:t>
      </w:r>
      <w:r>
        <w:rPr>
          <w:rFonts w:ascii="Garamond" w:hAnsi="Garamond" w:cs="Times New Roman"/>
          <w:bCs/>
          <w:sz w:val="24"/>
          <w:szCs w:val="24"/>
        </w:rPr>
        <w:t xml:space="preserve">in 2023 to cover expenses for the project </w:t>
      </w:r>
      <w:r>
        <w:rPr>
          <w:rFonts w:ascii="Garamond" w:hAnsi="Garamond" w:cs="Times New Roman"/>
          <w:bCs/>
          <w:i/>
          <w:iCs/>
          <w:sz w:val="24"/>
          <w:szCs w:val="24"/>
        </w:rPr>
        <w:t xml:space="preserve">The Impacts of Bank Branch Closures on SME performance: Evidence from the UK </w:t>
      </w:r>
      <w:r>
        <w:rPr>
          <w:rFonts w:ascii="Garamond" w:hAnsi="Garamond" w:cs="Times New Roman"/>
          <w:bCs/>
          <w:sz w:val="24"/>
          <w:szCs w:val="24"/>
        </w:rPr>
        <w:t>(with B.Zhao and H.He).</w:t>
      </w:r>
    </w:p>
    <w:p w14:paraId="04C99068" w14:textId="77777777" w:rsidR="008C6719" w:rsidRDefault="008C6719" w:rsidP="008318FB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/>
          <w:sz w:val="24"/>
          <w:szCs w:val="24"/>
        </w:rPr>
      </w:pPr>
    </w:p>
    <w:p w14:paraId="6A684E9D" w14:textId="2B436DF1" w:rsidR="008318FB" w:rsidRPr="008C6719" w:rsidRDefault="008318FB" w:rsidP="00C92E8D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Cs/>
          <w:i/>
          <w:iCs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 xml:space="preserve">Bangor University College Seed Funding </w:t>
      </w:r>
      <w:r>
        <w:rPr>
          <w:rFonts w:ascii="Garamond" w:hAnsi="Garamond" w:cs="Times New Roman"/>
          <w:bCs/>
          <w:sz w:val="24"/>
          <w:szCs w:val="24"/>
        </w:rPr>
        <w:t xml:space="preserve">(£2,420) </w:t>
      </w:r>
      <w:r>
        <w:rPr>
          <w:rFonts w:ascii="Garamond" w:hAnsi="Garamond" w:cs="Times New Roman"/>
          <w:b/>
          <w:sz w:val="24"/>
          <w:szCs w:val="24"/>
        </w:rPr>
        <w:t xml:space="preserve">awarded </w:t>
      </w:r>
      <w:r>
        <w:rPr>
          <w:rFonts w:ascii="Garamond" w:hAnsi="Garamond" w:cs="Times New Roman"/>
          <w:bCs/>
          <w:sz w:val="24"/>
          <w:szCs w:val="24"/>
        </w:rPr>
        <w:t xml:space="preserve">in 2023 to cover expenses for the project </w:t>
      </w:r>
      <w:r>
        <w:rPr>
          <w:rFonts w:ascii="Garamond" w:hAnsi="Garamond" w:cs="Times New Roman"/>
          <w:bCs/>
          <w:i/>
          <w:iCs/>
          <w:sz w:val="24"/>
          <w:szCs w:val="24"/>
        </w:rPr>
        <w:t xml:space="preserve">Relationship between title sponsorship in sports tournaments, firm valuation and investor behaviour – has been spent on Data collection </w:t>
      </w:r>
      <w:bookmarkEnd w:id="0"/>
      <w:bookmarkEnd w:id="1"/>
    </w:p>
    <w:p w14:paraId="4610DD5F" w14:textId="77777777" w:rsidR="007C1C12" w:rsidRDefault="007C1C12" w:rsidP="007C1C12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Cs/>
          <w:i/>
          <w:iCs/>
          <w:sz w:val="24"/>
          <w:szCs w:val="24"/>
        </w:rPr>
      </w:pPr>
    </w:p>
    <w:p w14:paraId="719AEDF0" w14:textId="77777777" w:rsidR="00E44BB5" w:rsidRPr="00625934" w:rsidRDefault="00625934" w:rsidP="00A6771F">
      <w:pPr>
        <w:spacing w:line="240" w:lineRule="auto"/>
        <w:rPr>
          <w:rFonts w:ascii="Garamond" w:hAnsi="Garamond" w:cs="Times New Roman"/>
          <w:b/>
          <w:sz w:val="32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Teaching and Other Academic Experience</w:t>
      </w:r>
    </w:p>
    <w:p w14:paraId="5359B1AC" w14:textId="0BDF826A" w:rsidR="00C36C21" w:rsidRDefault="00C36C21" w:rsidP="00625934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>Lecturer in Analytics, University of Liverpool Management School, 2025-present</w:t>
      </w:r>
    </w:p>
    <w:p w14:paraId="7AFB0205" w14:textId="411BC1B6" w:rsidR="00C36C21" w:rsidRDefault="00C36C21" w:rsidP="00C36C21">
      <w:pPr>
        <w:pBdr>
          <w:top w:val="single" w:sz="4" w:space="1" w:color="auto"/>
        </w:pBdr>
        <w:spacing w:after="0" w:line="240" w:lineRule="auto"/>
        <w:ind w:firstLine="720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Cs/>
          <w:sz w:val="24"/>
          <w:szCs w:val="24"/>
        </w:rPr>
        <w:t>I teach ULMS859 Sports Business and Management, ULMS744 Sports Data Analytics in Practice, ULMS726 Sports Marketing and Sponsorship, and ULMS562 Business Analytics for Organisations. I also do gambling-related research as part of the Centre for Sports Business and Strategy, International Business and Entrepreneurship (SIBE) group. The MSc eSports Business programme, for which I serve as Director of Studies, is currently going through the University’s approval process for a September 2026 launch.</w:t>
      </w:r>
    </w:p>
    <w:p w14:paraId="3C2D00FC" w14:textId="77777777" w:rsidR="00C36C21" w:rsidRDefault="00C36C21" w:rsidP="00625934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/>
          <w:sz w:val="24"/>
          <w:szCs w:val="24"/>
        </w:rPr>
      </w:pPr>
    </w:p>
    <w:p w14:paraId="597BDC6D" w14:textId="2F6C2B2B" w:rsidR="003D1E50" w:rsidRPr="00C36C21" w:rsidRDefault="003D1E50" w:rsidP="00625934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>Post-Doctoral Research Associate, University of Liverpool Management School, 2024-2025</w:t>
      </w:r>
    </w:p>
    <w:p w14:paraId="1BA87072" w14:textId="77777777" w:rsidR="003D1E50" w:rsidRPr="003D1E50" w:rsidRDefault="003D1E50" w:rsidP="00625934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Cs/>
          <w:sz w:val="24"/>
          <w:szCs w:val="24"/>
        </w:rPr>
      </w:pPr>
    </w:p>
    <w:p w14:paraId="5FA7103D" w14:textId="09B133B5" w:rsidR="00D53DCF" w:rsidRDefault="00D53DCF" w:rsidP="00625934">
      <w:pPr>
        <w:pBdr>
          <w:top w:val="single" w:sz="4" w:space="1" w:color="auto"/>
        </w:pBdr>
        <w:spacing w:after="0"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>Lecturer in Finance, Bangor University, 2016-2025</w:t>
      </w:r>
    </w:p>
    <w:p w14:paraId="2726DE56" w14:textId="09280254" w:rsidR="00D53DCF" w:rsidRDefault="00811163" w:rsidP="00D53DCF">
      <w:pPr>
        <w:spacing w:after="0" w:line="240" w:lineRule="auto"/>
        <w:ind w:left="72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I teach </w:t>
      </w:r>
      <w:r>
        <w:rPr>
          <w:rFonts w:ascii="Garamond" w:hAnsi="Garamond" w:cs="Times New Roman"/>
          <w:i/>
          <w:sz w:val="24"/>
          <w:szCs w:val="24"/>
        </w:rPr>
        <w:t>Advanced Corporate Finance</w:t>
      </w:r>
      <w:r>
        <w:rPr>
          <w:rFonts w:ascii="Garamond" w:hAnsi="Garamond" w:cs="Times New Roman"/>
          <w:sz w:val="24"/>
          <w:szCs w:val="24"/>
        </w:rPr>
        <w:t xml:space="preserve"> (3</w:t>
      </w:r>
      <w:r>
        <w:rPr>
          <w:rFonts w:ascii="Garamond" w:hAnsi="Garamond" w:cs="Times New Roman"/>
          <w:sz w:val="24"/>
          <w:szCs w:val="24"/>
          <w:vertAlign w:val="superscript"/>
        </w:rPr>
        <w:t>rd</w:t>
      </w:r>
      <w:r>
        <w:rPr>
          <w:rFonts w:ascii="Garamond" w:hAnsi="Garamond" w:cs="Times New Roman"/>
          <w:sz w:val="24"/>
          <w:szCs w:val="24"/>
        </w:rPr>
        <w:t xml:space="preserve"> Year UG), </w:t>
      </w:r>
      <w:r>
        <w:rPr>
          <w:rFonts w:ascii="Garamond" w:hAnsi="Garamond" w:cs="Times New Roman"/>
          <w:i/>
          <w:sz w:val="24"/>
          <w:szCs w:val="24"/>
        </w:rPr>
        <w:t xml:space="preserve">Financial Techniques and Analysis </w:t>
      </w:r>
      <w:r>
        <w:rPr>
          <w:rFonts w:ascii="Garamond" w:hAnsi="Garamond" w:cs="Times New Roman"/>
          <w:sz w:val="24"/>
          <w:szCs w:val="24"/>
        </w:rPr>
        <w:t>(1</w:t>
      </w:r>
      <w:r>
        <w:rPr>
          <w:rFonts w:ascii="Garamond" w:hAnsi="Garamond" w:cs="Times New Roman"/>
          <w:sz w:val="24"/>
          <w:szCs w:val="24"/>
          <w:vertAlign w:val="superscript"/>
        </w:rPr>
        <w:t>st</w:t>
      </w:r>
      <w:r>
        <w:rPr>
          <w:rFonts w:ascii="Garamond" w:hAnsi="Garamond" w:cs="Times New Roman"/>
          <w:sz w:val="24"/>
          <w:szCs w:val="24"/>
        </w:rPr>
        <w:t xml:space="preserve"> year UG), </w:t>
      </w:r>
      <w:r>
        <w:rPr>
          <w:rFonts w:ascii="Garamond" w:hAnsi="Garamond" w:cs="Times New Roman"/>
          <w:i/>
          <w:iCs/>
          <w:sz w:val="24"/>
          <w:szCs w:val="24"/>
        </w:rPr>
        <w:t xml:space="preserve">Corporate Finance </w:t>
      </w:r>
      <w:r>
        <w:rPr>
          <w:rFonts w:ascii="Garamond" w:hAnsi="Garamond" w:cs="Times New Roman"/>
          <w:sz w:val="24"/>
          <w:szCs w:val="24"/>
        </w:rPr>
        <w:t>and</w:t>
      </w:r>
      <w:r>
        <w:rPr>
          <w:rFonts w:ascii="Garamond" w:hAnsi="Garamond" w:cs="Times New Roman"/>
          <w:i/>
          <w:iCs/>
          <w:sz w:val="24"/>
          <w:szCs w:val="24"/>
        </w:rPr>
        <w:t xml:space="preserve"> Green and Sustainable Finance </w:t>
      </w:r>
      <w:r>
        <w:rPr>
          <w:rFonts w:ascii="Garamond" w:hAnsi="Garamond" w:cs="Times New Roman"/>
          <w:sz w:val="24"/>
          <w:szCs w:val="24"/>
        </w:rPr>
        <w:t>(Chartered Banker MBA).</w:t>
      </w:r>
    </w:p>
    <w:p w14:paraId="1B89AF88" w14:textId="0C41F175" w:rsidR="007A4EB5" w:rsidRDefault="007A4EB5" w:rsidP="007A4EB5">
      <w:pPr>
        <w:spacing w:after="0" w:line="240" w:lineRule="auto"/>
        <w:rPr>
          <w:rFonts w:ascii="Garamond" w:hAnsi="Garamond" w:cs="Times New Roman"/>
          <w:sz w:val="24"/>
          <w:szCs w:val="24"/>
        </w:rPr>
      </w:pPr>
    </w:p>
    <w:p w14:paraId="1D28436E" w14:textId="1E4553D7" w:rsidR="007A4EB5" w:rsidRPr="004022BD" w:rsidRDefault="007A4EB5" w:rsidP="007A4EB5">
      <w:pPr>
        <w:spacing w:after="0" w:line="240" w:lineRule="auto"/>
        <w:rPr>
          <w:rFonts w:ascii="Garamond" w:hAnsi="Garamond" w:cs="Times New Roman"/>
          <w:b/>
          <w:bCs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MSc Dissertation supervisor, University of Bristol, 2019-2025</w:t>
      </w:r>
    </w:p>
    <w:p w14:paraId="192C4B7B" w14:textId="77777777" w:rsidR="00D53DCF" w:rsidRPr="00D53DCF" w:rsidRDefault="00D53DCF" w:rsidP="00D53DCF">
      <w:pPr>
        <w:spacing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ab/>
      </w:r>
    </w:p>
    <w:p w14:paraId="5358770A" w14:textId="77777777" w:rsidR="00625934" w:rsidRPr="00A6771F" w:rsidRDefault="00E44BB5" w:rsidP="00D53DCF">
      <w:pPr>
        <w:spacing w:after="0"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>Teaching Assistant, University of Bristol, 2011-2016</w:t>
      </w:r>
    </w:p>
    <w:p w14:paraId="03DB8DCF" w14:textId="77777777" w:rsidR="00625934" w:rsidRPr="00EA154E" w:rsidRDefault="00625934" w:rsidP="00625934">
      <w:pPr>
        <w:spacing w:after="0" w:line="240" w:lineRule="auto"/>
        <w:ind w:left="72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Taught </w:t>
      </w:r>
      <w:r>
        <w:rPr>
          <w:rFonts w:ascii="Garamond" w:hAnsi="Garamond" w:cs="Times New Roman"/>
          <w:i/>
          <w:sz w:val="24"/>
          <w:szCs w:val="24"/>
        </w:rPr>
        <w:t>Pre-sessional Maths Course</w:t>
      </w:r>
      <w:r>
        <w:rPr>
          <w:rFonts w:ascii="Garamond" w:hAnsi="Garamond" w:cs="Times New Roman"/>
          <w:sz w:val="24"/>
          <w:szCs w:val="24"/>
        </w:rPr>
        <w:t xml:space="preserve">, </w:t>
      </w:r>
      <w:r>
        <w:rPr>
          <w:rFonts w:ascii="Garamond" w:hAnsi="Garamond" w:cs="Times New Roman"/>
          <w:i/>
          <w:sz w:val="24"/>
          <w:szCs w:val="24"/>
        </w:rPr>
        <w:t>International Financial Accounting</w:t>
      </w:r>
      <w:r>
        <w:rPr>
          <w:rFonts w:ascii="Garamond" w:hAnsi="Garamond" w:cs="Times New Roman"/>
          <w:sz w:val="24"/>
          <w:szCs w:val="24"/>
        </w:rPr>
        <w:t xml:space="preserve">, </w:t>
      </w:r>
      <w:r>
        <w:rPr>
          <w:rFonts w:ascii="Garamond" w:hAnsi="Garamond" w:cs="Times New Roman"/>
          <w:i/>
          <w:sz w:val="24"/>
          <w:szCs w:val="24"/>
        </w:rPr>
        <w:t>International Finance</w:t>
      </w:r>
      <w:r>
        <w:rPr>
          <w:rFonts w:ascii="Garamond" w:hAnsi="Garamond" w:cs="Times New Roman"/>
          <w:sz w:val="24"/>
          <w:szCs w:val="24"/>
        </w:rPr>
        <w:t xml:space="preserve"> (all MSc), </w:t>
      </w:r>
      <w:r>
        <w:rPr>
          <w:rFonts w:ascii="Garamond" w:hAnsi="Garamond" w:cs="Times New Roman"/>
          <w:i/>
          <w:sz w:val="24"/>
          <w:szCs w:val="24"/>
        </w:rPr>
        <w:t>Corporate Finance</w:t>
      </w:r>
      <w:r>
        <w:rPr>
          <w:rFonts w:ascii="Garamond" w:hAnsi="Garamond" w:cs="Times New Roman"/>
          <w:sz w:val="24"/>
          <w:szCs w:val="24"/>
        </w:rPr>
        <w:t xml:space="preserve"> (2</w:t>
      </w:r>
      <w:r>
        <w:rPr>
          <w:rFonts w:ascii="Garamond" w:hAnsi="Garamond" w:cs="Times New Roman"/>
          <w:sz w:val="24"/>
          <w:szCs w:val="24"/>
          <w:vertAlign w:val="superscript"/>
        </w:rPr>
        <w:t>nd</w:t>
      </w:r>
      <w:r>
        <w:rPr>
          <w:rFonts w:ascii="Garamond" w:hAnsi="Garamond" w:cs="Times New Roman"/>
          <w:sz w:val="24"/>
          <w:szCs w:val="24"/>
        </w:rPr>
        <w:t xml:space="preserve"> Year UG) and </w:t>
      </w:r>
      <w:r>
        <w:rPr>
          <w:rFonts w:ascii="Garamond" w:hAnsi="Garamond" w:cs="Times New Roman"/>
          <w:i/>
          <w:sz w:val="24"/>
          <w:szCs w:val="24"/>
        </w:rPr>
        <w:t>Financial Markets</w:t>
      </w:r>
      <w:r>
        <w:rPr>
          <w:rFonts w:ascii="Garamond" w:hAnsi="Garamond" w:cs="Times New Roman"/>
          <w:sz w:val="24"/>
          <w:szCs w:val="24"/>
        </w:rPr>
        <w:t xml:space="preserve"> (3</w:t>
      </w:r>
      <w:r>
        <w:rPr>
          <w:rFonts w:ascii="Garamond" w:hAnsi="Garamond" w:cs="Times New Roman"/>
          <w:sz w:val="24"/>
          <w:szCs w:val="24"/>
          <w:vertAlign w:val="superscript"/>
        </w:rPr>
        <w:t>rd</w:t>
      </w:r>
      <w:r>
        <w:rPr>
          <w:rFonts w:ascii="Garamond" w:hAnsi="Garamond" w:cs="Times New Roman"/>
          <w:sz w:val="24"/>
          <w:szCs w:val="24"/>
        </w:rPr>
        <w:t xml:space="preserve"> Year UG) courses.</w:t>
      </w:r>
    </w:p>
    <w:p w14:paraId="46A5A49C" w14:textId="77777777" w:rsidR="00EA154E" w:rsidRPr="00A6771F" w:rsidRDefault="00EA154E" w:rsidP="00EA154E">
      <w:pPr>
        <w:spacing w:before="240" w:after="0"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lastRenderedPageBreak/>
        <w:t>Instructor, MSc Dissertation Helpdesk, 2014-2015.</w:t>
      </w:r>
    </w:p>
    <w:p w14:paraId="5BA8C7EA" w14:textId="1B8B76E9" w:rsidR="00F233D9" w:rsidRDefault="00EA154E" w:rsidP="00F233D9">
      <w:pPr>
        <w:spacing w:before="240"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>Research Assistant</w:t>
      </w:r>
      <w:r>
        <w:rPr>
          <w:rFonts w:ascii="Garamond" w:hAnsi="Garamond" w:cs="Times New Roman"/>
          <w:sz w:val="24"/>
          <w:szCs w:val="24"/>
        </w:rPr>
        <w:t xml:space="preserve"> for the Centre for Market and Public Organisation, </w:t>
      </w:r>
      <w:r>
        <w:rPr>
          <w:rFonts w:ascii="Garamond" w:hAnsi="Garamond" w:cs="Times New Roman"/>
          <w:b/>
          <w:sz w:val="24"/>
          <w:szCs w:val="24"/>
        </w:rPr>
        <w:t>University of Bristol</w:t>
      </w:r>
      <w:r>
        <w:rPr>
          <w:rFonts w:ascii="Garamond" w:hAnsi="Garamond" w:cs="Times New Roman"/>
          <w:sz w:val="24"/>
          <w:szCs w:val="24"/>
        </w:rPr>
        <w:t xml:space="preserve"> (09/2014-03/2015) and for Professor Helen Simpson (04/2015-09/2015).</w:t>
      </w:r>
    </w:p>
    <w:p w14:paraId="1436543D" w14:textId="1ACB28FE" w:rsidR="00B8477C" w:rsidRDefault="00B8477C" w:rsidP="00F233D9">
      <w:pPr>
        <w:spacing w:before="240" w:after="0" w:line="240" w:lineRule="auto"/>
        <w:rPr>
          <w:rFonts w:ascii="Garamond" w:hAnsi="Garamond" w:cs="Times New Roman"/>
          <w:b/>
          <w:bCs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Successfully supervised 1 PhD student to completion.</w:t>
      </w:r>
    </w:p>
    <w:p w14:paraId="06C5D13F" w14:textId="6EF296BC" w:rsidR="008318FB" w:rsidRDefault="00B8477C" w:rsidP="008318FB">
      <w:pPr>
        <w:spacing w:before="24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 xml:space="preserve">Journal Refereeing – </w:t>
      </w:r>
      <w:r>
        <w:rPr>
          <w:rFonts w:ascii="Garamond" w:hAnsi="Garamond" w:cs="Times New Roman"/>
          <w:sz w:val="24"/>
          <w:szCs w:val="24"/>
        </w:rPr>
        <w:t>Journal of Corporate Finance, British Accounting Review, International Review of Financial Analysis, Applied Economics, European Journal of Finance, International Journal of Sports Marketing and Sponsorship.</w:t>
      </w:r>
    </w:p>
    <w:p w14:paraId="4030647A" w14:textId="6876C07B" w:rsidR="00633C47" w:rsidRDefault="00633C47" w:rsidP="008318FB">
      <w:pPr>
        <w:pBdr>
          <w:bottom w:val="single" w:sz="4" w:space="1" w:color="auto"/>
        </w:pBdr>
        <w:spacing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Administrative Experience</w:t>
      </w:r>
    </w:p>
    <w:p w14:paraId="3C9189FF" w14:textId="556A97B4" w:rsidR="00235F7E" w:rsidRPr="00235F7E" w:rsidRDefault="00235F7E" w:rsidP="00F233D9">
      <w:pPr>
        <w:spacing w:before="240"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 xml:space="preserve">Director of Studies, MSc eSports Business, </w:t>
      </w:r>
      <w:r>
        <w:rPr>
          <w:rFonts w:ascii="Garamond" w:hAnsi="Garamond" w:cs="Times New Roman"/>
          <w:sz w:val="24"/>
          <w:szCs w:val="24"/>
        </w:rPr>
        <w:t>Liverpool University Management School, 2025 - current</w:t>
      </w:r>
    </w:p>
    <w:p w14:paraId="73B6B98B" w14:textId="3FA51E8B" w:rsidR="00633C47" w:rsidRDefault="00C93B84" w:rsidP="00F233D9">
      <w:pPr>
        <w:spacing w:before="240"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Research Seminar Organizer (Internal and External)</w:t>
      </w:r>
      <w:r>
        <w:rPr>
          <w:rFonts w:ascii="Garamond" w:hAnsi="Garamond" w:cs="Times New Roman"/>
          <w:sz w:val="24"/>
          <w:szCs w:val="24"/>
        </w:rPr>
        <w:t>, Bangor Business School, 2020-2025.</w:t>
      </w:r>
    </w:p>
    <w:p w14:paraId="59791C2E" w14:textId="1915F5DD" w:rsidR="00062560" w:rsidRPr="00062560" w:rsidRDefault="00062560" w:rsidP="00F233D9">
      <w:pPr>
        <w:spacing w:before="240"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 xml:space="preserve">Welsh Quarterly Finance Seminar Series </w:t>
      </w:r>
      <w:r>
        <w:rPr>
          <w:rFonts w:ascii="Garamond" w:hAnsi="Garamond" w:cs="Times New Roman"/>
          <w:sz w:val="24"/>
          <w:szCs w:val="24"/>
        </w:rPr>
        <w:t>co-organizer, in cooperation between Bangor University, Cardiff University, Aberystwyth University and Swansea University (2023–2025)</w:t>
      </w:r>
    </w:p>
    <w:p w14:paraId="332EB039" w14:textId="2E533F5E" w:rsidR="009C4202" w:rsidRDefault="009C4202" w:rsidP="00F233D9">
      <w:pPr>
        <w:spacing w:before="240"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School Welcome Week Organizer</w:t>
      </w:r>
      <w:r>
        <w:rPr>
          <w:rFonts w:ascii="Garamond" w:hAnsi="Garamond" w:cs="Times New Roman"/>
          <w:sz w:val="24"/>
          <w:szCs w:val="24"/>
        </w:rPr>
        <w:t xml:space="preserve">, </w:t>
      </w:r>
      <w:bookmarkStart w:id="2" w:name="OLE_LINK1"/>
      <w:bookmarkStart w:id="3" w:name="OLE_LINK2"/>
      <w:r>
        <w:rPr>
          <w:rFonts w:ascii="Garamond" w:hAnsi="Garamond" w:cs="Times New Roman"/>
          <w:sz w:val="24"/>
          <w:szCs w:val="24"/>
        </w:rPr>
        <w:t>Bangor Business School</w:t>
      </w:r>
      <w:bookmarkEnd w:id="2"/>
      <w:bookmarkEnd w:id="3"/>
      <w:r>
        <w:rPr>
          <w:rFonts w:ascii="Garamond" w:hAnsi="Garamond" w:cs="Times New Roman"/>
          <w:sz w:val="24"/>
          <w:szCs w:val="24"/>
        </w:rPr>
        <w:t>, 2021-2025.</w:t>
      </w:r>
    </w:p>
    <w:p w14:paraId="38568480" w14:textId="29E8A564" w:rsidR="009C4202" w:rsidRDefault="009C4202" w:rsidP="00F233D9">
      <w:pPr>
        <w:spacing w:before="240"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Peer Guide Coordinator</w:t>
      </w:r>
      <w:r>
        <w:rPr>
          <w:rFonts w:ascii="Garamond" w:hAnsi="Garamond" w:cs="Times New Roman"/>
          <w:sz w:val="24"/>
          <w:szCs w:val="24"/>
        </w:rPr>
        <w:t>, Bangor Business School, 2022-2025.</w:t>
      </w:r>
    </w:p>
    <w:p w14:paraId="6B6EA65F" w14:textId="5AE4F51D" w:rsidR="00633C47" w:rsidRDefault="00633C47" w:rsidP="00F233D9">
      <w:pPr>
        <w:spacing w:before="240"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Chartered Institute of Securities and Investment (CISI) student exam officer</w:t>
      </w:r>
      <w:r>
        <w:rPr>
          <w:rFonts w:ascii="Garamond" w:hAnsi="Garamond" w:cs="Times New Roman"/>
          <w:sz w:val="24"/>
          <w:szCs w:val="24"/>
        </w:rPr>
        <w:t>, Bangor Business School. 2019-2023.</w:t>
      </w:r>
    </w:p>
    <w:p w14:paraId="64C9A8D1" w14:textId="5D1DB1E3" w:rsidR="00633C47" w:rsidRDefault="00633C47" w:rsidP="00F233D9">
      <w:pPr>
        <w:spacing w:before="240" w:after="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BSc Accounting and Finance programme re-validation champion</w:t>
      </w:r>
      <w:r>
        <w:rPr>
          <w:rFonts w:ascii="Garamond" w:hAnsi="Garamond" w:cs="Times New Roman"/>
          <w:sz w:val="24"/>
          <w:szCs w:val="24"/>
        </w:rPr>
        <w:t>, Bangor Business School, 2021.</w:t>
      </w:r>
    </w:p>
    <w:p w14:paraId="24AF368A" w14:textId="118E66DD" w:rsidR="00404BC9" w:rsidRDefault="009C4202" w:rsidP="008318FB">
      <w:pPr>
        <w:spacing w:before="240"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Telangana State (India) Curriculum Development</w:t>
      </w:r>
      <w:r>
        <w:rPr>
          <w:rFonts w:ascii="Garamond" w:hAnsi="Garamond" w:cs="Times New Roman"/>
          <w:sz w:val="24"/>
          <w:szCs w:val="24"/>
        </w:rPr>
        <w:t>, Finance Area Expert, 2022-2025.</w:t>
      </w:r>
    </w:p>
    <w:p w14:paraId="285E025A" w14:textId="77777777" w:rsidR="00C263E8" w:rsidRDefault="00EE6B91" w:rsidP="008318FB">
      <w:pPr>
        <w:pBdr>
          <w:bottom w:val="single" w:sz="4" w:space="1" w:color="auto"/>
        </w:pBdr>
        <w:spacing w:line="240" w:lineRule="auto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Awards and Scholarships</w:t>
      </w:r>
    </w:p>
    <w:p w14:paraId="398D0A64" w14:textId="77777777" w:rsidR="00C263E8" w:rsidRDefault="00C263E8" w:rsidP="00F233D9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University of Bristol, Department of Accounting and Finance PhD Bursary, 2011-2014.</w:t>
      </w:r>
    </w:p>
    <w:p w14:paraId="5B74C268" w14:textId="77777777" w:rsidR="000C1544" w:rsidRDefault="000C1544" w:rsidP="00F233D9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State Scholarship for scoring in the top 5 percentile (countrywide) - university entry exams, 2006-2010.</w:t>
      </w:r>
    </w:p>
    <w:p w14:paraId="2952E5BA" w14:textId="77777777" w:rsidR="00493322" w:rsidRDefault="00493322" w:rsidP="00F233D9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Finalist – Econometric Game (as part of the University of Bristol team), Amsterdam, 2012.</w:t>
      </w:r>
    </w:p>
    <w:p w14:paraId="6C43D128" w14:textId="0BEF9A6D" w:rsidR="00371433" w:rsidRPr="00493322" w:rsidRDefault="00A00920" w:rsidP="00F233D9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Highest average grade among all MSc Peers in 2011 – 77.</w:t>
      </w:r>
    </w:p>
    <w:p w14:paraId="00BBDB67" w14:textId="77777777" w:rsidR="00BB02A5" w:rsidRDefault="00BB02A5" w:rsidP="00BB02A5">
      <w:pPr>
        <w:pBdr>
          <w:bottom w:val="single" w:sz="4" w:space="1" w:color="auto"/>
        </w:pBdr>
        <w:spacing w:line="240" w:lineRule="auto"/>
        <w:rPr>
          <w:rFonts w:ascii="Garamond" w:hAnsi="Garamond" w:cs="Times New Roman"/>
          <w:b/>
          <w:sz w:val="32"/>
          <w:szCs w:val="24"/>
        </w:rPr>
      </w:pPr>
      <w:r>
        <w:rPr>
          <w:rFonts w:ascii="Garamond" w:hAnsi="Garamond" w:cs="Times New Roman"/>
          <w:b/>
          <w:sz w:val="32"/>
          <w:szCs w:val="24"/>
        </w:rPr>
        <w:t>Corporate Employment</w:t>
      </w:r>
    </w:p>
    <w:p w14:paraId="41DCB93D" w14:textId="77777777" w:rsidR="00BB02A5" w:rsidRDefault="00BB02A5" w:rsidP="00BB02A5">
      <w:pPr>
        <w:spacing w:line="240" w:lineRule="auto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b/>
          <w:sz w:val="24"/>
          <w:szCs w:val="24"/>
        </w:rPr>
        <w:t xml:space="preserve">Analyst, Corporate Credit Department, AtraBank, </w:t>
      </w:r>
      <w:r>
        <w:rPr>
          <w:rFonts w:ascii="Garamond" w:hAnsi="Garamond" w:cs="Times New Roman"/>
          <w:sz w:val="24"/>
          <w:szCs w:val="24"/>
        </w:rPr>
        <w:t>Baku, Azerbaijan, 2010.</w:t>
      </w:r>
    </w:p>
    <w:p w14:paraId="1926FDCF" w14:textId="77777777" w:rsidR="00ED7468" w:rsidRPr="00532A17" w:rsidRDefault="00ED7468" w:rsidP="00532A17">
      <w:pPr>
        <w:pStyle w:val="ListParagraph"/>
        <w:ind w:left="0"/>
        <w:jc w:val="both"/>
        <w:rPr>
          <w:rFonts w:ascii="Garamond" w:hAnsi="Garamond" w:cs="Times New Roman"/>
          <w:sz w:val="24"/>
          <w:szCs w:val="24"/>
        </w:rPr>
      </w:pPr>
    </w:p>
    <w:sectPr w:rsidR="00ED7468" w:rsidRPr="00532A17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5152" w14:textId="77777777" w:rsidR="00734EC7" w:rsidRDefault="00734EC7" w:rsidP="001057B3">
      <w:pPr>
        <w:spacing w:after="0" w:line="240" w:lineRule="auto"/>
      </w:pPr>
      <w:r>
        <w:separator/>
      </w:r>
    </w:p>
  </w:endnote>
  <w:endnote w:type="continuationSeparator" w:id="0">
    <w:p w14:paraId="73D602E0" w14:textId="77777777" w:rsidR="00734EC7" w:rsidRDefault="00734EC7" w:rsidP="0010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086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2C169D" w14:textId="77777777" w:rsidR="001057B3" w:rsidRDefault="001057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562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6C3AE9" w14:textId="77777777" w:rsidR="001057B3" w:rsidRDefault="00105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96DB6" w14:textId="77777777" w:rsidR="00734EC7" w:rsidRDefault="00734EC7" w:rsidP="001057B3">
      <w:pPr>
        <w:spacing w:after="0" w:line="240" w:lineRule="auto"/>
      </w:pPr>
      <w:r>
        <w:separator/>
      </w:r>
    </w:p>
  </w:footnote>
  <w:footnote w:type="continuationSeparator" w:id="0">
    <w:p w14:paraId="3FE8CA9F" w14:textId="77777777" w:rsidR="00734EC7" w:rsidRDefault="00734EC7" w:rsidP="00105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0E"/>
    <w:multiLevelType w:val="hybridMultilevel"/>
    <w:tmpl w:val="621EA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E3507"/>
    <w:multiLevelType w:val="hybridMultilevel"/>
    <w:tmpl w:val="366E8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5774C"/>
    <w:multiLevelType w:val="hybridMultilevel"/>
    <w:tmpl w:val="D346B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E62F2"/>
    <w:multiLevelType w:val="hybridMultilevel"/>
    <w:tmpl w:val="63C6F7A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625C41"/>
    <w:multiLevelType w:val="hybridMultilevel"/>
    <w:tmpl w:val="DE7A9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A04BC"/>
    <w:multiLevelType w:val="hybridMultilevel"/>
    <w:tmpl w:val="A54852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170C2B"/>
    <w:multiLevelType w:val="hybridMultilevel"/>
    <w:tmpl w:val="ECE25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53457"/>
    <w:multiLevelType w:val="hybridMultilevel"/>
    <w:tmpl w:val="666CC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57A7C"/>
    <w:multiLevelType w:val="hybridMultilevel"/>
    <w:tmpl w:val="C55E2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060CD"/>
    <w:multiLevelType w:val="hybridMultilevel"/>
    <w:tmpl w:val="C92EA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438A5"/>
    <w:multiLevelType w:val="hybridMultilevel"/>
    <w:tmpl w:val="B2C6C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839571">
    <w:abstractNumId w:val="4"/>
  </w:num>
  <w:num w:numId="2" w16cid:durableId="757336887">
    <w:abstractNumId w:val="3"/>
  </w:num>
  <w:num w:numId="3" w16cid:durableId="1775520382">
    <w:abstractNumId w:val="6"/>
  </w:num>
  <w:num w:numId="4" w16cid:durableId="1009135365">
    <w:abstractNumId w:val="5"/>
  </w:num>
  <w:num w:numId="5" w16cid:durableId="262568737">
    <w:abstractNumId w:val="8"/>
  </w:num>
  <w:num w:numId="6" w16cid:durableId="869103208">
    <w:abstractNumId w:val="7"/>
  </w:num>
  <w:num w:numId="7" w16cid:durableId="2035690985">
    <w:abstractNumId w:val="0"/>
  </w:num>
  <w:num w:numId="8" w16cid:durableId="670908721">
    <w:abstractNumId w:val="10"/>
  </w:num>
  <w:num w:numId="9" w16cid:durableId="2014992389">
    <w:abstractNumId w:val="2"/>
  </w:num>
  <w:num w:numId="10" w16cid:durableId="31082347">
    <w:abstractNumId w:val="9"/>
  </w:num>
  <w:num w:numId="11" w16cid:durableId="1276713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65"/>
    <w:rsid w:val="0000782E"/>
    <w:rsid w:val="00025AB7"/>
    <w:rsid w:val="0002628D"/>
    <w:rsid w:val="00026AA4"/>
    <w:rsid w:val="00040697"/>
    <w:rsid w:val="00040755"/>
    <w:rsid w:val="00041EDF"/>
    <w:rsid w:val="0004679B"/>
    <w:rsid w:val="00060AD1"/>
    <w:rsid w:val="00062560"/>
    <w:rsid w:val="000652FC"/>
    <w:rsid w:val="000662EC"/>
    <w:rsid w:val="00071443"/>
    <w:rsid w:val="00073AB5"/>
    <w:rsid w:val="00074F57"/>
    <w:rsid w:val="00085C0C"/>
    <w:rsid w:val="000A01EB"/>
    <w:rsid w:val="000A5828"/>
    <w:rsid w:val="000C1544"/>
    <w:rsid w:val="000D1EFA"/>
    <w:rsid w:val="000D4332"/>
    <w:rsid w:val="000F3F10"/>
    <w:rsid w:val="000F4E04"/>
    <w:rsid w:val="001057B3"/>
    <w:rsid w:val="00110088"/>
    <w:rsid w:val="0011181F"/>
    <w:rsid w:val="00114C00"/>
    <w:rsid w:val="001313BA"/>
    <w:rsid w:val="00136165"/>
    <w:rsid w:val="001809A0"/>
    <w:rsid w:val="001A590A"/>
    <w:rsid w:val="001B7595"/>
    <w:rsid w:val="001D04EA"/>
    <w:rsid w:val="001D1F7E"/>
    <w:rsid w:val="001E1ED6"/>
    <w:rsid w:val="001E6436"/>
    <w:rsid w:val="001F0A11"/>
    <w:rsid w:val="001F4FCF"/>
    <w:rsid w:val="001F5487"/>
    <w:rsid w:val="001F66C5"/>
    <w:rsid w:val="001F74C7"/>
    <w:rsid w:val="002046B0"/>
    <w:rsid w:val="00207AB6"/>
    <w:rsid w:val="0021287F"/>
    <w:rsid w:val="00213E62"/>
    <w:rsid w:val="002205A6"/>
    <w:rsid w:val="00231A2C"/>
    <w:rsid w:val="002334E3"/>
    <w:rsid w:val="00234040"/>
    <w:rsid w:val="002351D7"/>
    <w:rsid w:val="00235F7E"/>
    <w:rsid w:val="00241E83"/>
    <w:rsid w:val="00247AB4"/>
    <w:rsid w:val="002848F9"/>
    <w:rsid w:val="00294264"/>
    <w:rsid w:val="002A7E1D"/>
    <w:rsid w:val="002B3DEC"/>
    <w:rsid w:val="002C2D66"/>
    <w:rsid w:val="002C2E91"/>
    <w:rsid w:val="002C61E7"/>
    <w:rsid w:val="002D3309"/>
    <w:rsid w:val="002D38D3"/>
    <w:rsid w:val="002D74C1"/>
    <w:rsid w:val="00301758"/>
    <w:rsid w:val="00304D9E"/>
    <w:rsid w:val="00333C42"/>
    <w:rsid w:val="00333EA6"/>
    <w:rsid w:val="0035569F"/>
    <w:rsid w:val="00363895"/>
    <w:rsid w:val="00371433"/>
    <w:rsid w:val="00371D38"/>
    <w:rsid w:val="003740CF"/>
    <w:rsid w:val="003934A8"/>
    <w:rsid w:val="003B36DF"/>
    <w:rsid w:val="003D142C"/>
    <w:rsid w:val="003D1E50"/>
    <w:rsid w:val="003D2A81"/>
    <w:rsid w:val="003D2D02"/>
    <w:rsid w:val="003E2C14"/>
    <w:rsid w:val="003F4687"/>
    <w:rsid w:val="004022BD"/>
    <w:rsid w:val="00404BC9"/>
    <w:rsid w:val="00417C79"/>
    <w:rsid w:val="00421900"/>
    <w:rsid w:val="00421AF3"/>
    <w:rsid w:val="00435E78"/>
    <w:rsid w:val="0043756A"/>
    <w:rsid w:val="004419E9"/>
    <w:rsid w:val="004428BF"/>
    <w:rsid w:val="00450377"/>
    <w:rsid w:val="00461D2E"/>
    <w:rsid w:val="00462C07"/>
    <w:rsid w:val="00466EA2"/>
    <w:rsid w:val="0048118B"/>
    <w:rsid w:val="00493322"/>
    <w:rsid w:val="004967C9"/>
    <w:rsid w:val="004A066E"/>
    <w:rsid w:val="004A174F"/>
    <w:rsid w:val="004D35A8"/>
    <w:rsid w:val="004E32F9"/>
    <w:rsid w:val="004E4A35"/>
    <w:rsid w:val="004E55F1"/>
    <w:rsid w:val="004F35B3"/>
    <w:rsid w:val="00530D34"/>
    <w:rsid w:val="00532A17"/>
    <w:rsid w:val="00541EC7"/>
    <w:rsid w:val="00544A92"/>
    <w:rsid w:val="0055226B"/>
    <w:rsid w:val="0055408D"/>
    <w:rsid w:val="00584F0D"/>
    <w:rsid w:val="00592C12"/>
    <w:rsid w:val="005A2317"/>
    <w:rsid w:val="005A3E60"/>
    <w:rsid w:val="005C5806"/>
    <w:rsid w:val="005E7880"/>
    <w:rsid w:val="005F417D"/>
    <w:rsid w:val="00611AAA"/>
    <w:rsid w:val="00625934"/>
    <w:rsid w:val="00633C47"/>
    <w:rsid w:val="00637ADB"/>
    <w:rsid w:val="00670822"/>
    <w:rsid w:val="00675E27"/>
    <w:rsid w:val="006A6F29"/>
    <w:rsid w:val="006C575D"/>
    <w:rsid w:val="006C79D7"/>
    <w:rsid w:val="006D15B6"/>
    <w:rsid w:val="006D6792"/>
    <w:rsid w:val="006F0435"/>
    <w:rsid w:val="006F37EB"/>
    <w:rsid w:val="006F4BBD"/>
    <w:rsid w:val="00703C27"/>
    <w:rsid w:val="00734EC7"/>
    <w:rsid w:val="00745C70"/>
    <w:rsid w:val="00757031"/>
    <w:rsid w:val="00763417"/>
    <w:rsid w:val="00764BF7"/>
    <w:rsid w:val="0077540B"/>
    <w:rsid w:val="00791325"/>
    <w:rsid w:val="0079540C"/>
    <w:rsid w:val="007A4EB5"/>
    <w:rsid w:val="007B3DAC"/>
    <w:rsid w:val="007B7650"/>
    <w:rsid w:val="007C1C12"/>
    <w:rsid w:val="007D70D5"/>
    <w:rsid w:val="007E24F7"/>
    <w:rsid w:val="007F3DA5"/>
    <w:rsid w:val="008109B5"/>
    <w:rsid w:val="00810AA7"/>
    <w:rsid w:val="00811163"/>
    <w:rsid w:val="008115E7"/>
    <w:rsid w:val="00814388"/>
    <w:rsid w:val="008207AE"/>
    <w:rsid w:val="00823EEA"/>
    <w:rsid w:val="00823F99"/>
    <w:rsid w:val="00824DAA"/>
    <w:rsid w:val="008318FB"/>
    <w:rsid w:val="00832F30"/>
    <w:rsid w:val="00841325"/>
    <w:rsid w:val="00841CD1"/>
    <w:rsid w:val="008461FD"/>
    <w:rsid w:val="00846F71"/>
    <w:rsid w:val="00885BBD"/>
    <w:rsid w:val="008C0493"/>
    <w:rsid w:val="008C17C4"/>
    <w:rsid w:val="008C6719"/>
    <w:rsid w:val="008D32FE"/>
    <w:rsid w:val="008D5B76"/>
    <w:rsid w:val="0090693B"/>
    <w:rsid w:val="009418EF"/>
    <w:rsid w:val="00941C46"/>
    <w:rsid w:val="00970F6D"/>
    <w:rsid w:val="00990E97"/>
    <w:rsid w:val="009A17ED"/>
    <w:rsid w:val="009A4DFD"/>
    <w:rsid w:val="009A75E2"/>
    <w:rsid w:val="009B1897"/>
    <w:rsid w:val="009B676F"/>
    <w:rsid w:val="009C3DE5"/>
    <w:rsid w:val="009C4202"/>
    <w:rsid w:val="009E02FD"/>
    <w:rsid w:val="009F78BA"/>
    <w:rsid w:val="00A00920"/>
    <w:rsid w:val="00A11117"/>
    <w:rsid w:val="00A15626"/>
    <w:rsid w:val="00A309B7"/>
    <w:rsid w:val="00A30AE3"/>
    <w:rsid w:val="00A41065"/>
    <w:rsid w:val="00A43691"/>
    <w:rsid w:val="00A43B93"/>
    <w:rsid w:val="00A53137"/>
    <w:rsid w:val="00A6233D"/>
    <w:rsid w:val="00A6771F"/>
    <w:rsid w:val="00A7111B"/>
    <w:rsid w:val="00A77E65"/>
    <w:rsid w:val="00A77EE5"/>
    <w:rsid w:val="00A955E3"/>
    <w:rsid w:val="00AA7FF2"/>
    <w:rsid w:val="00AC77EA"/>
    <w:rsid w:val="00AC7FDF"/>
    <w:rsid w:val="00AD299A"/>
    <w:rsid w:val="00AD7A13"/>
    <w:rsid w:val="00AE2527"/>
    <w:rsid w:val="00AE572D"/>
    <w:rsid w:val="00AE6669"/>
    <w:rsid w:val="00AF1F57"/>
    <w:rsid w:val="00AF267B"/>
    <w:rsid w:val="00B1146E"/>
    <w:rsid w:val="00B1345D"/>
    <w:rsid w:val="00B2378B"/>
    <w:rsid w:val="00B309CA"/>
    <w:rsid w:val="00B50231"/>
    <w:rsid w:val="00B52EC4"/>
    <w:rsid w:val="00B577B9"/>
    <w:rsid w:val="00B60B59"/>
    <w:rsid w:val="00B8477C"/>
    <w:rsid w:val="00B85B3B"/>
    <w:rsid w:val="00B94074"/>
    <w:rsid w:val="00B944F8"/>
    <w:rsid w:val="00B94A05"/>
    <w:rsid w:val="00BA06F1"/>
    <w:rsid w:val="00BA3DF5"/>
    <w:rsid w:val="00BB02A5"/>
    <w:rsid w:val="00BB629F"/>
    <w:rsid w:val="00BD795E"/>
    <w:rsid w:val="00BE6CF1"/>
    <w:rsid w:val="00C00C9D"/>
    <w:rsid w:val="00C011C9"/>
    <w:rsid w:val="00C15CA1"/>
    <w:rsid w:val="00C241F5"/>
    <w:rsid w:val="00C263E8"/>
    <w:rsid w:val="00C33988"/>
    <w:rsid w:val="00C36C21"/>
    <w:rsid w:val="00C46788"/>
    <w:rsid w:val="00C52ABB"/>
    <w:rsid w:val="00C72F2B"/>
    <w:rsid w:val="00C74236"/>
    <w:rsid w:val="00C83F2C"/>
    <w:rsid w:val="00C870F9"/>
    <w:rsid w:val="00C92E8D"/>
    <w:rsid w:val="00C93B84"/>
    <w:rsid w:val="00C94B77"/>
    <w:rsid w:val="00C97509"/>
    <w:rsid w:val="00CA1CA5"/>
    <w:rsid w:val="00CD2334"/>
    <w:rsid w:val="00CD48B7"/>
    <w:rsid w:val="00CE63B2"/>
    <w:rsid w:val="00CF17D7"/>
    <w:rsid w:val="00CF656C"/>
    <w:rsid w:val="00CF6829"/>
    <w:rsid w:val="00CF6981"/>
    <w:rsid w:val="00D23B6F"/>
    <w:rsid w:val="00D27904"/>
    <w:rsid w:val="00D3661F"/>
    <w:rsid w:val="00D367ED"/>
    <w:rsid w:val="00D42D1A"/>
    <w:rsid w:val="00D43D8C"/>
    <w:rsid w:val="00D45F08"/>
    <w:rsid w:val="00D47254"/>
    <w:rsid w:val="00D53DCF"/>
    <w:rsid w:val="00D60920"/>
    <w:rsid w:val="00D72681"/>
    <w:rsid w:val="00D80C7F"/>
    <w:rsid w:val="00D81AF9"/>
    <w:rsid w:val="00D822EB"/>
    <w:rsid w:val="00D87B88"/>
    <w:rsid w:val="00D87D8B"/>
    <w:rsid w:val="00D92831"/>
    <w:rsid w:val="00D95797"/>
    <w:rsid w:val="00DA1A76"/>
    <w:rsid w:val="00DA5589"/>
    <w:rsid w:val="00DB077A"/>
    <w:rsid w:val="00DB2654"/>
    <w:rsid w:val="00DE32EB"/>
    <w:rsid w:val="00E107D5"/>
    <w:rsid w:val="00E10B1F"/>
    <w:rsid w:val="00E14C71"/>
    <w:rsid w:val="00E21425"/>
    <w:rsid w:val="00E32F79"/>
    <w:rsid w:val="00E332CB"/>
    <w:rsid w:val="00E40D59"/>
    <w:rsid w:val="00E44BB5"/>
    <w:rsid w:val="00E54179"/>
    <w:rsid w:val="00E628D5"/>
    <w:rsid w:val="00E634CA"/>
    <w:rsid w:val="00E71874"/>
    <w:rsid w:val="00E85A96"/>
    <w:rsid w:val="00E85DC7"/>
    <w:rsid w:val="00E92196"/>
    <w:rsid w:val="00EA154E"/>
    <w:rsid w:val="00EA5632"/>
    <w:rsid w:val="00EB7997"/>
    <w:rsid w:val="00EC458E"/>
    <w:rsid w:val="00ED5030"/>
    <w:rsid w:val="00ED7468"/>
    <w:rsid w:val="00EE5514"/>
    <w:rsid w:val="00EE6B91"/>
    <w:rsid w:val="00EF38EA"/>
    <w:rsid w:val="00EF6E2A"/>
    <w:rsid w:val="00F2205E"/>
    <w:rsid w:val="00F233D9"/>
    <w:rsid w:val="00F30DDF"/>
    <w:rsid w:val="00F359CC"/>
    <w:rsid w:val="00F44CB9"/>
    <w:rsid w:val="00F60043"/>
    <w:rsid w:val="00F770E9"/>
    <w:rsid w:val="00F935B2"/>
    <w:rsid w:val="00FA5156"/>
    <w:rsid w:val="00FD354C"/>
    <w:rsid w:val="00FF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1274"/>
  <w15:docId w15:val="{AFDF4413-43CE-42EA-A3F5-5574E951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1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3DA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5BBD"/>
    <w:pPr>
      <w:ind w:left="720"/>
      <w:contextualSpacing/>
    </w:pPr>
  </w:style>
  <w:style w:type="character" w:customStyle="1" w:styleId="street-address">
    <w:name w:val="street-address"/>
    <w:basedOn w:val="DefaultParagraphFont"/>
    <w:rsid w:val="00333EA6"/>
  </w:style>
  <w:style w:type="character" w:customStyle="1" w:styleId="locality">
    <w:name w:val="locality"/>
    <w:basedOn w:val="DefaultParagraphFont"/>
    <w:rsid w:val="00333EA6"/>
  </w:style>
  <w:style w:type="character" w:customStyle="1" w:styleId="apple-converted-space">
    <w:name w:val="apple-converted-space"/>
    <w:basedOn w:val="DefaultParagraphFont"/>
    <w:rsid w:val="00333EA6"/>
  </w:style>
  <w:style w:type="character" w:customStyle="1" w:styleId="postal-code">
    <w:name w:val="postal-code"/>
    <w:basedOn w:val="DefaultParagraphFont"/>
    <w:rsid w:val="00333EA6"/>
  </w:style>
  <w:style w:type="table" w:styleId="TableGrid">
    <w:name w:val="Table Grid"/>
    <w:basedOn w:val="TableNormal"/>
    <w:uiPriority w:val="59"/>
    <w:rsid w:val="00462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5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7B3"/>
  </w:style>
  <w:style w:type="paragraph" w:styleId="Footer">
    <w:name w:val="footer"/>
    <w:basedOn w:val="Normal"/>
    <w:link w:val="FooterChar"/>
    <w:uiPriority w:val="99"/>
    <w:unhideWhenUsed/>
    <w:rsid w:val="00105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7B3"/>
  </w:style>
  <w:style w:type="character" w:styleId="CommentReference">
    <w:name w:val="annotation reference"/>
    <w:basedOn w:val="DefaultParagraphFont"/>
    <w:unhideWhenUsed/>
    <w:rsid w:val="00D822E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822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rsid w:val="00D822EB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2E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EB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E718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682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61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1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apers.ssrn.com/abstract=4428412" TargetMode="External"/><Relationship Id="rId13" Type="http://schemas.openxmlformats.org/officeDocument/2006/relationships/hyperlink" Target="mailto:john.ashton@york.ac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pers.ssrn.com/sol3/papers.cfm?abstract_id=442316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pers.ssrn.com/sol3/papers.cfm?abstract_id=4423095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papers.ssrn.com/sol3/papers.cfm?abstract_id=508447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pers.ssrn.com/sol3/papers.cfm?abstract_id=5698862" TargetMode="External"/><Relationship Id="rId14" Type="http://schemas.openxmlformats.org/officeDocument/2006/relationships/hyperlink" Target="mailto:r.alsakka@bangor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BBBE-9493-3041-8586-BA5172860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Bristol</Company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Orujov</dc:creator>
  <cp:keywords/>
  <dc:description/>
  <cp:lastModifiedBy>Ayan Orujov (Staff)</cp:lastModifiedBy>
  <cp:revision>13</cp:revision>
  <dcterms:created xsi:type="dcterms:W3CDTF">2025-03-05T22:53:00Z</dcterms:created>
  <dcterms:modified xsi:type="dcterms:W3CDTF">2026-03-18T16:13:00Z</dcterms:modified>
</cp:coreProperties>
</file>