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Calibri" w:cs="Calibri" w:eastAsia="Calibri" w:hAnsi="Calibri"/>
          <w:b/>
          <w:bCs/>
          <w:color w:val="1F3864"/>
          <w:sz w:val="52"/>
          <w:szCs w:val="52"/>
        </w:rPr>
        <w:t xml:space="preserve">AMAZON SALES DATA ANALYSIS</w:t>
      </w:r>
    </w:p>
    <w:p>
      <w:pPr>
        <w:spacing w:after="600"/>
        <w:jc w:val="center"/>
      </w:pPr>
      <w:r>
        <w:rPr>
          <w:rFonts w:ascii="Calibri" w:cs="Calibri" w:eastAsia="Calibri" w:hAnsi="Calibri"/>
          <w:b/>
          <w:bCs/>
          <w:color w:val="C55A11"/>
          <w:sz w:val="32"/>
          <w:szCs w:val="32"/>
        </w:rPr>
        <w:t xml:space="preserve">Business Analysis Report</w:t>
      </w:r>
    </w:p>
    <w:p>
      <w:pPr>
        <w:pBdr>
          <w:bottom w:val="single" w:color="C55A11" w:sz="12" w:space="10"/>
        </w:pBdr>
        <w:spacing w:after="2000"/>
        <w:jc w:val="center"/>
      </w:pPr>
      <w:r>
        <w:rPr>
          <w:sz w:val="2"/>
          <w:szCs w:val="2"/>
        </w:rPr>
        <w:t xml:space="preserve"/>
      </w:r>
    </w:p>
    <w:p>
      <w:pPr>
        <w:spacing w:after="160"/>
        <w:jc w:val="center"/>
      </w:pPr>
      <w:r>
        <w:rPr>
          <w:rFonts w:ascii="Calibri" w:cs="Calibri" w:eastAsia="Calibri" w:hAnsi="Calibri"/>
          <w:color w:val="262626"/>
          <w:sz w:val="26"/>
          <w:szCs w:val="26"/>
        </w:rPr>
        <w:t xml:space="preserve">Data Analyst Internship Project</w:t>
      </w:r>
    </w:p>
    <w:p>
      <w:pPr>
        <w:spacing w:after="1400"/>
      </w:pPr>
    </w:p>
    <w:p>
      <w:pPr>
        <w:spacing w:after="100"/>
        <w:jc w:val="center"/>
      </w:pPr>
      <w:r>
        <w:rPr>
          <w:rFonts w:ascii="Calibri" w:cs="Calibri" w:eastAsia="Calibri" w:hAnsi="Calibri"/>
          <w:color w:val="262626"/>
          <w:sz w:val="24"/>
          <w:szCs w:val="24"/>
        </w:rPr>
        <w:t xml:space="preserve">Prepared By: Ayansh Singh</w:t>
      </w:r>
    </w:p>
    <w:p>
      <w:pPr>
        <w:spacing w:after="100"/>
        <w:jc w:val="center"/>
      </w:pPr>
      <w:r>
        <w:rPr>
          <w:rFonts w:ascii="Calibri" w:cs="Calibri" w:eastAsia="Calibri" w:hAnsi="Calibri"/>
          <w:color w:val="262626"/>
          <w:sz w:val="24"/>
          <w:szCs w:val="24"/>
        </w:rPr>
        <w:t xml:space="preserve">Organization: Innobyte Services</w:t>
      </w:r>
    </w:p>
    <w:p>
      <w:pPr>
        <w:spacing w:after="100"/>
        <w:jc w:val="center"/>
      </w:pPr>
      <w:r>
        <w:rPr>
          <w:rFonts w:ascii="Calibri" w:cs="Calibri" w:eastAsia="Calibri" w:hAnsi="Calibri"/>
          <w:color w:val="262626"/>
          <w:sz w:val="24"/>
          <w:szCs w:val="24"/>
        </w:rPr>
        <w:t xml:space="preserve">Report Date: July 4, 2026</w:t>
      </w:r>
    </w:p>
    <w:p>
      <w:pPr>
        <w:spacing w:after="2000"/>
      </w:pPr>
    </w:p>
    <w:p>
      <w:pPr>
        <w:jc w:val="center"/>
      </w:pPr>
      <w:r>
        <w:rPr>
          <w:rFonts w:ascii="Calibri" w:cs="Calibri" w:eastAsia="Calibri" w:hAnsi="Calibri"/>
          <w:i/>
          <w:iCs/>
          <w:color w:val="595959"/>
          <w:sz w:val="20"/>
          <w:szCs w:val="20"/>
        </w:rPr>
        <w:t xml:space="preserve">Tools Used: Python (Pandas, Matplotlib) | SQL | Power BI</w:t>
      </w:r>
    </w:p>
    <w:p>
      <w:r>
        <w:br w:type="page"/>
      </w:r>
    </w:p>
    <w:p>
      <w:pPr>
        <w:spacing w:after="240"/>
      </w:pPr>
      <w:r>
        <w:rPr>
          <w:rFonts w:ascii="Calibri" w:cs="Calibri" w:eastAsia="Calibri" w:hAnsi="Calibri"/>
          <w:b/>
          <w:bCs/>
          <w:color w:val="1F3864"/>
          <w:sz w:val="32"/>
          <w:szCs w:val="32"/>
        </w:rPr>
        <w:t xml:space="preserve">Table of Contents</w:t>
      </w:r>
    </w:p>
    <w:p>
      <w:pPr>
        <w:pBdr>
          <w:bottom w:val="single" w:color="C55A11" w:sz="8" w:space="4"/>
        </w:pBdr>
        <w:spacing w:after="300"/>
      </w:pPr>
    </w:p>
    <w:p>
      <w:pPr>
        <w:tabs>
          <w:tab w:val="right" w:pos="9026" w:leader="dot"/>
        </w:tabs>
        <w:spacing w:after="160"/>
      </w:pPr>
      <w:r>
        <w:rPr>
          <w:rFonts w:ascii="Calibri" w:cs="Calibri" w:eastAsia="Calibri" w:hAnsi="Calibri"/>
          <w:b w:val="false"/>
          <w:bCs w:val="false"/>
          <w:color w:val="262626"/>
          <w:sz w:val="24"/>
          <w:szCs w:val="24"/>
        </w:rPr>
        <w:t xml:space="preserve">2. Executive Summary</w:t>
      </w:r>
      <w:r>
        <w:ptab w:alignment="right" w:relativeTo="margin" w:leader="dot"/>
      </w:r>
      <w:r>
        <w:rPr>
          <w:rFonts w:ascii="Calibri" w:cs="Calibri" w:eastAsia="Calibri" w:hAnsi="Calibri"/>
          <w:b w:val="false"/>
          <w:bCs w:val="false"/>
          <w:color w:val="262626"/>
          <w:sz w:val="24"/>
          <w:szCs w:val="24"/>
        </w:rPr>
        <w:t xml:space="preserve">3</w:t>
      </w:r>
    </w:p>
    <w:p>
      <w:pPr>
        <w:tabs>
          <w:tab w:val="right" w:pos="9026" w:leader="dot"/>
        </w:tabs>
        <w:spacing w:after="160"/>
      </w:pPr>
      <w:r>
        <w:rPr>
          <w:rFonts w:ascii="Calibri" w:cs="Calibri" w:eastAsia="Calibri" w:hAnsi="Calibri"/>
          <w:b w:val="false"/>
          <w:bCs w:val="false"/>
          <w:color w:val="262626"/>
          <w:sz w:val="24"/>
          <w:szCs w:val="24"/>
        </w:rPr>
        <w:t xml:space="preserve">3. Problem Statement</w:t>
      </w:r>
      <w:r>
        <w:ptab w:alignment="right" w:relativeTo="margin" w:leader="dot"/>
      </w:r>
      <w:r>
        <w:rPr>
          <w:rFonts w:ascii="Calibri" w:cs="Calibri" w:eastAsia="Calibri" w:hAnsi="Calibri"/>
          <w:b w:val="false"/>
          <w:bCs w:val="false"/>
          <w:color w:val="262626"/>
          <w:sz w:val="24"/>
          <w:szCs w:val="24"/>
        </w:rPr>
        <w:t xml:space="preserve">4</w:t>
      </w:r>
    </w:p>
    <w:p>
      <w:pPr>
        <w:tabs>
          <w:tab w:val="right" w:pos="9026" w:leader="dot"/>
        </w:tabs>
        <w:spacing w:after="160"/>
      </w:pPr>
      <w:r>
        <w:rPr>
          <w:rFonts w:ascii="Calibri" w:cs="Calibri" w:eastAsia="Calibri" w:hAnsi="Calibri"/>
          <w:b w:val="false"/>
          <w:bCs w:val="false"/>
          <w:color w:val="262626"/>
          <w:sz w:val="24"/>
          <w:szCs w:val="24"/>
        </w:rPr>
        <w:t xml:space="preserve">4. Project Objectives</w:t>
      </w:r>
      <w:r>
        <w:ptab w:alignment="right" w:relativeTo="margin" w:leader="dot"/>
      </w:r>
      <w:r>
        <w:rPr>
          <w:rFonts w:ascii="Calibri" w:cs="Calibri" w:eastAsia="Calibri" w:hAnsi="Calibri"/>
          <w:b w:val="false"/>
          <w:bCs w:val="false"/>
          <w:color w:val="262626"/>
          <w:sz w:val="24"/>
          <w:szCs w:val="24"/>
        </w:rPr>
        <w:t xml:space="preserve">4</w:t>
      </w:r>
    </w:p>
    <w:p>
      <w:pPr>
        <w:tabs>
          <w:tab w:val="right" w:pos="9026" w:leader="dot"/>
        </w:tabs>
        <w:spacing w:after="160"/>
      </w:pPr>
      <w:r>
        <w:rPr>
          <w:rFonts w:ascii="Calibri" w:cs="Calibri" w:eastAsia="Calibri" w:hAnsi="Calibri"/>
          <w:b w:val="false"/>
          <w:bCs w:val="false"/>
          <w:color w:val="262626"/>
          <w:sz w:val="24"/>
          <w:szCs w:val="24"/>
        </w:rPr>
        <w:t xml:space="preserve">5. Business Understanding</w:t>
      </w:r>
      <w:r>
        <w:ptab w:alignment="right" w:relativeTo="margin" w:leader="dot"/>
      </w:r>
      <w:r>
        <w:rPr>
          <w:rFonts w:ascii="Calibri" w:cs="Calibri" w:eastAsia="Calibri" w:hAnsi="Calibri"/>
          <w:b w:val="false"/>
          <w:bCs w:val="false"/>
          <w:color w:val="262626"/>
          <w:sz w:val="24"/>
          <w:szCs w:val="24"/>
        </w:rPr>
        <w:t xml:space="preserve">5</w:t>
      </w:r>
    </w:p>
    <w:p>
      <w:pPr>
        <w:tabs>
          <w:tab w:val="right" w:pos="9026" w:leader="dot"/>
        </w:tabs>
        <w:spacing w:after="160"/>
      </w:pPr>
      <w:r>
        <w:rPr>
          <w:rFonts w:ascii="Calibri" w:cs="Calibri" w:eastAsia="Calibri" w:hAnsi="Calibri"/>
          <w:b w:val="false"/>
          <w:bCs w:val="false"/>
          <w:color w:val="262626"/>
          <w:sz w:val="24"/>
          <w:szCs w:val="24"/>
        </w:rPr>
        <w:t xml:space="preserve">6. Dataset Overview</w:t>
      </w:r>
      <w:r>
        <w:ptab w:alignment="right" w:relativeTo="margin" w:leader="dot"/>
      </w:r>
      <w:r>
        <w:rPr>
          <w:rFonts w:ascii="Calibri" w:cs="Calibri" w:eastAsia="Calibri" w:hAnsi="Calibri"/>
          <w:b w:val="false"/>
          <w:bCs w:val="false"/>
          <w:color w:val="262626"/>
          <w:sz w:val="24"/>
          <w:szCs w:val="24"/>
        </w:rPr>
        <w:t xml:space="preserve">6</w:t>
      </w:r>
    </w:p>
    <w:p>
      <w:pPr>
        <w:tabs>
          <w:tab w:val="right" w:pos="9026" w:leader="dot"/>
        </w:tabs>
        <w:spacing w:after="160"/>
      </w:pPr>
      <w:r>
        <w:rPr>
          <w:rFonts w:ascii="Calibri" w:cs="Calibri" w:eastAsia="Calibri" w:hAnsi="Calibri"/>
          <w:b w:val="false"/>
          <w:bCs w:val="false"/>
          <w:color w:val="262626"/>
          <w:sz w:val="24"/>
          <w:szCs w:val="24"/>
        </w:rPr>
        <w:t xml:space="preserve">7. Data Cleaning Process</w:t>
      </w:r>
      <w:r>
        <w:ptab w:alignment="right" w:relativeTo="margin" w:leader="dot"/>
      </w:r>
      <w:r>
        <w:rPr>
          <w:rFonts w:ascii="Calibri" w:cs="Calibri" w:eastAsia="Calibri" w:hAnsi="Calibri"/>
          <w:b w:val="false"/>
          <w:bCs w:val="false"/>
          <w:color w:val="262626"/>
          <w:sz w:val="24"/>
          <w:szCs w:val="24"/>
        </w:rPr>
        <w:t xml:space="preserve">8</w:t>
      </w:r>
    </w:p>
    <w:p>
      <w:pPr>
        <w:tabs>
          <w:tab w:val="right" w:pos="9026" w:leader="dot"/>
        </w:tabs>
        <w:spacing w:after="160"/>
      </w:pPr>
      <w:r>
        <w:rPr>
          <w:rFonts w:ascii="Calibri" w:cs="Calibri" w:eastAsia="Calibri" w:hAnsi="Calibri"/>
          <w:b w:val="false"/>
          <w:bCs w:val="false"/>
          <w:color w:val="262626"/>
          <w:sz w:val="24"/>
          <w:szCs w:val="24"/>
        </w:rPr>
        <w:t xml:space="preserve">8. Exploratory Data Analysis</w:t>
      </w:r>
      <w:r>
        <w:ptab w:alignment="right" w:relativeTo="margin" w:leader="dot"/>
      </w:r>
      <w:r>
        <w:rPr>
          <w:rFonts w:ascii="Calibri" w:cs="Calibri" w:eastAsia="Calibri" w:hAnsi="Calibri"/>
          <w:b w:val="false"/>
          <w:bCs w:val="false"/>
          <w:color w:val="262626"/>
          <w:sz w:val="24"/>
          <w:szCs w:val="24"/>
        </w:rPr>
        <w:t xml:space="preserve">10</w:t>
      </w:r>
    </w:p>
    <w:p>
      <w:pPr>
        <w:tabs>
          <w:tab w:val="right" w:pos="9026" w:leader="dot"/>
        </w:tabs>
        <w:spacing w:after="160"/>
      </w:pPr>
      <w:r>
        <w:rPr>
          <w:rFonts w:ascii="Calibri" w:cs="Calibri" w:eastAsia="Calibri" w:hAnsi="Calibri"/>
          <w:b w:val="false"/>
          <w:bCs w:val="false"/>
          <w:color w:val="262626"/>
          <w:sz w:val="24"/>
          <w:szCs w:val="24"/>
        </w:rPr>
        <w:t xml:space="preserve">9. SQL Analysis</w:t>
      </w:r>
      <w:r>
        <w:ptab w:alignment="right" w:relativeTo="margin" w:leader="dot"/>
      </w:r>
      <w:r>
        <w:rPr>
          <w:rFonts w:ascii="Calibri" w:cs="Calibri" w:eastAsia="Calibri" w:hAnsi="Calibri"/>
          <w:b w:val="false"/>
          <w:bCs w:val="false"/>
          <w:color w:val="262626"/>
          <w:sz w:val="24"/>
          <w:szCs w:val="24"/>
        </w:rPr>
        <w:t xml:space="preserve">21</w:t>
      </w:r>
    </w:p>
    <w:p>
      <w:pPr>
        <w:tabs>
          <w:tab w:val="right" w:pos="9026" w:leader="dot"/>
        </w:tabs>
        <w:spacing w:after="160"/>
      </w:pPr>
      <w:r>
        <w:rPr>
          <w:rFonts w:ascii="Calibri" w:cs="Calibri" w:eastAsia="Calibri" w:hAnsi="Calibri"/>
          <w:b w:val="false"/>
          <w:bCs w:val="false"/>
          <w:color w:val="262626"/>
          <w:sz w:val="24"/>
          <w:szCs w:val="24"/>
        </w:rPr>
        <w:t xml:space="preserve">10. Power BI Dashboard</w:t>
      </w:r>
      <w:r>
        <w:ptab w:alignment="right" w:relativeTo="margin" w:leader="dot"/>
      </w:r>
      <w:r>
        <w:rPr>
          <w:rFonts w:ascii="Calibri" w:cs="Calibri" w:eastAsia="Calibri" w:hAnsi="Calibri"/>
          <w:b w:val="false"/>
          <w:bCs w:val="false"/>
          <w:color w:val="262626"/>
          <w:sz w:val="24"/>
          <w:szCs w:val="24"/>
        </w:rPr>
        <w:t xml:space="preserve">23</w:t>
      </w:r>
    </w:p>
    <w:p>
      <w:pPr>
        <w:tabs>
          <w:tab w:val="right" w:pos="9026" w:leader="dot"/>
        </w:tabs>
        <w:spacing w:after="160"/>
      </w:pPr>
      <w:r>
        <w:rPr>
          <w:rFonts w:ascii="Calibri" w:cs="Calibri" w:eastAsia="Calibri" w:hAnsi="Calibri"/>
          <w:b w:val="false"/>
          <w:bCs w:val="false"/>
          <w:color w:val="262626"/>
          <w:sz w:val="24"/>
          <w:szCs w:val="24"/>
        </w:rPr>
        <w:t xml:space="preserve">11. Key Business Insights</w:t>
      </w:r>
      <w:r>
        <w:ptab w:alignment="right" w:relativeTo="margin" w:leader="dot"/>
      </w:r>
      <w:r>
        <w:rPr>
          <w:rFonts w:ascii="Calibri" w:cs="Calibri" w:eastAsia="Calibri" w:hAnsi="Calibri"/>
          <w:b w:val="false"/>
          <w:bCs w:val="false"/>
          <w:color w:val="262626"/>
          <w:sz w:val="24"/>
          <w:szCs w:val="24"/>
        </w:rPr>
        <w:t xml:space="preserve">25</w:t>
      </w:r>
    </w:p>
    <w:p>
      <w:pPr>
        <w:tabs>
          <w:tab w:val="right" w:pos="9026" w:leader="dot"/>
        </w:tabs>
        <w:spacing w:after="160"/>
      </w:pPr>
      <w:r>
        <w:rPr>
          <w:rFonts w:ascii="Calibri" w:cs="Calibri" w:eastAsia="Calibri" w:hAnsi="Calibri"/>
          <w:b w:val="false"/>
          <w:bCs w:val="false"/>
          <w:color w:val="262626"/>
          <w:sz w:val="24"/>
          <w:szCs w:val="24"/>
        </w:rPr>
        <w:t xml:space="preserve">12. Business Recommendations</w:t>
      </w:r>
      <w:r>
        <w:ptab w:alignment="right" w:relativeTo="margin" w:leader="dot"/>
      </w:r>
      <w:r>
        <w:rPr>
          <w:rFonts w:ascii="Calibri" w:cs="Calibri" w:eastAsia="Calibri" w:hAnsi="Calibri"/>
          <w:b w:val="false"/>
          <w:bCs w:val="false"/>
          <w:color w:val="262626"/>
          <w:sz w:val="24"/>
          <w:szCs w:val="24"/>
        </w:rPr>
        <w:t xml:space="preserve">26</w:t>
      </w:r>
    </w:p>
    <w:p>
      <w:pPr>
        <w:tabs>
          <w:tab w:val="right" w:pos="9026" w:leader="dot"/>
        </w:tabs>
        <w:spacing w:after="160"/>
      </w:pPr>
      <w:r>
        <w:rPr>
          <w:rFonts w:ascii="Calibri" w:cs="Calibri" w:eastAsia="Calibri" w:hAnsi="Calibri"/>
          <w:b w:val="false"/>
          <w:bCs w:val="false"/>
          <w:color w:val="262626"/>
          <w:sz w:val="24"/>
          <w:szCs w:val="24"/>
        </w:rPr>
        <w:t xml:space="preserve">13. Business Impact</w:t>
      </w:r>
      <w:r>
        <w:ptab w:alignment="right" w:relativeTo="margin" w:leader="dot"/>
      </w:r>
      <w:r>
        <w:rPr>
          <w:rFonts w:ascii="Calibri" w:cs="Calibri" w:eastAsia="Calibri" w:hAnsi="Calibri"/>
          <w:b w:val="false"/>
          <w:bCs w:val="false"/>
          <w:color w:val="262626"/>
          <w:sz w:val="24"/>
          <w:szCs w:val="24"/>
        </w:rPr>
        <w:t xml:space="preserve">27</w:t>
      </w:r>
    </w:p>
    <w:p>
      <w:pPr>
        <w:tabs>
          <w:tab w:val="right" w:pos="9026" w:leader="dot"/>
        </w:tabs>
        <w:spacing w:after="160"/>
      </w:pPr>
      <w:r>
        <w:rPr>
          <w:rFonts w:ascii="Calibri" w:cs="Calibri" w:eastAsia="Calibri" w:hAnsi="Calibri"/>
          <w:b w:val="false"/>
          <w:bCs w:val="false"/>
          <w:color w:val="262626"/>
          <w:sz w:val="24"/>
          <w:szCs w:val="24"/>
        </w:rPr>
        <w:t xml:space="preserve">14. Conclusion</w:t>
      </w:r>
      <w:r>
        <w:ptab w:alignment="right" w:relativeTo="margin" w:leader="dot"/>
      </w:r>
      <w:r>
        <w:rPr>
          <w:rFonts w:ascii="Calibri" w:cs="Calibri" w:eastAsia="Calibri" w:hAnsi="Calibri"/>
          <w:b w:val="false"/>
          <w:bCs w:val="false"/>
          <w:color w:val="262626"/>
          <w:sz w:val="24"/>
          <w:szCs w:val="24"/>
        </w:rPr>
        <w:t xml:space="preserve">27</w:t>
      </w:r>
    </w:p>
    <w:p>
      <w:r>
        <w:br w:type="page"/>
      </w:r>
    </w:p>
    <w:p>
      <w:pPr>
        <w:pStyle w:val="Heading1"/>
        <w:pBdr>
          <w:bottom w:val="single" w:color="1F3864" w:sz="6" w:space="4"/>
        </w:pBdr>
        <w:spacing w:after="200" w:before="400"/>
      </w:pPr>
      <w:r>
        <w:t xml:space="preserve">2. Executive Summary</w:t>
      </w:r>
    </w:p>
    <w:p>
      <w:pPr>
        <w:spacing w:after="160" w:line="276"/>
      </w:pPr>
      <w:r>
        <w:rPr>
          <w:rFonts w:ascii="Calibri" w:cs="Calibri" w:eastAsia="Calibri" w:hAnsi="Calibri"/>
          <w:color w:val="262626"/>
          <w:sz w:val="22"/>
          <w:szCs w:val="22"/>
        </w:rPr>
        <w:t xml:space="preserve">This report presents a comprehensive analysis of Amazon sales transaction data covering the period from March 2022 to June 2022. The analysis was conducted as part of a Data Analyst internship engagement and follows a structured workflow encompassing data cleaning, exploratory data analysis, SQL-based querying, and Power BI dashboard development.</w:t>
      </w:r>
    </w:p>
    <w:p>
      <w:pPr>
        <w:spacing w:after="160" w:line="276"/>
      </w:pPr>
      <w:r>
        <w:rPr>
          <w:rFonts w:ascii="Calibri" w:cs="Calibri" w:eastAsia="Calibri" w:hAnsi="Calibri"/>
          <w:color w:val="262626"/>
          <w:sz w:val="22"/>
          <w:szCs w:val="22"/>
        </w:rPr>
        <w:t xml:space="preserve">The cleaned dataset consists of 128,579 transaction records across 24 fields, capturing order details, product attributes, fulfilment methods, and shipping geography. Analysis of this dataset shows total revenue of approximately ₹7.85 crore generated from 120,106 unique orders, with an average order value of ₹610.49 and total quantity sold of 116,330 units.</w:t>
      </w:r>
    </w:p>
    <w:p>
      <w:pPr>
        <w:spacing w:after="160" w:line="276"/>
      </w:pPr>
      <w:r>
        <w:rPr>
          <w:rFonts w:ascii="Calibri" w:cs="Calibri" w:eastAsia="Calibri" w:hAnsi="Calibri"/>
          <w:color w:val="262626"/>
          <w:sz w:val="22"/>
          <w:szCs w:val="22"/>
        </w:rPr>
        <w:t xml:space="preserve">The business is heavily concentrated on a single sales channel (Amazon.in) and is predominantly B2C in nature. T-shirts and Shirts are the leading product categories by both revenue and quantity, while Medium, Large, and Extra Large sizes account for the largest share of demand. Maharashtra, Karnataka, and Tamil Nadu lead in state-level revenue contribution, with Bengaluru, Hyderabad, and Mumbai as the top revenue-generating cities.</w:t>
      </w:r>
    </w:p>
    <w:p>
      <w:pPr>
        <w:spacing w:after="160" w:line="276"/>
      </w:pPr>
      <w:r>
        <w:rPr>
          <w:rFonts w:ascii="Calibri" w:cs="Calibri" w:eastAsia="Calibri" w:hAnsi="Calibri"/>
          <w:color w:val="262626"/>
          <w:sz w:val="22"/>
          <w:szCs w:val="22"/>
        </w:rPr>
        <w:t xml:space="preserve">The report concludes with a set of business recommendations focused on channel diversification, inventory prioritization, cancellation reduction, and regional marketing investment, supported directly by the findings from the SQL analysis, exploratory data analysis, and the Power BI dashboard.</w:t>
      </w:r>
    </w:p>
    <w:p>
      <w:r>
        <w:br w:type="page"/>
      </w:r>
    </w:p>
    <w:p>
      <w:pPr>
        <w:pStyle w:val="Heading1"/>
        <w:pBdr>
          <w:bottom w:val="single" w:color="1F3864" w:sz="6" w:space="4"/>
        </w:pBdr>
        <w:spacing w:after="200" w:before="400"/>
      </w:pPr>
      <w:r>
        <w:t xml:space="preserve">3. Problem Statement</w:t>
      </w:r>
    </w:p>
    <w:p>
      <w:pPr>
        <w:spacing w:after="160" w:line="276"/>
      </w:pPr>
      <w:r>
        <w:rPr>
          <w:rFonts w:ascii="Calibri" w:cs="Calibri" w:eastAsia="Calibri" w:hAnsi="Calibri"/>
          <w:color w:val="262626"/>
          <w:sz w:val="22"/>
          <w:szCs w:val="22"/>
        </w:rPr>
        <w:t xml:space="preserve">Analyze and provide insights on the Amazon Sales Report. The dataset contains information about Amazon sales transactions, including order ID, date, status, fulfilment method, sales channel, product category, size, quantity, amount, and shipping details. The objective of the project is to perform a comprehensive analysis of this data and extract actionable insights to support business decision-making.</w:t>
      </w:r>
    </w:p>
    <w:p>
      <w:pPr>
        <w:spacing w:after="160" w:line="276"/>
      </w:pPr>
      <w:r>
        <w:rPr>
          <w:rFonts w:ascii="Calibri" w:cs="Calibri" w:eastAsia="Calibri" w:hAnsi="Calibri"/>
          <w:color w:val="262626"/>
          <w:sz w:val="22"/>
          <w:szCs w:val="22"/>
        </w:rPr>
        <w:t xml:space="preserve">The project was assigned with a defined completion timeline of 25 days and required the production of a full analytical workflow, from raw data inspection through to a business-ready Power BI dashboard.</w:t>
      </w:r>
    </w:p>
    <w:p>
      <w:pPr>
        <w:pStyle w:val="Heading1"/>
        <w:pBdr>
          <w:bottom w:val="single" w:color="1F3864" w:sz="6" w:space="4"/>
        </w:pBdr>
        <w:spacing w:after="200" w:before="400"/>
      </w:pPr>
      <w:r>
        <w:t xml:space="preserve">4. Project Objectives</w:t>
      </w:r>
    </w:p>
    <w:p>
      <w:pPr>
        <w:pStyle w:val="ListParagraph"/>
        <w:numPr>
          <w:ilvl w:val="0"/>
          <w:numId w:val="1"/>
        </w:numPr>
        <w:spacing w:after="90" w:line="276"/>
      </w:pPr>
      <w:r>
        <w:rPr>
          <w:rFonts w:ascii="Calibri" w:cs="Calibri" w:eastAsia="Calibri" w:hAnsi="Calibri"/>
          <w:color w:val="262626"/>
          <w:sz w:val="22"/>
          <w:szCs w:val="22"/>
        </w:rPr>
        <w:t xml:space="preserve">Sales Overview: Analyze overall sales trends and patterns over time.</w:t>
      </w:r>
    </w:p>
    <w:p>
      <w:pPr>
        <w:pStyle w:val="ListParagraph"/>
        <w:numPr>
          <w:ilvl w:val="0"/>
          <w:numId w:val="1"/>
        </w:numPr>
        <w:spacing w:after="90" w:line="276"/>
      </w:pPr>
      <w:r>
        <w:rPr>
          <w:rFonts w:ascii="Calibri" w:cs="Calibri" w:eastAsia="Calibri" w:hAnsi="Calibri"/>
          <w:color w:val="262626"/>
          <w:sz w:val="22"/>
          <w:szCs w:val="22"/>
        </w:rPr>
        <w:t xml:space="preserve">Product Analysis: Identify popular product categories, sizes, and quantities.</w:t>
      </w:r>
    </w:p>
    <w:p>
      <w:pPr>
        <w:pStyle w:val="ListParagraph"/>
        <w:numPr>
          <w:ilvl w:val="0"/>
          <w:numId w:val="1"/>
        </w:numPr>
        <w:spacing w:after="90" w:line="276"/>
      </w:pPr>
      <w:r>
        <w:rPr>
          <w:rFonts w:ascii="Calibri" w:cs="Calibri" w:eastAsia="Calibri" w:hAnsi="Calibri"/>
          <w:color w:val="262626"/>
          <w:sz w:val="22"/>
          <w:szCs w:val="22"/>
        </w:rPr>
        <w:t xml:space="preserve">Fulfilment Analysis: Evaluate the effectiveness of fulfilment methods.</w:t>
      </w:r>
    </w:p>
    <w:p>
      <w:pPr>
        <w:pStyle w:val="ListParagraph"/>
        <w:numPr>
          <w:ilvl w:val="0"/>
          <w:numId w:val="1"/>
        </w:numPr>
        <w:spacing w:after="90" w:line="276"/>
      </w:pPr>
      <w:r>
        <w:rPr>
          <w:rFonts w:ascii="Calibri" w:cs="Calibri" w:eastAsia="Calibri" w:hAnsi="Calibri"/>
          <w:color w:val="262626"/>
          <w:sz w:val="22"/>
          <w:szCs w:val="22"/>
        </w:rPr>
        <w:t xml:space="preserve">Customer Segmentation: Segment customers based on behavior and location.</w:t>
      </w:r>
    </w:p>
    <w:p>
      <w:pPr>
        <w:pStyle w:val="ListParagraph"/>
        <w:numPr>
          <w:ilvl w:val="0"/>
          <w:numId w:val="1"/>
        </w:numPr>
        <w:spacing w:after="90" w:line="276"/>
      </w:pPr>
      <w:r>
        <w:rPr>
          <w:rFonts w:ascii="Calibri" w:cs="Calibri" w:eastAsia="Calibri" w:hAnsi="Calibri"/>
          <w:color w:val="262626"/>
          <w:sz w:val="22"/>
          <w:szCs w:val="22"/>
        </w:rPr>
        <w:t xml:space="preserve">Geographical Analysis: Study sales distribution across regions.</w:t>
      </w:r>
    </w:p>
    <w:p>
      <w:pPr>
        <w:pStyle w:val="ListParagraph"/>
        <w:numPr>
          <w:ilvl w:val="0"/>
          <w:numId w:val="1"/>
        </w:numPr>
        <w:spacing w:after="90" w:line="276"/>
      </w:pPr>
      <w:r>
        <w:rPr>
          <w:rFonts w:ascii="Calibri" w:cs="Calibri" w:eastAsia="Calibri" w:hAnsi="Calibri"/>
          <w:color w:val="262626"/>
          <w:sz w:val="22"/>
          <w:szCs w:val="22"/>
        </w:rPr>
        <w:t xml:space="preserve">Business Insights: Provide actionable recommendations for growth.</w:t>
      </w:r>
    </w:p>
    <w:p>
      <w:pPr>
        <w:spacing w:after="80"/>
      </w:pPr>
    </w:p>
    <w:p>
      <w:pPr>
        <w:pStyle w:val="Heading3"/>
        <w:spacing w:after="100" w:before="200"/>
      </w:pPr>
      <w:r>
        <w:t xml:space="preserve">Deliverables</w:t>
      </w:r>
    </w:p>
    <w:p>
      <w:pPr>
        <w:pStyle w:val="ListParagraph"/>
        <w:numPr>
          <w:ilvl w:val="0"/>
          <w:numId w:val="1"/>
        </w:numPr>
        <w:spacing w:after="90" w:line="276"/>
      </w:pPr>
      <w:r>
        <w:rPr>
          <w:rFonts w:ascii="Calibri" w:cs="Calibri" w:eastAsia="Calibri" w:hAnsi="Calibri"/>
          <w:color w:val="262626"/>
          <w:sz w:val="22"/>
          <w:szCs w:val="22"/>
        </w:rPr>
        <w:t xml:space="preserve">Comprehensive analysis report with findings and recommendations.</w:t>
      </w:r>
    </w:p>
    <w:p>
      <w:pPr>
        <w:pStyle w:val="ListParagraph"/>
        <w:numPr>
          <w:ilvl w:val="0"/>
          <w:numId w:val="1"/>
        </w:numPr>
        <w:spacing w:after="90" w:line="276"/>
      </w:pPr>
      <w:r>
        <w:rPr>
          <w:rFonts w:ascii="Calibri" w:cs="Calibri" w:eastAsia="Calibri" w:hAnsi="Calibri"/>
          <w:color w:val="262626"/>
          <w:sz w:val="22"/>
          <w:szCs w:val="22"/>
        </w:rPr>
        <w:t xml:space="preserve">Visualizations including charts and graphs.</w:t>
      </w:r>
    </w:p>
    <w:p>
      <w:pPr>
        <w:pStyle w:val="ListParagraph"/>
        <w:numPr>
          <w:ilvl w:val="0"/>
          <w:numId w:val="1"/>
        </w:numPr>
        <w:spacing w:after="90" w:line="276"/>
      </w:pPr>
      <w:r>
        <w:rPr>
          <w:rFonts w:ascii="Calibri" w:cs="Calibri" w:eastAsia="Calibri" w:hAnsi="Calibri"/>
          <w:color w:val="262626"/>
          <w:sz w:val="22"/>
          <w:szCs w:val="22"/>
        </w:rPr>
        <w:t xml:space="preserve">Insights on product preferences and customer behavior.</w:t>
      </w:r>
    </w:p>
    <w:p>
      <w:pPr>
        <w:pStyle w:val="ListParagraph"/>
        <w:numPr>
          <w:ilvl w:val="0"/>
          <w:numId w:val="1"/>
        </w:numPr>
        <w:spacing w:after="90" w:line="276"/>
      </w:pPr>
      <w:r>
        <w:rPr>
          <w:rFonts w:ascii="Calibri" w:cs="Calibri" w:eastAsia="Calibri" w:hAnsi="Calibri"/>
          <w:color w:val="262626"/>
          <w:sz w:val="22"/>
          <w:szCs w:val="22"/>
        </w:rPr>
        <w:t xml:space="preserve">Recommendations for improving sales, inventory, and customer service.</w:t>
      </w:r>
    </w:p>
    <w:p>
      <w:r>
        <w:br w:type="page"/>
      </w:r>
    </w:p>
    <w:p>
      <w:pPr>
        <w:pStyle w:val="Heading1"/>
        <w:pBdr>
          <w:bottom w:val="single" w:color="1F3864" w:sz="6" w:space="4"/>
        </w:pBdr>
        <w:spacing w:after="200" w:before="400"/>
      </w:pPr>
      <w:r>
        <w:t xml:space="preserve">5. Business Understanding</w:t>
      </w:r>
    </w:p>
    <w:p>
      <w:pPr>
        <w:spacing w:after="160" w:line="276"/>
      </w:pPr>
      <w:r>
        <w:rPr>
          <w:rFonts w:ascii="Calibri" w:cs="Calibri" w:eastAsia="Calibri" w:hAnsi="Calibri"/>
          <w:color w:val="262626"/>
          <w:sz w:val="22"/>
          <w:szCs w:val="22"/>
        </w:rPr>
        <w:t xml:space="preserve">Amazon operates as a large-scale e-commerce marketplace connecting sellers with customers across India. The seller represented in this dataset primarily lists apparel products such as T-shirts, Shirts, Blazers, and Trousers, fulfilled either directly through Amazon's own logistics network or through the seller's own merchant-managed fulfilment (Easy Ship).</w:t>
      </w:r>
    </w:p>
    <w:p>
      <w:pPr>
        <w:spacing w:after="160" w:line="276"/>
      </w:pPr>
      <w:r>
        <w:rPr>
          <w:rFonts w:ascii="Calibri" w:cs="Calibri" w:eastAsia="Calibri" w:hAnsi="Calibri"/>
          <w:color w:val="262626"/>
          <w:sz w:val="22"/>
          <w:szCs w:val="22"/>
        </w:rPr>
        <w:t xml:space="preserve">In this business model, revenue depends on order volume, average order value, and successful order completion. Cancellations and unshipped orders directly reduce realized revenue, while fulfilment method and shipping geography influence delivery speed and operating cost. Understanding these dynamics is central to identifying where the business can reduce leakage and where it can invest to grow.</w:t>
      </w:r>
    </w:p>
    <w:p>
      <w:pPr>
        <w:spacing w:after="160" w:line="276"/>
      </w:pPr>
      <w:r>
        <w:rPr>
          <w:rFonts w:ascii="Calibri" w:cs="Calibri" w:eastAsia="Calibri" w:hAnsi="Calibri"/>
          <w:color w:val="262626"/>
          <w:sz w:val="22"/>
          <w:szCs w:val="22"/>
        </w:rPr>
        <w:t xml:space="preserve">The scope of this analysis is limited strictly to the transactional data provided; no external market or competitor data was used, and all findings are grounded in the uploaded dataset, notebooks, SQL queries, and dashboard.</w:t>
      </w:r>
    </w:p>
    <w:p>
      <w:r>
        <w:br w:type="page"/>
      </w:r>
    </w:p>
    <w:p>
      <w:pPr>
        <w:pStyle w:val="Heading1"/>
        <w:pBdr>
          <w:bottom w:val="single" w:color="1F3864" w:sz="6" w:space="4"/>
        </w:pBdr>
        <w:spacing w:after="200" w:before="400"/>
      </w:pPr>
      <w:r>
        <w:t xml:space="preserve">6. Dataset Overview</w:t>
      </w:r>
    </w:p>
    <w:p>
      <w:pPr>
        <w:spacing w:after="160" w:line="276"/>
      </w:pPr>
      <w:r>
        <w:rPr>
          <w:rFonts w:ascii="Calibri" w:cs="Calibri" w:eastAsia="Calibri" w:hAnsi="Calibri"/>
          <w:color w:val="262626"/>
          <w:sz w:val="22"/>
          <w:szCs w:val="22"/>
        </w:rPr>
        <w:t xml:space="preserve">The source dataset was an Amazon Sale Report export containing 128,976 records across 21 columns prior to cleaning. Following data quality assessment and cleaning (detailed in Section 7), the final analytical dataset used for EDA, SQL analysis, and dashboard development contains 128,579 records and 24 columns.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Metric</w:t>
            </w:r>
          </w:p>
        </w:tc>
        <w:tc>
          <w:tcPr>
            <w:tcW w:type="pct" w:w="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Value</w:t>
            </w:r>
          </w:p>
        </w:tc>
      </w:tr>
      <w:tr>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Records (raw)</w:t>
            </w:r>
          </w:p>
        </w:tc>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128,976</w:t>
            </w:r>
          </w:p>
        </w:tc>
      </w:tr>
      <w:tr>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Columns (raw)</w:t>
            </w:r>
          </w:p>
        </w:tc>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21</w:t>
            </w:r>
          </w:p>
        </w:tc>
      </w:tr>
      <w:tr>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Records (cleaned)</w:t>
            </w:r>
          </w:p>
        </w:tc>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128,579</w:t>
            </w:r>
          </w:p>
        </w:tc>
      </w:tr>
      <w:tr>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Columns (cleaned)</w:t>
            </w:r>
          </w:p>
        </w:tc>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24</w:t>
            </w:r>
          </w:p>
        </w:tc>
      </w:tr>
      <w:tr>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Time period covered</w:t>
            </w:r>
          </w:p>
        </w:tc>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March 2022 - June 2022</w:t>
            </w:r>
          </w:p>
        </w:tc>
      </w:tr>
      <w:tr>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Currency</w:t>
            </w:r>
          </w:p>
        </w:tc>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INR (Indian Rupees)</w:t>
            </w:r>
          </w:p>
        </w:tc>
      </w:tr>
    </w:tbl>
    <w:p>
      <w:pPr>
        <w:spacing w:after="160"/>
      </w:pPr>
    </w:p>
    <w:p>
      <w:pPr>
        <w:pStyle w:val="Heading2"/>
        <w:spacing w:after="140" w:before="280"/>
      </w:pPr>
      <w:r>
        <w:t xml:space="preserve">6.1 Data Dictionary</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24%"/>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Field</w:t>
            </w:r>
          </w:p>
        </w:tc>
        <w:tc>
          <w:tcPr>
            <w:tcW w:type="pct" w:w="1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Data Type</w:t>
            </w:r>
          </w:p>
        </w:tc>
        <w:tc>
          <w:tcPr>
            <w:tcW w:type="pct" w:w="6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Business Description</w:t>
            </w:r>
          </w:p>
        </w:tc>
      </w:tr>
      <w:tr>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order_id</w:t>
            </w:r>
          </w:p>
        </w:tc>
        <w:tc>
          <w:tcPr>
            <w:tcW w:type="pct" w:w="16%"/>
            <w:tcMar>
              <w:top w:type="dxa" w:w="70"/>
              <w:left w:type="dxa" w:w="100"/>
              <w:bottom w:type="dxa" w:w="70"/>
              <w:right w:type="dxa" w:w="100"/>
            </w:tcMar>
            <w:vAlign w:val="center"/>
          </w:tcPr>
          <w:p>
            <w:pPr>
              <w:spacing w:after="0"/>
            </w:pPr>
            <w:r>
              <w:rPr>
                <w:rFonts w:ascii="Calibri" w:cs="Calibri" w:eastAsia="Calibri" w:hAnsi="Calibri"/>
                <w:sz w:val="20"/>
                <w:szCs w:val="20"/>
              </w:rPr>
              <w:t xml:space="preserve">Text</w:t>
            </w:r>
          </w:p>
        </w:tc>
        <w:tc>
          <w:tcPr>
            <w:tcW w:type="pct" w:w="60%"/>
            <w:tcMar>
              <w:top w:type="dxa" w:w="70"/>
              <w:left w:type="dxa" w:w="100"/>
              <w:bottom w:type="dxa" w:w="70"/>
              <w:right w:type="dxa" w:w="100"/>
            </w:tcMar>
            <w:vAlign w:val="center"/>
          </w:tcPr>
          <w:p>
            <w:pPr>
              <w:spacing w:after="0"/>
            </w:pPr>
            <w:r>
              <w:rPr>
                <w:rFonts w:ascii="Calibri" w:cs="Calibri" w:eastAsia="Calibri" w:hAnsi="Calibri"/>
                <w:sz w:val="20"/>
                <w:szCs w:val="20"/>
              </w:rPr>
              <w:t xml:space="preserve">Unique identifier for each customer order</w:t>
            </w:r>
          </w:p>
        </w:tc>
      </w:tr>
      <w:tr>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date</w:t>
            </w:r>
          </w:p>
        </w:tc>
        <w:tc>
          <w:tcPr>
            <w:tcW w:type="pct" w:w="1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Date</w:t>
            </w:r>
          </w:p>
        </w:tc>
        <w:tc>
          <w:tcPr>
            <w:tcW w:type="pct" w:w="6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Date on which the order was placed</w:t>
            </w:r>
          </w:p>
        </w:tc>
      </w:tr>
      <w:tr>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status</w:t>
            </w:r>
          </w:p>
        </w:tc>
        <w:tc>
          <w:tcPr>
            <w:tcW w:type="pct" w:w="16%"/>
            <w:tcMar>
              <w:top w:type="dxa" w:w="70"/>
              <w:left w:type="dxa" w:w="100"/>
              <w:bottom w:type="dxa" w:w="70"/>
              <w:right w:type="dxa" w:w="100"/>
            </w:tcMar>
            <w:vAlign w:val="center"/>
          </w:tcPr>
          <w:p>
            <w:pPr>
              <w:spacing w:after="0"/>
            </w:pPr>
            <w:r>
              <w:rPr>
                <w:rFonts w:ascii="Calibri" w:cs="Calibri" w:eastAsia="Calibri" w:hAnsi="Calibri"/>
                <w:sz w:val="20"/>
                <w:szCs w:val="20"/>
              </w:rPr>
              <w:t xml:space="preserve">Text</w:t>
            </w:r>
          </w:p>
        </w:tc>
        <w:tc>
          <w:tcPr>
            <w:tcW w:type="pct" w:w="60%"/>
            <w:tcMar>
              <w:top w:type="dxa" w:w="70"/>
              <w:left w:type="dxa" w:w="100"/>
              <w:bottom w:type="dxa" w:w="70"/>
              <w:right w:type="dxa" w:w="100"/>
            </w:tcMar>
            <w:vAlign w:val="center"/>
          </w:tcPr>
          <w:p>
            <w:pPr>
              <w:spacing w:after="0"/>
            </w:pPr>
            <w:r>
              <w:rPr>
                <w:rFonts w:ascii="Calibri" w:cs="Calibri" w:eastAsia="Calibri" w:hAnsi="Calibri"/>
                <w:sz w:val="20"/>
                <w:szCs w:val="20"/>
              </w:rPr>
              <w:t xml:space="preserve">Detailed order status (e.g., Shipped, Cancelled, Pending)</w:t>
            </w:r>
          </w:p>
        </w:tc>
      </w:tr>
      <w:tr>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fulfilment</w:t>
            </w:r>
          </w:p>
        </w:tc>
        <w:tc>
          <w:tcPr>
            <w:tcW w:type="pct" w:w="1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Text</w:t>
            </w:r>
          </w:p>
        </w:tc>
        <w:tc>
          <w:tcPr>
            <w:tcW w:type="pct" w:w="6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Party fulfilling the order: Amazon or Merchant</w:t>
            </w:r>
          </w:p>
        </w:tc>
      </w:tr>
      <w:tr>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sales_channel</w:t>
            </w:r>
          </w:p>
        </w:tc>
        <w:tc>
          <w:tcPr>
            <w:tcW w:type="pct" w:w="16%"/>
            <w:tcMar>
              <w:top w:type="dxa" w:w="70"/>
              <w:left w:type="dxa" w:w="100"/>
              <w:bottom w:type="dxa" w:w="70"/>
              <w:right w:type="dxa" w:w="100"/>
            </w:tcMar>
            <w:vAlign w:val="center"/>
          </w:tcPr>
          <w:p>
            <w:pPr>
              <w:spacing w:after="0"/>
            </w:pPr>
            <w:r>
              <w:rPr>
                <w:rFonts w:ascii="Calibri" w:cs="Calibri" w:eastAsia="Calibri" w:hAnsi="Calibri"/>
                <w:sz w:val="20"/>
                <w:szCs w:val="20"/>
              </w:rPr>
              <w:t xml:space="preserve">Text</w:t>
            </w:r>
          </w:p>
        </w:tc>
        <w:tc>
          <w:tcPr>
            <w:tcW w:type="pct" w:w="60%"/>
            <w:tcMar>
              <w:top w:type="dxa" w:w="70"/>
              <w:left w:type="dxa" w:w="100"/>
              <w:bottom w:type="dxa" w:w="70"/>
              <w:right w:type="dxa" w:w="100"/>
            </w:tcMar>
            <w:vAlign w:val="center"/>
          </w:tcPr>
          <w:p>
            <w:pPr>
              <w:spacing w:after="0"/>
            </w:pPr>
            <w:r>
              <w:rPr>
                <w:rFonts w:ascii="Calibri" w:cs="Calibri" w:eastAsia="Calibri" w:hAnsi="Calibri"/>
                <w:sz w:val="20"/>
                <w:szCs w:val="20"/>
              </w:rPr>
              <w:t xml:space="preserve">Channel through which the sale occurred (Amazon.in / Non-Amazon)</w:t>
            </w:r>
          </w:p>
        </w:tc>
      </w:tr>
      <w:tr>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ship_service_level</w:t>
            </w:r>
          </w:p>
        </w:tc>
        <w:tc>
          <w:tcPr>
            <w:tcW w:type="pct" w:w="1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Text</w:t>
            </w:r>
          </w:p>
        </w:tc>
        <w:tc>
          <w:tcPr>
            <w:tcW w:type="pct" w:w="6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Shipping speed tier: Standard or Expedited</w:t>
            </w:r>
          </w:p>
        </w:tc>
      </w:tr>
      <w:tr>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category</w:t>
            </w:r>
          </w:p>
        </w:tc>
        <w:tc>
          <w:tcPr>
            <w:tcW w:type="pct" w:w="16%"/>
            <w:tcMar>
              <w:top w:type="dxa" w:w="70"/>
              <w:left w:type="dxa" w:w="100"/>
              <w:bottom w:type="dxa" w:w="70"/>
              <w:right w:type="dxa" w:w="100"/>
            </w:tcMar>
            <w:vAlign w:val="center"/>
          </w:tcPr>
          <w:p>
            <w:pPr>
              <w:spacing w:after="0"/>
            </w:pPr>
            <w:r>
              <w:rPr>
                <w:rFonts w:ascii="Calibri" w:cs="Calibri" w:eastAsia="Calibri" w:hAnsi="Calibri"/>
                <w:sz w:val="20"/>
                <w:szCs w:val="20"/>
              </w:rPr>
              <w:t xml:space="preserve">Text</w:t>
            </w:r>
          </w:p>
        </w:tc>
        <w:tc>
          <w:tcPr>
            <w:tcW w:type="pct" w:w="60%"/>
            <w:tcMar>
              <w:top w:type="dxa" w:w="70"/>
              <w:left w:type="dxa" w:w="100"/>
              <w:bottom w:type="dxa" w:w="70"/>
              <w:right w:type="dxa" w:w="100"/>
            </w:tcMar>
            <w:vAlign w:val="center"/>
          </w:tcPr>
          <w:p>
            <w:pPr>
              <w:spacing w:after="0"/>
            </w:pPr>
            <w:r>
              <w:rPr>
                <w:rFonts w:ascii="Calibri" w:cs="Calibri" w:eastAsia="Calibri" w:hAnsi="Calibri"/>
                <w:sz w:val="20"/>
                <w:szCs w:val="20"/>
              </w:rPr>
              <w:t xml:space="preserve">Product category (e.g., T-shirt, Shirt, Blazer, Trousers)</w:t>
            </w:r>
          </w:p>
        </w:tc>
      </w:tr>
      <w:tr>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size</w:t>
            </w:r>
          </w:p>
        </w:tc>
        <w:tc>
          <w:tcPr>
            <w:tcW w:type="pct" w:w="1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Text</w:t>
            </w:r>
          </w:p>
        </w:tc>
        <w:tc>
          <w:tcPr>
            <w:tcW w:type="pct" w:w="6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Product size (e.g., S, M, L, XL, XXL)</w:t>
            </w:r>
          </w:p>
        </w:tc>
      </w:tr>
      <w:tr>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courier_status</w:t>
            </w:r>
          </w:p>
        </w:tc>
        <w:tc>
          <w:tcPr>
            <w:tcW w:type="pct" w:w="16%"/>
            <w:tcMar>
              <w:top w:type="dxa" w:w="70"/>
              <w:left w:type="dxa" w:w="100"/>
              <w:bottom w:type="dxa" w:w="70"/>
              <w:right w:type="dxa" w:w="100"/>
            </w:tcMar>
            <w:vAlign w:val="center"/>
          </w:tcPr>
          <w:p>
            <w:pPr>
              <w:spacing w:after="0"/>
            </w:pPr>
            <w:r>
              <w:rPr>
                <w:rFonts w:ascii="Calibri" w:cs="Calibri" w:eastAsia="Calibri" w:hAnsi="Calibri"/>
                <w:sz w:val="20"/>
                <w:szCs w:val="20"/>
              </w:rPr>
              <w:t xml:space="preserve">Text</w:t>
            </w:r>
          </w:p>
        </w:tc>
        <w:tc>
          <w:tcPr>
            <w:tcW w:type="pct" w:w="60%"/>
            <w:tcMar>
              <w:top w:type="dxa" w:w="70"/>
              <w:left w:type="dxa" w:w="100"/>
              <w:bottom w:type="dxa" w:w="70"/>
              <w:right w:type="dxa" w:w="100"/>
            </w:tcMar>
            <w:vAlign w:val="center"/>
          </w:tcPr>
          <w:p>
            <w:pPr>
              <w:spacing w:after="0"/>
            </w:pPr>
            <w:r>
              <w:rPr>
                <w:rFonts w:ascii="Calibri" w:cs="Calibri" w:eastAsia="Calibri" w:hAnsi="Calibri"/>
                <w:sz w:val="20"/>
                <w:szCs w:val="20"/>
              </w:rPr>
              <w:t xml:space="preserve">Courier-level shipment status (Shipped, Unshipped, On the Way, Cancelled)</w:t>
            </w:r>
          </w:p>
        </w:tc>
      </w:tr>
      <w:tr>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qty</w:t>
            </w:r>
          </w:p>
        </w:tc>
        <w:tc>
          <w:tcPr>
            <w:tcW w:type="pct" w:w="1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Integer</w:t>
            </w:r>
          </w:p>
        </w:tc>
        <w:tc>
          <w:tcPr>
            <w:tcW w:type="pct" w:w="6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Quantity of units ordered</w:t>
            </w:r>
          </w:p>
        </w:tc>
      </w:tr>
      <w:tr>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currency</w:t>
            </w:r>
          </w:p>
        </w:tc>
        <w:tc>
          <w:tcPr>
            <w:tcW w:type="pct" w:w="16%"/>
            <w:tcMar>
              <w:top w:type="dxa" w:w="70"/>
              <w:left w:type="dxa" w:w="100"/>
              <w:bottom w:type="dxa" w:w="70"/>
              <w:right w:type="dxa" w:w="100"/>
            </w:tcMar>
            <w:vAlign w:val="center"/>
          </w:tcPr>
          <w:p>
            <w:pPr>
              <w:spacing w:after="0"/>
            </w:pPr>
            <w:r>
              <w:rPr>
                <w:rFonts w:ascii="Calibri" w:cs="Calibri" w:eastAsia="Calibri" w:hAnsi="Calibri"/>
                <w:sz w:val="20"/>
                <w:szCs w:val="20"/>
              </w:rPr>
              <w:t xml:space="preserve">Text</w:t>
            </w:r>
          </w:p>
        </w:tc>
        <w:tc>
          <w:tcPr>
            <w:tcW w:type="pct" w:w="60%"/>
            <w:tcMar>
              <w:top w:type="dxa" w:w="70"/>
              <w:left w:type="dxa" w:w="100"/>
              <w:bottom w:type="dxa" w:w="70"/>
              <w:right w:type="dxa" w:w="100"/>
            </w:tcMar>
            <w:vAlign w:val="center"/>
          </w:tcPr>
          <w:p>
            <w:pPr>
              <w:spacing w:after="0"/>
            </w:pPr>
            <w:r>
              <w:rPr>
                <w:rFonts w:ascii="Calibri" w:cs="Calibri" w:eastAsia="Calibri" w:hAnsi="Calibri"/>
                <w:sz w:val="20"/>
                <w:szCs w:val="20"/>
              </w:rPr>
              <w:t xml:space="preserve">Transaction currency (INR)</w:t>
            </w:r>
          </w:p>
        </w:tc>
      </w:tr>
      <w:tr>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amount</w:t>
            </w:r>
          </w:p>
        </w:tc>
        <w:tc>
          <w:tcPr>
            <w:tcW w:type="pct" w:w="1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Decimal</w:t>
            </w:r>
          </w:p>
        </w:tc>
        <w:tc>
          <w:tcPr>
            <w:tcW w:type="pct" w:w="6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Order value in Indian Rupees</w:t>
            </w:r>
          </w:p>
        </w:tc>
      </w:tr>
      <w:tr>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ship_city</w:t>
            </w:r>
          </w:p>
        </w:tc>
        <w:tc>
          <w:tcPr>
            <w:tcW w:type="pct" w:w="16%"/>
            <w:tcMar>
              <w:top w:type="dxa" w:w="70"/>
              <w:left w:type="dxa" w:w="100"/>
              <w:bottom w:type="dxa" w:w="70"/>
              <w:right w:type="dxa" w:w="100"/>
            </w:tcMar>
            <w:vAlign w:val="center"/>
          </w:tcPr>
          <w:p>
            <w:pPr>
              <w:spacing w:after="0"/>
            </w:pPr>
            <w:r>
              <w:rPr>
                <w:rFonts w:ascii="Calibri" w:cs="Calibri" w:eastAsia="Calibri" w:hAnsi="Calibri"/>
                <w:sz w:val="20"/>
                <w:szCs w:val="20"/>
              </w:rPr>
              <w:t xml:space="preserve">Text</w:t>
            </w:r>
          </w:p>
        </w:tc>
        <w:tc>
          <w:tcPr>
            <w:tcW w:type="pct" w:w="60%"/>
            <w:tcMar>
              <w:top w:type="dxa" w:w="70"/>
              <w:left w:type="dxa" w:w="100"/>
              <w:bottom w:type="dxa" w:w="70"/>
              <w:right w:type="dxa" w:w="100"/>
            </w:tcMar>
            <w:vAlign w:val="center"/>
          </w:tcPr>
          <w:p>
            <w:pPr>
              <w:spacing w:after="0"/>
            </w:pPr>
            <w:r>
              <w:rPr>
                <w:rFonts w:ascii="Calibri" w:cs="Calibri" w:eastAsia="Calibri" w:hAnsi="Calibri"/>
                <w:sz w:val="20"/>
                <w:szCs w:val="20"/>
              </w:rPr>
              <w:t xml:space="preserve">Customer shipping city</w:t>
            </w:r>
          </w:p>
        </w:tc>
      </w:tr>
      <w:tr>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ship_state</w:t>
            </w:r>
          </w:p>
        </w:tc>
        <w:tc>
          <w:tcPr>
            <w:tcW w:type="pct" w:w="1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Text</w:t>
            </w:r>
          </w:p>
        </w:tc>
        <w:tc>
          <w:tcPr>
            <w:tcW w:type="pct" w:w="6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Customer shipping state</w:t>
            </w:r>
          </w:p>
        </w:tc>
      </w:tr>
      <w:tr>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ship_postal_code</w:t>
            </w:r>
          </w:p>
        </w:tc>
        <w:tc>
          <w:tcPr>
            <w:tcW w:type="pct" w:w="16%"/>
            <w:tcMar>
              <w:top w:type="dxa" w:w="70"/>
              <w:left w:type="dxa" w:w="100"/>
              <w:bottom w:type="dxa" w:w="70"/>
              <w:right w:type="dxa" w:w="100"/>
            </w:tcMar>
            <w:vAlign w:val="center"/>
          </w:tcPr>
          <w:p>
            <w:pPr>
              <w:spacing w:after="0"/>
            </w:pPr>
            <w:r>
              <w:rPr>
                <w:rFonts w:ascii="Calibri" w:cs="Calibri" w:eastAsia="Calibri" w:hAnsi="Calibri"/>
                <w:sz w:val="20"/>
                <w:szCs w:val="20"/>
              </w:rPr>
              <w:t xml:space="preserve">Numeric</w:t>
            </w:r>
          </w:p>
        </w:tc>
        <w:tc>
          <w:tcPr>
            <w:tcW w:type="pct" w:w="60%"/>
            <w:tcMar>
              <w:top w:type="dxa" w:w="70"/>
              <w:left w:type="dxa" w:w="100"/>
              <w:bottom w:type="dxa" w:w="70"/>
              <w:right w:type="dxa" w:w="100"/>
            </w:tcMar>
            <w:vAlign w:val="center"/>
          </w:tcPr>
          <w:p>
            <w:pPr>
              <w:spacing w:after="0"/>
            </w:pPr>
            <w:r>
              <w:rPr>
                <w:rFonts w:ascii="Calibri" w:cs="Calibri" w:eastAsia="Calibri" w:hAnsi="Calibri"/>
                <w:sz w:val="20"/>
                <w:szCs w:val="20"/>
              </w:rPr>
              <w:t xml:space="preserve">Customer shipping postal code</w:t>
            </w:r>
          </w:p>
        </w:tc>
      </w:tr>
      <w:tr>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ship_country</w:t>
            </w:r>
          </w:p>
        </w:tc>
        <w:tc>
          <w:tcPr>
            <w:tcW w:type="pct" w:w="1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Text</w:t>
            </w:r>
          </w:p>
        </w:tc>
        <w:tc>
          <w:tcPr>
            <w:tcW w:type="pct" w:w="6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Customer shipping country</w:t>
            </w:r>
          </w:p>
        </w:tc>
      </w:tr>
      <w:tr>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b2b</w:t>
            </w:r>
          </w:p>
        </w:tc>
        <w:tc>
          <w:tcPr>
            <w:tcW w:type="pct" w:w="16%"/>
            <w:tcMar>
              <w:top w:type="dxa" w:w="70"/>
              <w:left w:type="dxa" w:w="100"/>
              <w:bottom w:type="dxa" w:w="70"/>
              <w:right w:type="dxa" w:w="100"/>
            </w:tcMar>
            <w:vAlign w:val="center"/>
          </w:tcPr>
          <w:p>
            <w:pPr>
              <w:spacing w:after="0"/>
            </w:pPr>
            <w:r>
              <w:rPr>
                <w:rFonts w:ascii="Calibri" w:cs="Calibri" w:eastAsia="Calibri" w:hAnsi="Calibri"/>
                <w:sz w:val="20"/>
                <w:szCs w:val="20"/>
              </w:rPr>
              <w:t xml:space="preserve">Boolean</w:t>
            </w:r>
          </w:p>
        </w:tc>
        <w:tc>
          <w:tcPr>
            <w:tcW w:type="pct" w:w="60%"/>
            <w:tcMar>
              <w:top w:type="dxa" w:w="70"/>
              <w:left w:type="dxa" w:w="100"/>
              <w:bottom w:type="dxa" w:w="70"/>
              <w:right w:type="dxa" w:w="100"/>
            </w:tcMar>
            <w:vAlign w:val="center"/>
          </w:tcPr>
          <w:p>
            <w:pPr>
              <w:spacing w:after="0"/>
            </w:pPr>
            <w:r>
              <w:rPr>
                <w:rFonts w:ascii="Calibri" w:cs="Calibri" w:eastAsia="Calibri" w:hAnsi="Calibri"/>
                <w:sz w:val="20"/>
                <w:szCs w:val="20"/>
              </w:rPr>
              <w:t xml:space="preserve">Indicates whether the order is a business (B2B) transaction</w:t>
            </w:r>
          </w:p>
        </w:tc>
      </w:tr>
      <w:tr>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fulfilled_by</w:t>
            </w:r>
          </w:p>
        </w:tc>
        <w:tc>
          <w:tcPr>
            <w:tcW w:type="pct" w:w="1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Text</w:t>
            </w:r>
          </w:p>
        </w:tc>
        <w:tc>
          <w:tcPr>
            <w:tcW w:type="pct" w:w="6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Logistics operator: Amazon or Easy Ship</w:t>
            </w:r>
          </w:p>
        </w:tc>
      </w:tr>
      <w:tr>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year</w:t>
            </w:r>
          </w:p>
        </w:tc>
        <w:tc>
          <w:tcPr>
            <w:tcW w:type="pct" w:w="16%"/>
            <w:tcMar>
              <w:top w:type="dxa" w:w="70"/>
              <w:left w:type="dxa" w:w="100"/>
              <w:bottom w:type="dxa" w:w="70"/>
              <w:right w:type="dxa" w:w="100"/>
            </w:tcMar>
            <w:vAlign w:val="center"/>
          </w:tcPr>
          <w:p>
            <w:pPr>
              <w:spacing w:after="0"/>
            </w:pPr>
            <w:r>
              <w:rPr>
                <w:rFonts w:ascii="Calibri" w:cs="Calibri" w:eastAsia="Calibri" w:hAnsi="Calibri"/>
                <w:sz w:val="20"/>
                <w:szCs w:val="20"/>
              </w:rPr>
              <w:t xml:space="preserve">Integer</w:t>
            </w:r>
          </w:p>
        </w:tc>
        <w:tc>
          <w:tcPr>
            <w:tcW w:type="pct" w:w="60%"/>
            <w:tcMar>
              <w:top w:type="dxa" w:w="70"/>
              <w:left w:type="dxa" w:w="100"/>
              <w:bottom w:type="dxa" w:w="70"/>
              <w:right w:type="dxa" w:w="100"/>
            </w:tcMar>
            <w:vAlign w:val="center"/>
          </w:tcPr>
          <w:p>
            <w:pPr>
              <w:spacing w:after="0"/>
            </w:pPr>
            <w:r>
              <w:rPr>
                <w:rFonts w:ascii="Calibri" w:cs="Calibri" w:eastAsia="Calibri" w:hAnsi="Calibri"/>
                <w:sz w:val="20"/>
                <w:szCs w:val="20"/>
              </w:rPr>
              <w:t xml:space="preserve">Order year (engineered)</w:t>
            </w:r>
          </w:p>
        </w:tc>
      </w:tr>
      <w:tr>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month</w:t>
            </w:r>
          </w:p>
        </w:tc>
        <w:tc>
          <w:tcPr>
            <w:tcW w:type="pct" w:w="1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Text</w:t>
            </w:r>
          </w:p>
        </w:tc>
        <w:tc>
          <w:tcPr>
            <w:tcW w:type="pct" w:w="6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Order month name (engineered)</w:t>
            </w:r>
          </w:p>
        </w:tc>
      </w:tr>
      <w:tr>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month_number</w:t>
            </w:r>
          </w:p>
        </w:tc>
        <w:tc>
          <w:tcPr>
            <w:tcW w:type="pct" w:w="16%"/>
            <w:tcMar>
              <w:top w:type="dxa" w:w="70"/>
              <w:left w:type="dxa" w:w="100"/>
              <w:bottom w:type="dxa" w:w="70"/>
              <w:right w:type="dxa" w:w="100"/>
            </w:tcMar>
            <w:vAlign w:val="center"/>
          </w:tcPr>
          <w:p>
            <w:pPr>
              <w:spacing w:after="0"/>
            </w:pPr>
            <w:r>
              <w:rPr>
                <w:rFonts w:ascii="Calibri" w:cs="Calibri" w:eastAsia="Calibri" w:hAnsi="Calibri"/>
                <w:sz w:val="20"/>
                <w:szCs w:val="20"/>
              </w:rPr>
              <w:t xml:space="preserve">Integer</w:t>
            </w:r>
          </w:p>
        </w:tc>
        <w:tc>
          <w:tcPr>
            <w:tcW w:type="pct" w:w="60%"/>
            <w:tcMar>
              <w:top w:type="dxa" w:w="70"/>
              <w:left w:type="dxa" w:w="100"/>
              <w:bottom w:type="dxa" w:w="70"/>
              <w:right w:type="dxa" w:w="100"/>
            </w:tcMar>
            <w:vAlign w:val="center"/>
          </w:tcPr>
          <w:p>
            <w:pPr>
              <w:spacing w:after="0"/>
            </w:pPr>
            <w:r>
              <w:rPr>
                <w:rFonts w:ascii="Calibri" w:cs="Calibri" w:eastAsia="Calibri" w:hAnsi="Calibri"/>
                <w:sz w:val="20"/>
                <w:szCs w:val="20"/>
              </w:rPr>
              <w:t xml:space="preserve">Order month number (engineered)</w:t>
            </w:r>
          </w:p>
        </w:tc>
      </w:tr>
      <w:tr>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day</w:t>
            </w:r>
          </w:p>
        </w:tc>
        <w:tc>
          <w:tcPr>
            <w:tcW w:type="pct" w:w="1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Integer</w:t>
            </w:r>
          </w:p>
        </w:tc>
        <w:tc>
          <w:tcPr>
            <w:tcW w:type="pct" w:w="6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Order day of month (engineered)</w:t>
            </w:r>
          </w:p>
        </w:tc>
      </w:tr>
      <w:tr>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day_name</w:t>
            </w:r>
          </w:p>
        </w:tc>
        <w:tc>
          <w:tcPr>
            <w:tcW w:type="pct" w:w="16%"/>
            <w:tcMar>
              <w:top w:type="dxa" w:w="70"/>
              <w:left w:type="dxa" w:w="100"/>
              <w:bottom w:type="dxa" w:w="70"/>
              <w:right w:type="dxa" w:w="100"/>
            </w:tcMar>
            <w:vAlign w:val="center"/>
          </w:tcPr>
          <w:p>
            <w:pPr>
              <w:spacing w:after="0"/>
            </w:pPr>
            <w:r>
              <w:rPr>
                <w:rFonts w:ascii="Calibri" w:cs="Calibri" w:eastAsia="Calibri" w:hAnsi="Calibri"/>
                <w:sz w:val="20"/>
                <w:szCs w:val="20"/>
              </w:rPr>
              <w:t xml:space="preserve">Text</w:t>
            </w:r>
          </w:p>
        </w:tc>
        <w:tc>
          <w:tcPr>
            <w:tcW w:type="pct" w:w="60%"/>
            <w:tcMar>
              <w:top w:type="dxa" w:w="70"/>
              <w:left w:type="dxa" w:w="100"/>
              <w:bottom w:type="dxa" w:w="70"/>
              <w:right w:type="dxa" w:w="100"/>
            </w:tcMar>
            <w:vAlign w:val="center"/>
          </w:tcPr>
          <w:p>
            <w:pPr>
              <w:spacing w:after="0"/>
            </w:pPr>
            <w:r>
              <w:rPr>
                <w:rFonts w:ascii="Calibri" w:cs="Calibri" w:eastAsia="Calibri" w:hAnsi="Calibri"/>
                <w:sz w:val="20"/>
                <w:szCs w:val="20"/>
              </w:rPr>
              <w:t xml:space="preserve">Order day of week (engineered)</w:t>
            </w:r>
          </w:p>
        </w:tc>
      </w:tr>
      <w:tr>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quarter</w:t>
            </w:r>
          </w:p>
        </w:tc>
        <w:tc>
          <w:tcPr>
            <w:tcW w:type="pct" w:w="1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Integer</w:t>
            </w:r>
          </w:p>
        </w:tc>
        <w:tc>
          <w:tcPr>
            <w:tcW w:type="pct" w:w="6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Order quarter (engineered)</w:t>
            </w:r>
          </w:p>
        </w:tc>
      </w:tr>
    </w:tbl>
    <w:p>
      <w:pPr>
        <w:spacing w:after="160"/>
      </w:pPr>
    </w:p>
    <w:p>
      <w:pPr>
        <w:pStyle w:val="Heading2"/>
        <w:spacing w:after="140" w:before="280"/>
      </w:pPr>
      <w:r>
        <w:t xml:space="preserve">6.2 Business Importance of Key Fields</w:t>
      </w:r>
    </w:p>
    <w:p>
      <w:pPr>
        <w:pStyle w:val="ListParagraph"/>
        <w:numPr>
          <w:ilvl w:val="0"/>
          <w:numId w:val="1"/>
        </w:numPr>
        <w:spacing w:after="90" w:line="276"/>
      </w:pPr>
      <w:r>
        <w:rPr>
          <w:rFonts w:ascii="Calibri" w:cs="Calibri" w:eastAsia="Calibri" w:hAnsi="Calibri"/>
          <w:color w:val="262626"/>
          <w:sz w:val="22"/>
          <w:szCs w:val="22"/>
        </w:rPr>
        <w:t xml:space="preserve">amount and qty form the basis of all revenue and volume calculations, and are therefore the most business-critical fields in the dataset.</w:t>
      </w:r>
    </w:p>
    <w:p>
      <w:pPr>
        <w:pStyle w:val="ListParagraph"/>
        <w:numPr>
          <w:ilvl w:val="0"/>
          <w:numId w:val="1"/>
        </w:numPr>
        <w:spacing w:after="90" w:line="276"/>
      </w:pPr>
      <w:r>
        <w:rPr>
          <w:rFonts w:ascii="Calibri" w:cs="Calibri" w:eastAsia="Calibri" w:hAnsi="Calibri"/>
          <w:color w:val="262626"/>
          <w:sz w:val="22"/>
          <w:szCs w:val="22"/>
        </w:rPr>
        <w:t xml:space="preserve">status and courier_status jointly determine whether revenue is realized or lost to cancellation, and identify operational bottlenecks in the fulfilment chain.</w:t>
      </w:r>
    </w:p>
    <w:p>
      <w:pPr>
        <w:pStyle w:val="ListParagraph"/>
        <w:numPr>
          <w:ilvl w:val="0"/>
          <w:numId w:val="1"/>
        </w:numPr>
        <w:spacing w:after="90" w:line="276"/>
      </w:pPr>
      <w:r>
        <w:rPr>
          <w:rFonts w:ascii="Calibri" w:cs="Calibri" w:eastAsia="Calibri" w:hAnsi="Calibri"/>
          <w:color w:val="262626"/>
          <w:sz w:val="22"/>
          <w:szCs w:val="22"/>
        </w:rPr>
        <w:t xml:space="preserve">category and size drive product and inventory planning decisions.</w:t>
      </w:r>
    </w:p>
    <w:p>
      <w:pPr>
        <w:pStyle w:val="ListParagraph"/>
        <w:numPr>
          <w:ilvl w:val="0"/>
          <w:numId w:val="1"/>
        </w:numPr>
        <w:spacing w:after="90" w:line="276"/>
      </w:pPr>
      <w:r>
        <w:rPr>
          <w:rFonts w:ascii="Calibri" w:cs="Calibri" w:eastAsia="Calibri" w:hAnsi="Calibri"/>
          <w:color w:val="262626"/>
          <w:sz w:val="22"/>
          <w:szCs w:val="22"/>
        </w:rPr>
        <w:t xml:space="preserve">ship_state and ship_city enable geographic demand analysis and regional resource allocation.</w:t>
      </w:r>
    </w:p>
    <w:p>
      <w:pPr>
        <w:pStyle w:val="ListParagraph"/>
        <w:numPr>
          <w:ilvl w:val="0"/>
          <w:numId w:val="1"/>
        </w:numPr>
        <w:spacing w:after="90" w:line="276"/>
      </w:pPr>
      <w:r>
        <w:rPr>
          <w:rFonts w:ascii="Calibri" w:cs="Calibri" w:eastAsia="Calibri" w:hAnsi="Calibri"/>
          <w:color w:val="262626"/>
          <w:sz w:val="22"/>
          <w:szCs w:val="22"/>
        </w:rPr>
        <w:t xml:space="preserve">fulfilment and fulfilled_by indicate logistics dependency and are relevant to evaluating operational risk.</w:t>
      </w:r>
    </w:p>
    <w:p>
      <w:pPr>
        <w:pStyle w:val="ListParagraph"/>
        <w:numPr>
          <w:ilvl w:val="0"/>
          <w:numId w:val="1"/>
        </w:numPr>
        <w:spacing w:after="90" w:line="276"/>
      </w:pPr>
      <w:r>
        <w:rPr>
          <w:rFonts w:ascii="Calibri" w:cs="Calibri" w:eastAsia="Calibri" w:hAnsi="Calibri"/>
          <w:color w:val="262626"/>
          <w:sz w:val="22"/>
          <w:szCs w:val="22"/>
        </w:rPr>
        <w:t xml:space="preserve">b2b distinguishes business customers from individual consumers, supporting customer segmentation.</w:t>
      </w:r>
    </w:p>
    <w:p>
      <w:pPr>
        <w:pStyle w:val="ListParagraph"/>
        <w:numPr>
          <w:ilvl w:val="0"/>
          <w:numId w:val="1"/>
        </w:numPr>
        <w:spacing w:after="90" w:line="276"/>
      </w:pPr>
      <w:r>
        <w:rPr>
          <w:rFonts w:ascii="Calibri" w:cs="Calibri" w:eastAsia="Calibri" w:hAnsi="Calibri"/>
          <w:color w:val="262626"/>
          <w:sz w:val="22"/>
          <w:szCs w:val="22"/>
        </w:rPr>
        <w:t xml:space="preserve">The engineered date fields (year, month, quarter, day_name) enable time-based trend analysis without repeated date parsing.</w:t>
      </w:r>
    </w:p>
    <w:p>
      <w:r>
        <w:br w:type="page"/>
      </w:r>
    </w:p>
    <w:p>
      <w:pPr>
        <w:pStyle w:val="Heading1"/>
        <w:pBdr>
          <w:bottom w:val="single" w:color="1F3864" w:sz="6" w:space="4"/>
        </w:pBdr>
        <w:spacing w:after="200" w:before="400"/>
      </w:pPr>
      <w:r>
        <w:t xml:space="preserve">7. Data Cleaning Process</w:t>
      </w:r>
    </w:p>
    <w:p>
      <w:pPr>
        <w:spacing w:after="160" w:line="276"/>
      </w:pPr>
      <w:r>
        <w:rPr>
          <w:rFonts w:ascii="Calibri" w:cs="Calibri" w:eastAsia="Calibri" w:hAnsi="Calibri"/>
          <w:color w:val="262626"/>
          <w:sz w:val="22"/>
          <w:szCs w:val="22"/>
        </w:rPr>
        <w:t xml:space="preserve">The raw dataset required structured cleaning before it could support reliable analysis. Column names were first standardized to lowercase, underscore-separated format for consistency across Python, SQL, and Power BI. The cleaning steps below were performed in the Data Inspection &amp; Cleaning notebook and are summarized in order of execution.</w:t>
      </w:r>
    </w:p>
    <w:p>
      <w:pPr>
        <w:pStyle w:val="Heading2"/>
        <w:spacing w:after="140" w:before="280"/>
      </w:pPr>
      <w:r>
        <w:t xml:space="preserve">7.1 Missing Values</w:t>
      </w:r>
    </w:p>
    <w:p>
      <w:pPr>
        <w:spacing w:after="160" w:line="276"/>
      </w:pPr>
      <w:r>
        <w:rPr>
          <w:rFonts w:ascii="Calibri" w:cs="Calibri" w:eastAsia="Calibri" w:hAnsi="Calibri"/>
          <w:color w:val="262626"/>
          <w:sz w:val="22"/>
          <w:szCs w:val="22"/>
        </w:rPr>
        <w:t xml:space="preserve">A missing value assessment was performed across all columns. The table below summarizes the fields that contained missing data and the treatment applied to each.</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tblGrid>
      <w:tr>
        <w:trPr>
          <w:tblHeader/>
        </w:trPr>
        <w:tc>
          <w:tcPr>
            <w:tcW w:type="pct" w:w="22%"/>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Field</w:t>
            </w:r>
          </w:p>
        </w:tc>
        <w:tc>
          <w:tcPr>
            <w:tcW w:type="pct" w:w="14%"/>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Missing Count</w:t>
            </w:r>
          </w:p>
        </w:tc>
        <w:tc>
          <w:tcPr>
            <w:tcW w:type="pct" w:w="12%"/>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Missing %</w:t>
            </w:r>
          </w:p>
        </w:tc>
        <w:tc>
          <w:tcPr>
            <w:tcW w:type="pct" w:w="52%"/>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Treatment Applied</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pendings</w:t>
            </w:r>
          </w:p>
        </w:tc>
        <w:tc>
          <w:tcPr>
            <w:tcW w:type="pct" w:w="14%"/>
            <w:tcMar>
              <w:top w:type="dxa" w:w="70"/>
              <w:left w:type="dxa" w:w="100"/>
              <w:bottom w:type="dxa" w:w="70"/>
              <w:right w:type="dxa" w:w="100"/>
            </w:tcMar>
            <w:vAlign w:val="center"/>
          </w:tcPr>
          <w:p>
            <w:pPr>
              <w:spacing w:after="0"/>
            </w:pPr>
            <w:r>
              <w:rPr>
                <w:rFonts w:ascii="Calibri" w:cs="Calibri" w:eastAsia="Calibri" w:hAnsi="Calibri"/>
                <w:sz w:val="20"/>
                <w:szCs w:val="20"/>
              </w:rPr>
              <w:t xml:space="preserve">128,976</w:t>
            </w:r>
          </w:p>
        </w:tc>
        <w:tc>
          <w:tcPr>
            <w:tcW w:type="pct" w:w="12%"/>
            <w:tcMar>
              <w:top w:type="dxa" w:w="70"/>
              <w:left w:type="dxa" w:w="100"/>
              <w:bottom w:type="dxa" w:w="70"/>
              <w:right w:type="dxa" w:w="100"/>
            </w:tcMar>
            <w:vAlign w:val="center"/>
          </w:tcPr>
          <w:p>
            <w:pPr>
              <w:spacing w:after="0"/>
            </w:pPr>
            <w:r>
              <w:rPr>
                <w:rFonts w:ascii="Calibri" w:cs="Calibri" w:eastAsia="Calibri" w:hAnsi="Calibri"/>
                <w:sz w:val="20"/>
                <w:szCs w:val="20"/>
              </w:rPr>
              <w:t xml:space="preserve">100.00%</w:t>
            </w:r>
          </w:p>
        </w:tc>
        <w:tc>
          <w:tcPr>
            <w:tcW w:type="pct" w:w="52%"/>
            <w:tcMar>
              <w:top w:type="dxa" w:w="70"/>
              <w:left w:type="dxa" w:w="100"/>
              <w:bottom w:type="dxa" w:w="70"/>
              <w:right w:type="dxa" w:w="100"/>
            </w:tcMar>
            <w:vAlign w:val="center"/>
          </w:tcPr>
          <w:p>
            <w:pPr>
              <w:spacing w:after="0"/>
            </w:pPr>
            <w:r>
              <w:rPr>
                <w:rFonts w:ascii="Calibri" w:cs="Calibri" w:eastAsia="Calibri" w:hAnsi="Calibri"/>
                <w:sz w:val="20"/>
                <w:szCs w:val="20"/>
              </w:rPr>
              <w:t xml:space="preserve">Column dropped - entirely empty and not relevant to analysis</w:t>
            </w:r>
          </w:p>
        </w:tc>
      </w:tr>
      <w:tr>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new</w:t>
            </w:r>
          </w:p>
        </w:tc>
        <w:tc>
          <w:tcPr>
            <w:tcW w:type="pct" w:w="1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128,976</w:t>
            </w:r>
          </w:p>
        </w:tc>
        <w:tc>
          <w:tcPr>
            <w:tcW w:type="pct" w:w="1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100.00%</w:t>
            </w:r>
          </w:p>
        </w:tc>
        <w:tc>
          <w:tcPr>
            <w:tcW w:type="pct" w:w="5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Column dropped - entirely empty and not relevant to analysis</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fulfilled_by</w:t>
            </w:r>
          </w:p>
        </w:tc>
        <w:tc>
          <w:tcPr>
            <w:tcW w:type="pct" w:w="14%"/>
            <w:tcMar>
              <w:top w:type="dxa" w:w="70"/>
              <w:left w:type="dxa" w:w="100"/>
              <w:bottom w:type="dxa" w:w="70"/>
              <w:right w:type="dxa" w:w="100"/>
            </w:tcMar>
            <w:vAlign w:val="center"/>
          </w:tcPr>
          <w:p>
            <w:pPr>
              <w:spacing w:after="0"/>
            </w:pPr>
            <w:r>
              <w:rPr>
                <w:rFonts w:ascii="Calibri" w:cs="Calibri" w:eastAsia="Calibri" w:hAnsi="Calibri"/>
                <w:sz w:val="20"/>
                <w:szCs w:val="20"/>
              </w:rPr>
              <w:t xml:space="preserve">89,713</w:t>
            </w:r>
          </w:p>
        </w:tc>
        <w:tc>
          <w:tcPr>
            <w:tcW w:type="pct" w:w="12%"/>
            <w:tcMar>
              <w:top w:type="dxa" w:w="70"/>
              <w:left w:type="dxa" w:w="100"/>
              <w:bottom w:type="dxa" w:w="70"/>
              <w:right w:type="dxa" w:w="100"/>
            </w:tcMar>
            <w:vAlign w:val="center"/>
          </w:tcPr>
          <w:p>
            <w:pPr>
              <w:spacing w:after="0"/>
            </w:pPr>
            <w:r>
              <w:rPr>
                <w:rFonts w:ascii="Calibri" w:cs="Calibri" w:eastAsia="Calibri" w:hAnsi="Calibri"/>
                <w:sz w:val="20"/>
                <w:szCs w:val="20"/>
              </w:rPr>
              <w:t xml:space="preserve">69.56%</w:t>
            </w:r>
          </w:p>
        </w:tc>
        <w:tc>
          <w:tcPr>
            <w:tcW w:type="pct" w:w="52%"/>
            <w:tcMar>
              <w:top w:type="dxa" w:w="70"/>
              <w:left w:type="dxa" w:w="100"/>
              <w:bottom w:type="dxa" w:w="70"/>
              <w:right w:type="dxa" w:w="100"/>
            </w:tcMar>
            <w:vAlign w:val="center"/>
          </w:tcPr>
          <w:p>
            <w:pPr>
              <w:spacing w:after="0"/>
            </w:pPr>
            <w:r>
              <w:rPr>
                <w:rFonts w:ascii="Calibri" w:cs="Calibri" w:eastAsia="Calibri" w:hAnsi="Calibri"/>
                <w:sz w:val="20"/>
                <w:szCs w:val="20"/>
              </w:rPr>
              <w:t xml:space="preserve">Filled with "Amazon" - missing values corresponded to Amazon-fulfilled orders</w:t>
            </w:r>
          </w:p>
        </w:tc>
      </w:tr>
      <w:tr>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currency</w:t>
            </w:r>
          </w:p>
        </w:tc>
        <w:tc>
          <w:tcPr>
            <w:tcW w:type="pct" w:w="1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7,800</w:t>
            </w:r>
          </w:p>
        </w:tc>
        <w:tc>
          <w:tcPr>
            <w:tcW w:type="pct" w:w="1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6.05%</w:t>
            </w:r>
          </w:p>
        </w:tc>
        <w:tc>
          <w:tcPr>
            <w:tcW w:type="pct" w:w="5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Filled with "INR", the only currency present in the dataset</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amount</w:t>
            </w:r>
          </w:p>
        </w:tc>
        <w:tc>
          <w:tcPr>
            <w:tcW w:type="pct" w:w="14%"/>
            <w:tcMar>
              <w:top w:type="dxa" w:w="70"/>
              <w:left w:type="dxa" w:w="100"/>
              <w:bottom w:type="dxa" w:w="70"/>
              <w:right w:type="dxa" w:w="100"/>
            </w:tcMar>
            <w:vAlign w:val="center"/>
          </w:tcPr>
          <w:p>
            <w:pPr>
              <w:spacing w:after="0"/>
            </w:pPr>
            <w:r>
              <w:rPr>
                <w:rFonts w:ascii="Calibri" w:cs="Calibri" w:eastAsia="Calibri" w:hAnsi="Calibri"/>
                <w:sz w:val="20"/>
                <w:szCs w:val="20"/>
              </w:rPr>
              <w:t xml:space="preserve">7,800</w:t>
            </w:r>
          </w:p>
        </w:tc>
        <w:tc>
          <w:tcPr>
            <w:tcW w:type="pct" w:w="12%"/>
            <w:tcMar>
              <w:top w:type="dxa" w:w="70"/>
              <w:left w:type="dxa" w:w="100"/>
              <w:bottom w:type="dxa" w:w="70"/>
              <w:right w:type="dxa" w:w="100"/>
            </w:tcMar>
            <w:vAlign w:val="center"/>
          </w:tcPr>
          <w:p>
            <w:pPr>
              <w:spacing w:after="0"/>
            </w:pPr>
            <w:r>
              <w:rPr>
                <w:rFonts w:ascii="Calibri" w:cs="Calibri" w:eastAsia="Calibri" w:hAnsi="Calibri"/>
                <w:sz w:val="20"/>
                <w:szCs w:val="20"/>
              </w:rPr>
              <w:t xml:space="preserve">6.05%</w:t>
            </w:r>
          </w:p>
        </w:tc>
        <w:tc>
          <w:tcPr>
            <w:tcW w:type="pct" w:w="52%"/>
            <w:tcMar>
              <w:top w:type="dxa" w:w="70"/>
              <w:left w:type="dxa" w:w="100"/>
              <w:bottom w:type="dxa" w:w="70"/>
              <w:right w:type="dxa" w:w="100"/>
            </w:tcMar>
            <w:vAlign w:val="center"/>
          </w:tcPr>
          <w:p>
            <w:pPr>
              <w:spacing w:after="0"/>
            </w:pPr>
            <w:r>
              <w:rPr>
                <w:rFonts w:ascii="Calibri" w:cs="Calibri" w:eastAsia="Calibri" w:hAnsi="Calibri"/>
                <w:sz w:val="20"/>
                <w:szCs w:val="20"/>
              </w:rPr>
              <w:t xml:space="preserve">Rows with a genuine cancellation retained with amount set to 0; 229 non-cancelled rows with missing amount and no reliable value removed</w:t>
            </w:r>
          </w:p>
        </w:tc>
      </w:tr>
      <w:tr>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ship_state / ship_city / ship_country</w:t>
            </w:r>
          </w:p>
        </w:tc>
        <w:tc>
          <w:tcPr>
            <w:tcW w:type="pct" w:w="1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35 each</w:t>
            </w:r>
          </w:p>
        </w:tc>
        <w:tc>
          <w:tcPr>
            <w:tcW w:type="pct" w:w="1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0.03%</w:t>
            </w:r>
          </w:p>
        </w:tc>
        <w:tc>
          <w:tcPr>
            <w:tcW w:type="pct" w:w="5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Filled with "Unknown" to preserve the order record</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ship_postal_code</w:t>
            </w:r>
          </w:p>
        </w:tc>
        <w:tc>
          <w:tcPr>
            <w:tcW w:type="pct" w:w="14%"/>
            <w:tcMar>
              <w:top w:type="dxa" w:w="70"/>
              <w:left w:type="dxa" w:w="100"/>
              <w:bottom w:type="dxa" w:w="70"/>
              <w:right w:type="dxa" w:w="100"/>
            </w:tcMar>
            <w:vAlign w:val="center"/>
          </w:tcPr>
          <w:p>
            <w:pPr>
              <w:spacing w:after="0"/>
            </w:pPr>
            <w:r>
              <w:rPr>
                <w:rFonts w:ascii="Calibri" w:cs="Calibri" w:eastAsia="Calibri" w:hAnsi="Calibri"/>
                <w:sz w:val="20"/>
                <w:szCs w:val="20"/>
              </w:rPr>
              <w:t xml:space="preserve">35</w:t>
            </w:r>
          </w:p>
        </w:tc>
        <w:tc>
          <w:tcPr>
            <w:tcW w:type="pct" w:w="12%"/>
            <w:tcMar>
              <w:top w:type="dxa" w:w="70"/>
              <w:left w:type="dxa" w:w="100"/>
              <w:bottom w:type="dxa" w:w="70"/>
              <w:right w:type="dxa" w:w="100"/>
            </w:tcMar>
            <w:vAlign w:val="center"/>
          </w:tcPr>
          <w:p>
            <w:pPr>
              <w:spacing w:after="0"/>
            </w:pPr>
            <w:r>
              <w:rPr>
                <w:rFonts w:ascii="Calibri" w:cs="Calibri" w:eastAsia="Calibri" w:hAnsi="Calibri"/>
                <w:sz w:val="20"/>
                <w:szCs w:val="20"/>
              </w:rPr>
              <w:t xml:space="preserve">0.03%</w:t>
            </w:r>
          </w:p>
        </w:tc>
        <w:tc>
          <w:tcPr>
            <w:tcW w:type="pct" w:w="52%"/>
            <w:tcMar>
              <w:top w:type="dxa" w:w="70"/>
              <w:left w:type="dxa" w:w="100"/>
              <w:bottom w:type="dxa" w:w="70"/>
              <w:right w:type="dxa" w:w="100"/>
            </w:tcMar>
            <w:vAlign w:val="center"/>
          </w:tcPr>
          <w:p>
            <w:pPr>
              <w:spacing w:after="0"/>
            </w:pPr>
            <w:r>
              <w:rPr>
                <w:rFonts w:ascii="Calibri" w:cs="Calibri" w:eastAsia="Calibri" w:hAnsi="Calibri"/>
                <w:sz w:val="20"/>
                <w:szCs w:val="20"/>
              </w:rPr>
              <w:t xml:space="preserve">Filled with 0 and converted to integer type</w:t>
            </w:r>
          </w:p>
        </w:tc>
      </w:tr>
    </w:tbl>
    <w:p>
      <w:pPr>
        <w:spacing w:after="160"/>
      </w:pPr>
    </w:p>
    <w:p>
      <w:pPr>
        <w:pStyle w:val="Heading2"/>
        <w:spacing w:after="140" w:before="280"/>
      </w:pPr>
      <w:r>
        <w:t xml:space="preserve">7.2 Duplicate Handling</w:t>
      </w:r>
    </w:p>
    <w:p>
      <w:pPr>
        <w:spacing w:after="160" w:line="276"/>
      </w:pPr>
      <w:r>
        <w:rPr>
          <w:rFonts w:ascii="Calibri" w:cs="Calibri" w:eastAsia="Calibri" w:hAnsi="Calibri"/>
          <w:color w:val="262626"/>
          <w:sz w:val="22"/>
          <w:szCs w:val="22"/>
        </w:rPr>
        <w:t xml:space="preserve">A duplicate check identified 168 fully duplicated records. These were removed using drop_duplicates(). A post-cleaning duplicate check confirmed zero remaining duplicate records in the final dataset.</w:t>
      </w:r>
    </w:p>
    <w:p>
      <w:pPr>
        <w:pStyle w:val="Heading2"/>
        <w:spacing w:after="140" w:before="280"/>
      </w:pPr>
      <w:r>
        <w:t xml:space="preserve">7.3 Data Type Conversion</w:t>
      </w:r>
    </w:p>
    <w:p>
      <w:pPr>
        <w:pStyle w:val="ListParagraph"/>
        <w:numPr>
          <w:ilvl w:val="0"/>
          <w:numId w:val="1"/>
        </w:numPr>
        <w:spacing w:after="90" w:line="276"/>
      </w:pPr>
      <w:r>
        <w:rPr>
          <w:rFonts w:ascii="Calibri" w:cs="Calibri" w:eastAsia="Calibri" w:hAnsi="Calibri"/>
          <w:color w:val="262626"/>
          <w:sz w:val="22"/>
          <w:szCs w:val="22"/>
        </w:rPr>
        <w:t xml:space="preserve">The date column, originally stored as inconsistent text, was converted to a proper datetime type using a mixed-format parser.</w:t>
      </w:r>
    </w:p>
    <w:p>
      <w:pPr>
        <w:pStyle w:val="ListParagraph"/>
        <w:numPr>
          <w:ilvl w:val="0"/>
          <w:numId w:val="1"/>
        </w:numPr>
        <w:spacing w:after="90" w:line="276"/>
      </w:pPr>
      <w:r>
        <w:rPr>
          <w:rFonts w:ascii="Calibri" w:cs="Calibri" w:eastAsia="Calibri" w:hAnsi="Calibri"/>
          <w:color w:val="262626"/>
          <w:sz w:val="22"/>
          <w:szCs w:val="22"/>
        </w:rPr>
        <w:t xml:space="preserve">ship_postal_code was converted from a floating-point type to integer after filling missing values.</w:t>
      </w:r>
    </w:p>
    <w:p>
      <w:pPr>
        <w:pStyle w:val="Heading2"/>
        <w:spacing w:after="140" w:before="280"/>
      </w:pPr>
      <w:r>
        <w:t xml:space="preserve">7.4 Feature Engineering</w:t>
      </w:r>
    </w:p>
    <w:p>
      <w:pPr>
        <w:spacing w:after="160" w:line="276"/>
      </w:pPr>
      <w:r>
        <w:rPr>
          <w:rFonts w:ascii="Calibri" w:cs="Calibri" w:eastAsia="Calibri" w:hAnsi="Calibri"/>
          <w:color w:val="262626"/>
          <w:sz w:val="22"/>
          <w:szCs w:val="22"/>
        </w:rPr>
        <w:t xml:space="preserve">Six new time-based fields were derived from the cleaned date column to support trend analysis without repeated parsing during EDA, SQL, and Power BI work:</w:t>
      </w:r>
    </w:p>
    <w:p>
      <w:pPr>
        <w:pStyle w:val="ListParagraph"/>
        <w:numPr>
          <w:ilvl w:val="0"/>
          <w:numId w:val="1"/>
        </w:numPr>
        <w:spacing w:after="90" w:line="276"/>
      </w:pPr>
      <w:r>
        <w:rPr>
          <w:rFonts w:ascii="Calibri" w:cs="Calibri" w:eastAsia="Calibri" w:hAnsi="Calibri"/>
          <w:color w:val="262626"/>
          <w:sz w:val="22"/>
          <w:szCs w:val="22"/>
        </w:rPr>
        <w:t xml:space="preserve">year - calendar year of the order</w:t>
      </w:r>
    </w:p>
    <w:p>
      <w:pPr>
        <w:pStyle w:val="ListParagraph"/>
        <w:numPr>
          <w:ilvl w:val="0"/>
          <w:numId w:val="1"/>
        </w:numPr>
        <w:spacing w:after="90" w:line="276"/>
      </w:pPr>
      <w:r>
        <w:rPr>
          <w:rFonts w:ascii="Calibri" w:cs="Calibri" w:eastAsia="Calibri" w:hAnsi="Calibri"/>
          <w:color w:val="262626"/>
          <w:sz w:val="22"/>
          <w:szCs w:val="22"/>
        </w:rPr>
        <w:t xml:space="preserve">month - full month name</w:t>
      </w:r>
    </w:p>
    <w:p>
      <w:pPr>
        <w:pStyle w:val="ListParagraph"/>
        <w:numPr>
          <w:ilvl w:val="0"/>
          <w:numId w:val="1"/>
        </w:numPr>
        <w:spacing w:after="90" w:line="276"/>
      </w:pPr>
      <w:r>
        <w:rPr>
          <w:rFonts w:ascii="Calibri" w:cs="Calibri" w:eastAsia="Calibri" w:hAnsi="Calibri"/>
          <w:color w:val="262626"/>
          <w:sz w:val="22"/>
          <w:szCs w:val="22"/>
        </w:rPr>
        <w:t xml:space="preserve">month_number - numeric month (1-12) for correct chronological sorting</w:t>
      </w:r>
    </w:p>
    <w:p>
      <w:pPr>
        <w:pStyle w:val="ListParagraph"/>
        <w:numPr>
          <w:ilvl w:val="0"/>
          <w:numId w:val="1"/>
        </w:numPr>
        <w:spacing w:after="90" w:line="276"/>
      </w:pPr>
      <w:r>
        <w:rPr>
          <w:rFonts w:ascii="Calibri" w:cs="Calibri" w:eastAsia="Calibri" w:hAnsi="Calibri"/>
          <w:color w:val="262626"/>
          <w:sz w:val="22"/>
          <w:szCs w:val="22"/>
        </w:rPr>
        <w:t xml:space="preserve">day - calendar day of month</w:t>
      </w:r>
    </w:p>
    <w:p>
      <w:pPr>
        <w:pStyle w:val="ListParagraph"/>
        <w:numPr>
          <w:ilvl w:val="0"/>
          <w:numId w:val="1"/>
        </w:numPr>
        <w:spacing w:after="90" w:line="276"/>
      </w:pPr>
      <w:r>
        <w:rPr>
          <w:rFonts w:ascii="Calibri" w:cs="Calibri" w:eastAsia="Calibri" w:hAnsi="Calibri"/>
          <w:color w:val="262626"/>
          <w:sz w:val="22"/>
          <w:szCs w:val="22"/>
        </w:rPr>
        <w:t xml:space="preserve">day_name - day of week</w:t>
      </w:r>
    </w:p>
    <w:p>
      <w:pPr>
        <w:pStyle w:val="ListParagraph"/>
        <w:numPr>
          <w:ilvl w:val="0"/>
          <w:numId w:val="1"/>
        </w:numPr>
        <w:spacing w:after="90" w:line="276"/>
      </w:pPr>
      <w:r>
        <w:rPr>
          <w:rFonts w:ascii="Calibri" w:cs="Calibri" w:eastAsia="Calibri" w:hAnsi="Calibri"/>
          <w:color w:val="262626"/>
          <w:sz w:val="22"/>
          <w:szCs w:val="22"/>
        </w:rPr>
        <w:t xml:space="preserve">quarter - calendar quarter</w:t>
      </w:r>
    </w:p>
    <w:p>
      <w:pPr>
        <w:pStyle w:val="Heading2"/>
        <w:spacing w:after="140" w:before="280"/>
      </w:pPr>
      <w:r>
        <w:t xml:space="preserve">7.5 Standardization</w:t>
      </w:r>
    </w:p>
    <w:p>
      <w:pPr>
        <w:spacing w:after="160" w:line="276"/>
      </w:pPr>
      <w:r>
        <w:rPr>
          <w:rFonts w:ascii="Calibri" w:cs="Calibri" w:eastAsia="Calibri" w:hAnsi="Calibri"/>
          <w:color w:val="262626"/>
          <w:sz w:val="22"/>
          <w:szCs w:val="22"/>
        </w:rPr>
        <w:t xml:space="preserve">Column names were standardized (stripped, lower-cased, spaces and hyphens replaced with underscores) to ensure consistent references across the Python, SQL, and Power BI layers of the project. Currency was standardized to a single value (INR) across all records.</w:t>
      </w:r>
    </w:p>
    <w:p>
      <w:pPr>
        <w:pStyle w:val="Heading2"/>
        <w:spacing w:after="140" w:before="280"/>
      </w:pPr>
      <w:r>
        <w:t xml:space="preserve">7.6 Final Cleaned Dataset Summary</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Attribute</w:t>
            </w:r>
          </w:p>
        </w:tc>
        <w:tc>
          <w:tcPr>
            <w:tcW w:type="pct" w:w="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Value</w:t>
            </w:r>
          </w:p>
        </w:tc>
      </w:tr>
      <w:tr>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Final row count</w:t>
            </w:r>
          </w:p>
        </w:tc>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128,579</w:t>
            </w:r>
          </w:p>
        </w:tc>
      </w:tr>
      <w:tr>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Final column count</w:t>
            </w:r>
          </w:p>
        </w:tc>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24</w:t>
            </w:r>
          </w:p>
        </w:tc>
      </w:tr>
      <w:tr>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Duplicate records</w:t>
            </w:r>
          </w:p>
        </w:tc>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0</w:t>
            </w:r>
          </w:p>
        </w:tc>
      </w:tr>
      <w:tr>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Missing values remaining</w:t>
            </w:r>
          </w:p>
        </w:tc>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0</w:t>
            </w:r>
          </w:p>
        </w:tc>
      </w:tr>
      <w:tr>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Date field type</w:t>
            </w:r>
          </w:p>
        </w:tc>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datetime64</w:t>
            </w:r>
          </w:p>
        </w:tc>
      </w:tr>
      <w:tr>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Output file</w:t>
            </w:r>
          </w:p>
        </w:tc>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Amazon_Sales_Cleaned.csv</w:t>
            </w:r>
          </w:p>
        </w:tc>
      </w:tr>
    </w:tbl>
    <w:p>
      <w:r>
        <w:br w:type="page"/>
      </w:r>
    </w:p>
    <w:p>
      <w:pPr>
        <w:pStyle w:val="Heading1"/>
        <w:pBdr>
          <w:bottom w:val="single" w:color="1F3864" w:sz="6" w:space="4"/>
        </w:pBdr>
        <w:spacing w:after="200" w:before="400"/>
      </w:pPr>
      <w:r>
        <w:t xml:space="preserve">8. Exploratory Data Analysis</w:t>
      </w:r>
    </w:p>
    <w:p>
      <w:pPr>
        <w:spacing w:after="160" w:line="276"/>
      </w:pPr>
      <w:r>
        <w:rPr>
          <w:rFonts w:ascii="Calibri" w:cs="Calibri" w:eastAsia="Calibri" w:hAnsi="Calibri"/>
          <w:color w:val="262626"/>
          <w:sz w:val="22"/>
          <w:szCs w:val="22"/>
        </w:rPr>
        <w:t xml:space="preserve">Exploratory Data Analysis (EDA) was performed on the cleaned dataset to identify sales trends, product performance, fulfilment efficiency, customer behavior, and geographical distribution. Each analysis below reflects the calculations and visualizations produced in the Exploratory Data Analysis notebook.</w:t>
      </w:r>
    </w:p>
    <w:p>
      <w:pPr>
        <w:pStyle w:val="Heading2"/>
        <w:spacing w:after="140" w:before="280"/>
      </w:pPr>
      <w:r>
        <w:t xml:space="preserve">8.1 Business Overview</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Metric</w:t>
            </w:r>
          </w:p>
        </w:tc>
        <w:tc>
          <w:tcPr>
            <w:tcW w:type="pct" w:w="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Value</w:t>
            </w:r>
          </w:p>
        </w:tc>
      </w:tr>
      <w:tr>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Total Orders</w:t>
            </w:r>
          </w:p>
        </w:tc>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120,106</w:t>
            </w:r>
          </w:p>
        </w:tc>
      </w:tr>
      <w:tr>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Total Revenue</w:t>
            </w:r>
          </w:p>
        </w:tc>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₹78,496,786.39</w:t>
            </w:r>
          </w:p>
        </w:tc>
      </w:tr>
      <w:tr>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Total Quantity Sold</w:t>
            </w:r>
          </w:p>
        </w:tc>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116,330</w:t>
            </w:r>
          </w:p>
        </w:tc>
      </w:tr>
      <w:tr>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Average Order Value</w:t>
            </w:r>
          </w:p>
        </w:tc>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₹610.49</w:t>
            </w:r>
          </w:p>
        </w:tc>
      </w:tr>
    </w:tbl>
    <w:p>
      <w:pPr>
        <w:spacing w:after="160" w:line="276"/>
      </w:pPr>
      <w:r>
        <w:rPr>
          <w:rFonts w:ascii="Calibri" w:cs="Calibri" w:eastAsia="Calibri" w:hAnsi="Calibri"/>
          <w:color w:val="262626"/>
          <w:sz w:val="22"/>
          <w:szCs w:val="22"/>
        </w:rPr>
        <w:t xml:space="preserve">This summary establishes the baseline scale of the business and serves as the reference point for all subsequent segment-level analysis.</w:t>
      </w:r>
    </w:p>
    <w:p>
      <w:pPr>
        <w:pStyle w:val="Heading2"/>
        <w:spacing w:after="140" w:before="280"/>
      </w:pPr>
      <w:r>
        <w:t xml:space="preserve">8.2 Sales Trend Analysis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3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Month</w:t>
            </w:r>
          </w:p>
        </w:tc>
        <w:tc>
          <w:tcPr>
            <w:tcW w:type="pct" w:w="4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Total Revenue (₹)</w:t>
            </w:r>
          </w:p>
        </w:tc>
        <w:tc>
          <w:tcPr>
            <w:tcW w:type="pct" w:w="3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Total Orders</w:t>
            </w:r>
          </w:p>
        </w:tc>
      </w:tr>
      <w:tr>
        <w:tc>
          <w:tcPr>
            <w:tcW w:type="pct" w:w="30%"/>
            <w:tcMar>
              <w:top w:type="dxa" w:w="70"/>
              <w:left w:type="dxa" w:w="100"/>
              <w:bottom w:type="dxa" w:w="70"/>
              <w:right w:type="dxa" w:w="100"/>
            </w:tcMar>
            <w:vAlign w:val="center"/>
          </w:tcPr>
          <w:p>
            <w:pPr>
              <w:spacing w:after="0"/>
            </w:pPr>
            <w:r>
              <w:rPr>
                <w:rFonts w:ascii="Calibri" w:cs="Calibri" w:eastAsia="Calibri" w:hAnsi="Calibri"/>
                <w:sz w:val="20"/>
                <w:szCs w:val="20"/>
              </w:rPr>
              <w:t xml:space="preserve">March</w:t>
            </w:r>
          </w:p>
        </w:tc>
        <w:tc>
          <w:tcPr>
            <w:tcW w:type="pct" w:w="40%"/>
            <w:tcMar>
              <w:top w:type="dxa" w:w="70"/>
              <w:left w:type="dxa" w:w="100"/>
              <w:bottom w:type="dxa" w:w="70"/>
              <w:right w:type="dxa" w:w="100"/>
            </w:tcMar>
            <w:vAlign w:val="center"/>
          </w:tcPr>
          <w:p>
            <w:pPr>
              <w:spacing w:after="0"/>
            </w:pPr>
            <w:r>
              <w:rPr>
                <w:rFonts w:ascii="Calibri" w:cs="Calibri" w:eastAsia="Calibri" w:hAnsi="Calibri"/>
                <w:sz w:val="20"/>
                <w:szCs w:val="20"/>
              </w:rPr>
              <w:t xml:space="preserve">101,683.85</w:t>
            </w:r>
          </w:p>
        </w:tc>
        <w:tc>
          <w:tcPr>
            <w:tcW w:type="pct" w:w="30%"/>
            <w:tcMar>
              <w:top w:type="dxa" w:w="70"/>
              <w:left w:type="dxa" w:w="100"/>
              <w:bottom w:type="dxa" w:w="70"/>
              <w:right w:type="dxa" w:w="100"/>
            </w:tcMar>
            <w:vAlign w:val="center"/>
          </w:tcPr>
          <w:p>
            <w:pPr>
              <w:spacing w:after="0"/>
            </w:pPr>
            <w:r>
              <w:rPr>
                <w:rFonts w:ascii="Calibri" w:cs="Calibri" w:eastAsia="Calibri" w:hAnsi="Calibri"/>
                <w:sz w:val="20"/>
                <w:szCs w:val="20"/>
              </w:rPr>
              <w:t xml:space="preserve">158</w:t>
            </w:r>
          </w:p>
        </w:tc>
      </w:tr>
      <w:tr>
        <w:tc>
          <w:tcPr>
            <w:tcW w:type="pct" w:w="3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April</w:t>
            </w:r>
          </w:p>
        </w:tc>
        <w:tc>
          <w:tcPr>
            <w:tcW w:type="pct" w:w="4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28,742,816.41</w:t>
            </w:r>
          </w:p>
        </w:tc>
        <w:tc>
          <w:tcPr>
            <w:tcW w:type="pct" w:w="3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45,657</w:t>
            </w:r>
          </w:p>
        </w:tc>
      </w:tr>
      <w:tr>
        <w:tc>
          <w:tcPr>
            <w:tcW w:type="pct" w:w="30%"/>
            <w:tcMar>
              <w:top w:type="dxa" w:w="70"/>
              <w:left w:type="dxa" w:w="100"/>
              <w:bottom w:type="dxa" w:w="70"/>
              <w:right w:type="dxa" w:w="100"/>
            </w:tcMar>
            <w:vAlign w:val="center"/>
          </w:tcPr>
          <w:p>
            <w:pPr>
              <w:spacing w:after="0"/>
            </w:pPr>
            <w:r>
              <w:rPr>
                <w:rFonts w:ascii="Calibri" w:cs="Calibri" w:eastAsia="Calibri" w:hAnsi="Calibri"/>
                <w:sz w:val="20"/>
                <w:szCs w:val="20"/>
              </w:rPr>
              <w:t xml:space="preserve">May</w:t>
            </w:r>
          </w:p>
        </w:tc>
        <w:tc>
          <w:tcPr>
            <w:tcW w:type="pct" w:w="40%"/>
            <w:tcMar>
              <w:top w:type="dxa" w:w="70"/>
              <w:left w:type="dxa" w:w="100"/>
              <w:bottom w:type="dxa" w:w="70"/>
              <w:right w:type="dxa" w:w="100"/>
            </w:tcMar>
            <w:vAlign w:val="center"/>
          </w:tcPr>
          <w:p>
            <w:pPr>
              <w:spacing w:after="0"/>
            </w:pPr>
            <w:r>
              <w:rPr>
                <w:rFonts w:ascii="Calibri" w:cs="Calibri" w:eastAsia="Calibri" w:hAnsi="Calibri"/>
                <w:sz w:val="20"/>
                <w:szCs w:val="20"/>
              </w:rPr>
              <w:t xml:space="preserve">26,226,476.75</w:t>
            </w:r>
          </w:p>
        </w:tc>
        <w:tc>
          <w:tcPr>
            <w:tcW w:type="pct" w:w="30%"/>
            <w:tcMar>
              <w:top w:type="dxa" w:w="70"/>
              <w:left w:type="dxa" w:w="100"/>
              <w:bottom w:type="dxa" w:w="70"/>
              <w:right w:type="dxa" w:w="100"/>
            </w:tcMar>
            <w:vAlign w:val="center"/>
          </w:tcPr>
          <w:p>
            <w:pPr>
              <w:spacing w:after="0"/>
            </w:pPr>
            <w:r>
              <w:rPr>
                <w:rFonts w:ascii="Calibri" w:cs="Calibri" w:eastAsia="Calibri" w:hAnsi="Calibri"/>
                <w:sz w:val="20"/>
                <w:szCs w:val="20"/>
              </w:rPr>
              <w:t xml:space="preserve">39,180</w:t>
            </w:r>
          </w:p>
        </w:tc>
      </w:tr>
      <w:tr>
        <w:tc>
          <w:tcPr>
            <w:tcW w:type="pct" w:w="3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June</w:t>
            </w:r>
          </w:p>
        </w:tc>
        <w:tc>
          <w:tcPr>
            <w:tcW w:type="pct" w:w="4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23,425,809.38</w:t>
            </w:r>
          </w:p>
        </w:tc>
        <w:tc>
          <w:tcPr>
            <w:tcW w:type="pct" w:w="3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35,111</w:t>
            </w:r>
          </w:p>
        </w:tc>
      </w:tr>
    </w:tbl>
    <w:p>
      <w:pPr>
        <w:spacing w:after="160" w:line="276"/>
      </w:pPr>
      <w:r>
        <w:rPr>
          <w:rFonts w:ascii="Calibri" w:cs="Calibri" w:eastAsia="Calibri" w:hAnsi="Calibri"/>
          <w:color w:val="262626"/>
          <w:sz w:val="22"/>
          <w:szCs w:val="22"/>
        </w:rPr>
        <w:t xml:space="preserve">March reflects a partial month with minimal activity, indicating the effective start of full-scale operations in April. Revenue and order volume both peaked in April and declined progressively through May and June, a pattern that should inform demand forecasting, inventory planning, and the timing of promotional campaigns for future periods.</w:t>
      </w:r>
    </w:p>
    <w:p>
      <w:pPr>
        <w:spacing w:after="60" w:before="120"/>
        <w:jc w:val="center"/>
      </w:pPr>
      <w:r>
        <w:drawing>
          <wp:inline distT="0" distB="0" distL="0" distR="0">
            <wp:extent cx="4191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3241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8.2.1 - Monthly Revenue Trend</w:t>
      </w:r>
    </w:p>
    <w:p>
      <w:pPr>
        <w:pStyle w:val="Heading2"/>
        <w:spacing w:after="140" w:before="280"/>
      </w:pPr>
      <w:r>
        <w:t xml:space="preserve">8.3 Order Status Analysis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Status</w:t>
            </w:r>
          </w:p>
        </w:tc>
        <w:tc>
          <w:tcPr>
            <w:tcW w:type="pct" w:w="24%"/>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Orders</w:t>
            </w:r>
          </w:p>
        </w:tc>
        <w:tc>
          <w:tcPr>
            <w:tcW w:type="pct" w:w="3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Revenue (₹)</w:t>
            </w:r>
          </w:p>
        </w:tc>
      </w:tr>
      <w:tr>
        <w:tc>
          <w:tcPr>
            <w:tcW w:type="pct" w:w="46%"/>
            <w:tcMar>
              <w:top w:type="dxa" w:w="70"/>
              <w:left w:type="dxa" w:w="100"/>
              <w:bottom w:type="dxa" w:w="70"/>
              <w:right w:type="dxa" w:w="100"/>
            </w:tcMar>
            <w:vAlign w:val="center"/>
          </w:tcPr>
          <w:p>
            <w:pPr>
              <w:spacing w:after="0"/>
            </w:pPr>
            <w:r>
              <w:rPr>
                <w:rFonts w:ascii="Calibri" w:cs="Calibri" w:eastAsia="Calibri" w:hAnsi="Calibri"/>
                <w:sz w:val="20"/>
                <w:szCs w:val="20"/>
              </w:rPr>
              <w:t xml:space="preserve">Shipped</w:t>
            </w:r>
          </w:p>
        </w:tc>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72,627</w:t>
            </w:r>
          </w:p>
        </w:tc>
        <w:tc>
          <w:tcPr>
            <w:tcW w:type="pct" w:w="30%"/>
            <w:tcMar>
              <w:top w:type="dxa" w:w="70"/>
              <w:left w:type="dxa" w:w="100"/>
              <w:bottom w:type="dxa" w:w="70"/>
              <w:right w:type="dxa" w:w="100"/>
            </w:tcMar>
            <w:vAlign w:val="center"/>
          </w:tcPr>
          <w:p>
            <w:pPr>
              <w:spacing w:after="0"/>
            </w:pPr>
            <w:r>
              <w:rPr>
                <w:rFonts w:ascii="Calibri" w:cs="Calibri" w:eastAsia="Calibri" w:hAnsi="Calibri"/>
                <w:sz w:val="20"/>
                <w:szCs w:val="20"/>
              </w:rPr>
              <w:t xml:space="preserve">50,268,420.00</w:t>
            </w:r>
          </w:p>
        </w:tc>
      </w:tr>
      <w:tr>
        <w:tc>
          <w:tcPr>
            <w:tcW w:type="pct" w:w="4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Shipped - Delivered to Buyer</w:t>
            </w:r>
          </w:p>
        </w:tc>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26,521</w:t>
            </w:r>
          </w:p>
        </w:tc>
        <w:tc>
          <w:tcPr>
            <w:tcW w:type="pct" w:w="3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18,619,610.00</w:t>
            </w:r>
          </w:p>
        </w:tc>
      </w:tr>
      <w:tr>
        <w:tc>
          <w:tcPr>
            <w:tcW w:type="pct" w:w="46%"/>
            <w:tcMar>
              <w:top w:type="dxa" w:w="70"/>
              <w:left w:type="dxa" w:w="100"/>
              <w:bottom w:type="dxa" w:w="70"/>
              <w:right w:type="dxa" w:w="100"/>
            </w:tcMar>
            <w:vAlign w:val="center"/>
          </w:tcPr>
          <w:p>
            <w:pPr>
              <w:spacing w:after="0"/>
            </w:pPr>
            <w:r>
              <w:rPr>
                <w:rFonts w:ascii="Calibri" w:cs="Calibri" w:eastAsia="Calibri" w:hAnsi="Calibri"/>
                <w:sz w:val="20"/>
                <w:szCs w:val="20"/>
              </w:rPr>
              <w:t xml:space="preserve">Cancelled</w:t>
            </w:r>
          </w:p>
        </w:tc>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17,166</w:t>
            </w:r>
          </w:p>
        </w:tc>
        <w:tc>
          <w:tcPr>
            <w:tcW w:type="pct" w:w="30%"/>
            <w:tcMar>
              <w:top w:type="dxa" w:w="70"/>
              <w:left w:type="dxa" w:w="100"/>
              <w:bottom w:type="dxa" w:w="70"/>
              <w:right w:type="dxa" w:w="100"/>
            </w:tcMar>
            <w:vAlign w:val="center"/>
          </w:tcPr>
          <w:p>
            <w:pPr>
              <w:spacing w:after="0"/>
            </w:pPr>
            <w:r>
              <w:rPr>
                <w:rFonts w:ascii="Calibri" w:cs="Calibri" w:eastAsia="Calibri" w:hAnsi="Calibri"/>
                <w:sz w:val="20"/>
                <w:szCs w:val="20"/>
              </w:rPr>
              <w:t xml:space="preserve">6,910,831.39</w:t>
            </w:r>
          </w:p>
        </w:tc>
      </w:tr>
      <w:tr>
        <w:tc>
          <w:tcPr>
            <w:tcW w:type="pct" w:w="4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Shipped - Returned to Seller</w:t>
            </w:r>
          </w:p>
        </w:tc>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1,850</w:t>
            </w:r>
          </w:p>
        </w:tc>
        <w:tc>
          <w:tcPr>
            <w:tcW w:type="pct" w:w="3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1,269,245.00</w:t>
            </w:r>
          </w:p>
        </w:tc>
      </w:tr>
      <w:tr>
        <w:tc>
          <w:tcPr>
            <w:tcW w:type="pct" w:w="46%"/>
            <w:tcMar>
              <w:top w:type="dxa" w:w="70"/>
              <w:left w:type="dxa" w:w="100"/>
              <w:bottom w:type="dxa" w:w="70"/>
              <w:right w:type="dxa" w:w="100"/>
            </w:tcMar>
            <w:vAlign w:val="center"/>
          </w:tcPr>
          <w:p>
            <w:pPr>
              <w:spacing w:after="0"/>
            </w:pPr>
            <w:r>
              <w:rPr>
                <w:rFonts w:ascii="Calibri" w:cs="Calibri" w:eastAsia="Calibri" w:hAnsi="Calibri"/>
                <w:sz w:val="20"/>
                <w:szCs w:val="20"/>
              </w:rPr>
              <w:t xml:space="preserve">Shipped - Picked Up</w:t>
            </w:r>
          </w:p>
        </w:tc>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918</w:t>
            </w:r>
          </w:p>
        </w:tc>
        <w:tc>
          <w:tcPr>
            <w:tcW w:type="pct" w:w="30%"/>
            <w:tcMar>
              <w:top w:type="dxa" w:w="70"/>
              <w:left w:type="dxa" w:w="100"/>
              <w:bottom w:type="dxa" w:w="70"/>
              <w:right w:type="dxa" w:w="100"/>
            </w:tcMar>
            <w:vAlign w:val="center"/>
          </w:tcPr>
          <w:p>
            <w:pPr>
              <w:spacing w:after="0"/>
            </w:pPr>
            <w:r>
              <w:rPr>
                <w:rFonts w:ascii="Calibri" w:cs="Calibri" w:eastAsia="Calibri" w:hAnsi="Calibri"/>
                <w:sz w:val="20"/>
                <w:szCs w:val="20"/>
              </w:rPr>
              <w:t xml:space="preserve">661,252.00</w:t>
            </w:r>
          </w:p>
        </w:tc>
      </w:tr>
      <w:tr>
        <w:tc>
          <w:tcPr>
            <w:tcW w:type="pct" w:w="4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Pending</w:t>
            </w:r>
          </w:p>
        </w:tc>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584</w:t>
            </w:r>
          </w:p>
        </w:tc>
        <w:tc>
          <w:tcPr>
            <w:tcW w:type="pct" w:w="3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430,271.00</w:t>
            </w:r>
          </w:p>
        </w:tc>
      </w:tr>
      <w:tr>
        <w:tc>
          <w:tcPr>
            <w:tcW w:type="pct" w:w="46%"/>
            <w:tcMar>
              <w:top w:type="dxa" w:w="70"/>
              <w:left w:type="dxa" w:w="100"/>
              <w:bottom w:type="dxa" w:w="70"/>
              <w:right w:type="dxa" w:w="100"/>
            </w:tcMar>
            <w:vAlign w:val="center"/>
          </w:tcPr>
          <w:p>
            <w:pPr>
              <w:spacing w:after="0"/>
            </w:pPr>
            <w:r>
              <w:rPr>
                <w:rFonts w:ascii="Calibri" w:cs="Calibri" w:eastAsia="Calibri" w:hAnsi="Calibri"/>
                <w:sz w:val="20"/>
                <w:szCs w:val="20"/>
              </w:rPr>
              <w:t xml:space="preserve">Pending - Waiting for Pick Up</w:t>
            </w:r>
          </w:p>
        </w:tc>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262</w:t>
            </w:r>
          </w:p>
        </w:tc>
        <w:tc>
          <w:tcPr>
            <w:tcW w:type="pct" w:w="30%"/>
            <w:tcMar>
              <w:top w:type="dxa" w:w="70"/>
              <w:left w:type="dxa" w:w="100"/>
              <w:bottom w:type="dxa" w:w="70"/>
              <w:right w:type="dxa" w:w="100"/>
            </w:tcMar>
            <w:vAlign w:val="center"/>
          </w:tcPr>
          <w:p>
            <w:pPr>
              <w:spacing w:after="0"/>
            </w:pPr>
            <w:r>
              <w:rPr>
                <w:rFonts w:ascii="Calibri" w:cs="Calibri" w:eastAsia="Calibri" w:hAnsi="Calibri"/>
                <w:sz w:val="20"/>
                <w:szCs w:val="20"/>
              </w:rPr>
              <w:t xml:space="preserve">192,138.00</w:t>
            </w:r>
          </w:p>
        </w:tc>
      </w:tr>
      <w:tr>
        <w:tc>
          <w:tcPr>
            <w:tcW w:type="pct" w:w="4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Shipped - Returning to Seller</w:t>
            </w:r>
          </w:p>
        </w:tc>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130</w:t>
            </w:r>
          </w:p>
        </w:tc>
        <w:tc>
          <w:tcPr>
            <w:tcW w:type="pct" w:w="3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107,620.00</w:t>
            </w:r>
          </w:p>
        </w:tc>
      </w:tr>
      <w:tr>
        <w:tc>
          <w:tcPr>
            <w:tcW w:type="pct" w:w="46%"/>
            <w:tcMar>
              <w:top w:type="dxa" w:w="70"/>
              <w:left w:type="dxa" w:w="100"/>
              <w:bottom w:type="dxa" w:w="70"/>
              <w:right w:type="dxa" w:w="100"/>
            </w:tcMar>
            <w:vAlign w:val="center"/>
          </w:tcPr>
          <w:p>
            <w:pPr>
              <w:spacing w:after="0"/>
            </w:pPr>
            <w:r>
              <w:rPr>
                <w:rFonts w:ascii="Calibri" w:cs="Calibri" w:eastAsia="Calibri" w:hAnsi="Calibri"/>
                <w:sz w:val="20"/>
                <w:szCs w:val="20"/>
              </w:rPr>
              <w:t xml:space="preserve">Shipped - Out for Delivery</w:t>
            </w:r>
          </w:p>
        </w:tc>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32</w:t>
            </w:r>
          </w:p>
        </w:tc>
        <w:tc>
          <w:tcPr>
            <w:tcW w:type="pct" w:w="30%"/>
            <w:tcMar>
              <w:top w:type="dxa" w:w="70"/>
              <w:left w:type="dxa" w:w="100"/>
              <w:bottom w:type="dxa" w:w="70"/>
              <w:right w:type="dxa" w:w="100"/>
            </w:tcMar>
            <w:vAlign w:val="center"/>
          </w:tcPr>
          <w:p>
            <w:pPr>
              <w:spacing w:after="0"/>
            </w:pPr>
            <w:r>
              <w:rPr>
                <w:rFonts w:ascii="Calibri" w:cs="Calibri" w:eastAsia="Calibri" w:hAnsi="Calibri"/>
                <w:sz w:val="20"/>
                <w:szCs w:val="20"/>
              </w:rPr>
              <w:t xml:space="preserve">26,971.00</w:t>
            </w:r>
          </w:p>
        </w:tc>
      </w:tr>
      <w:tr>
        <w:tc>
          <w:tcPr>
            <w:tcW w:type="pct" w:w="4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Shipped - Rejected by Buyer</w:t>
            </w:r>
          </w:p>
        </w:tc>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11</w:t>
            </w:r>
          </w:p>
        </w:tc>
        <w:tc>
          <w:tcPr>
            <w:tcW w:type="pct" w:w="3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729.00</w:t>
            </w:r>
          </w:p>
        </w:tc>
      </w:tr>
    </w:tbl>
    <w:p>
      <w:pPr>
        <w:spacing w:after="160" w:line="276"/>
      </w:pPr>
      <w:r>
        <w:rPr>
          <w:rFonts w:ascii="Calibri" w:cs="Calibri" w:eastAsia="Calibri" w:hAnsi="Calibri"/>
          <w:color w:val="262626"/>
          <w:sz w:val="22"/>
          <w:szCs w:val="22"/>
        </w:rPr>
        <w:t xml:space="preserve">The large majority of orders reach a shipped or delivered state, indicating a broadly efficient fulfilment process. Cancellations represent the second-largest status group by order count, making cancellation reduction a meaningful lever for revenue recovery.</w:t>
      </w:r>
    </w:p>
    <w:p>
      <w:pPr>
        <w:spacing w:after="60" w:before="120"/>
        <w:jc w:val="center"/>
      </w:pPr>
      <w:r>
        <w:drawing>
          <wp:inline distT="0" distB="0" distL="0" distR="0">
            <wp:extent cx="4191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495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8.3.1 - Orders by Status</w:t>
      </w:r>
    </w:p>
    <w:p>
      <w:pPr>
        <w:pStyle w:val="Heading2"/>
        <w:spacing w:after="140" w:before="280"/>
      </w:pPr>
      <w:r>
        <w:t xml:space="preserve">8.4 Product Category Analysis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tblGrid>
      <w:tr>
        <w:trPr>
          <w:tblHeader/>
        </w:trPr>
        <w:tc>
          <w:tcPr>
            <w:tcW w:type="pct" w:w="24%"/>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Category</w:t>
            </w:r>
          </w:p>
        </w:tc>
        <w:tc>
          <w:tcPr>
            <w:tcW w:type="pct" w:w="22%"/>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Orders</w:t>
            </w:r>
          </w:p>
        </w:tc>
        <w:tc>
          <w:tcPr>
            <w:tcW w:type="pct" w:w="22%"/>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Quantity</w:t>
            </w:r>
          </w:p>
        </w:tc>
        <w:tc>
          <w:tcPr>
            <w:tcW w:type="pct" w:w="32%"/>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Revenue (₹)</w:t>
            </w:r>
          </w:p>
        </w:tc>
      </w:tr>
      <w:tr>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T-shirt</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47,718</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45,165</w:t>
            </w:r>
          </w:p>
        </w:tc>
        <w:tc>
          <w:tcPr>
            <w:tcW w:type="pct" w:w="32%"/>
            <w:tcMar>
              <w:top w:type="dxa" w:w="70"/>
              <w:left w:type="dxa" w:w="100"/>
              <w:bottom w:type="dxa" w:w="70"/>
              <w:right w:type="dxa" w:w="100"/>
            </w:tcMar>
            <w:vAlign w:val="center"/>
          </w:tcPr>
          <w:p>
            <w:pPr>
              <w:spacing w:after="0"/>
            </w:pPr>
            <w:r>
              <w:rPr>
                <w:rFonts w:ascii="Calibri" w:cs="Calibri" w:eastAsia="Calibri" w:hAnsi="Calibri"/>
                <w:sz w:val="20"/>
                <w:szCs w:val="20"/>
              </w:rPr>
              <w:t xml:space="preserve">39,154,132.17</w:t>
            </w:r>
          </w:p>
        </w:tc>
      </w:tr>
      <w:tr>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Shirt</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46,438</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44,903</w:t>
            </w:r>
          </w:p>
        </w:tc>
        <w:tc>
          <w:tcPr>
            <w:tcW w:type="pct" w:w="3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21,269,768.70</w:t>
            </w:r>
          </w:p>
        </w:tc>
      </w:tr>
      <w:tr>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Blazzer</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14,977</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13,930</w:t>
            </w:r>
          </w:p>
        </w:tc>
        <w:tc>
          <w:tcPr>
            <w:tcW w:type="pct" w:w="32%"/>
            <w:tcMar>
              <w:top w:type="dxa" w:w="70"/>
              <w:left w:type="dxa" w:w="100"/>
              <w:bottom w:type="dxa" w:w="70"/>
              <w:right w:type="dxa" w:w="100"/>
            </w:tcMar>
            <w:vAlign w:val="center"/>
          </w:tcPr>
          <w:p>
            <w:pPr>
              <w:spacing w:after="0"/>
            </w:pPr>
            <w:r>
              <w:rPr>
                <w:rFonts w:ascii="Calibri" w:cs="Calibri" w:eastAsia="Calibri" w:hAnsi="Calibri"/>
                <w:sz w:val="20"/>
                <w:szCs w:val="20"/>
              </w:rPr>
              <w:t xml:space="preserve">11,208,506.12</w:t>
            </w:r>
          </w:p>
        </w:tc>
      </w:tr>
      <w:tr>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Trousers</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10,136</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9,885</w:t>
            </w:r>
          </w:p>
        </w:tc>
        <w:tc>
          <w:tcPr>
            <w:tcW w:type="pct" w:w="3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5,341,305.30</w:t>
            </w:r>
          </w:p>
        </w:tc>
      </w:tr>
      <w:tr>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Perfume</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1,146</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1,051</w:t>
            </w:r>
          </w:p>
        </w:tc>
        <w:tc>
          <w:tcPr>
            <w:tcW w:type="pct" w:w="32%"/>
            <w:tcMar>
              <w:top w:type="dxa" w:w="70"/>
              <w:left w:type="dxa" w:w="100"/>
              <w:bottom w:type="dxa" w:w="70"/>
              <w:right w:type="dxa" w:w="100"/>
            </w:tcMar>
            <w:vAlign w:val="center"/>
          </w:tcPr>
          <w:p>
            <w:pPr>
              <w:spacing w:after="0"/>
            </w:pPr>
            <w:r>
              <w:rPr>
                <w:rFonts w:ascii="Calibri" w:cs="Calibri" w:eastAsia="Calibri" w:hAnsi="Calibri"/>
                <w:sz w:val="20"/>
                <w:szCs w:val="20"/>
              </w:rPr>
              <w:t xml:space="preserve">789,419.66</w:t>
            </w:r>
          </w:p>
        </w:tc>
      </w:tr>
      <w:tr>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Wallet</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893</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844</w:t>
            </w:r>
          </w:p>
        </w:tc>
        <w:tc>
          <w:tcPr>
            <w:tcW w:type="pct" w:w="3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458,408.18</w:t>
            </w:r>
          </w:p>
        </w:tc>
      </w:tr>
      <w:tr>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Socks</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408</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397</w:t>
            </w:r>
          </w:p>
        </w:tc>
        <w:tc>
          <w:tcPr>
            <w:tcW w:type="pct" w:w="32%"/>
            <w:tcMar>
              <w:top w:type="dxa" w:w="70"/>
              <w:left w:type="dxa" w:w="100"/>
              <w:bottom w:type="dxa" w:w="70"/>
              <w:right w:type="dxa" w:w="100"/>
            </w:tcMar>
            <w:vAlign w:val="center"/>
          </w:tcPr>
          <w:p>
            <w:pPr>
              <w:spacing w:after="0"/>
            </w:pPr>
            <w:r>
              <w:rPr>
                <w:rFonts w:ascii="Calibri" w:cs="Calibri" w:eastAsia="Calibri" w:hAnsi="Calibri"/>
                <w:sz w:val="20"/>
                <w:szCs w:val="20"/>
              </w:rPr>
              <w:t xml:space="preserve">150,397.50</w:t>
            </w:r>
          </w:p>
        </w:tc>
      </w:tr>
      <w:tr>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Shoes</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144</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152</w:t>
            </w:r>
          </w:p>
        </w:tc>
        <w:tc>
          <w:tcPr>
            <w:tcW w:type="pct" w:w="3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123,933.76</w:t>
            </w:r>
          </w:p>
        </w:tc>
      </w:tr>
      <w:tr>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Watch</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2</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3</w:t>
            </w:r>
          </w:p>
        </w:tc>
        <w:tc>
          <w:tcPr>
            <w:tcW w:type="pct" w:w="32%"/>
            <w:tcMar>
              <w:top w:type="dxa" w:w="70"/>
              <w:left w:type="dxa" w:w="100"/>
              <w:bottom w:type="dxa" w:w="70"/>
              <w:right w:type="dxa" w:w="100"/>
            </w:tcMar>
            <w:vAlign w:val="center"/>
          </w:tcPr>
          <w:p>
            <w:pPr>
              <w:spacing w:after="0"/>
            </w:pPr>
            <w:r>
              <w:rPr>
                <w:rFonts w:ascii="Calibri" w:cs="Calibri" w:eastAsia="Calibri" w:hAnsi="Calibri"/>
                <w:sz w:val="20"/>
                <w:szCs w:val="20"/>
              </w:rPr>
              <w:t xml:space="preserve">915.00</w:t>
            </w:r>
          </w:p>
        </w:tc>
      </w:tr>
    </w:tbl>
    <w:p>
      <w:pPr>
        <w:spacing w:after="160" w:line="276"/>
      </w:pPr>
      <w:r>
        <w:rPr>
          <w:rFonts w:ascii="Calibri" w:cs="Calibri" w:eastAsia="Calibri" w:hAnsi="Calibri"/>
          <w:color w:val="262626"/>
          <w:sz w:val="22"/>
          <w:szCs w:val="22"/>
        </w:rPr>
        <w:t xml:space="preserve">T-shirts and Shirts jointly account for the majority of both revenue and quantity sold, confirming apparel as the core product line. Blazers generate disproportionately higher revenue relative to their order volume, indicating a higher average selling price within that category. Smaller categories such as Perfume, Wallet, Socks, Shoes, and Watch contribute marginally and appear incidental rather than core to the catalogue.</w:t>
      </w:r>
    </w:p>
    <w:p>
      <w:pPr>
        <w:spacing w:after="60" w:before="120"/>
        <w:jc w:val="center"/>
      </w:pPr>
      <w:r>
        <w:drawing>
          <wp:inline distT="0" distB="0" distL="0" distR="0">
            <wp:extent cx="4191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5146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8.4.1 - Revenue by Product Category</w:t>
      </w:r>
    </w:p>
    <w:p>
      <w:pPr>
        <w:spacing w:after="60" w:before="120"/>
        <w:jc w:val="center"/>
      </w:pPr>
      <w:r>
        <w:drawing>
          <wp:inline distT="0" distB="0" distL="0" distR="0">
            <wp:extent cx="4191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4479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8.4.2 - Quantity Sold by Product Category</w:t>
      </w:r>
    </w:p>
    <w:p>
      <w:pPr>
        <w:pStyle w:val="Heading2"/>
        <w:spacing w:after="140" w:before="280"/>
      </w:pPr>
      <w:r>
        <w:t xml:space="preserve">8.5 Product Size Analysis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tblGrid>
      <w:tr>
        <w:trPr>
          <w:tblHeader/>
        </w:trPr>
        <w:tc>
          <w:tcPr>
            <w:tcW w:type="pct" w:w="1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Size</w:t>
            </w:r>
          </w:p>
        </w:tc>
        <w:tc>
          <w:tcPr>
            <w:tcW w:type="pct" w:w="22%"/>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Orders</w:t>
            </w:r>
          </w:p>
        </w:tc>
        <w:tc>
          <w:tcPr>
            <w:tcW w:type="pct" w:w="22%"/>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Quantity</w:t>
            </w:r>
          </w:p>
        </w:tc>
        <w:tc>
          <w:tcPr>
            <w:tcW w:type="pct" w:w="4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Revenue (₹)</w:t>
            </w:r>
          </w:p>
        </w:tc>
      </w:tr>
      <w:tr>
        <w:tc>
          <w:tcPr>
            <w:tcW w:type="pct" w:w="16%"/>
            <w:tcMar>
              <w:top w:type="dxa" w:w="70"/>
              <w:left w:type="dxa" w:w="100"/>
              <w:bottom w:type="dxa" w:w="70"/>
              <w:right w:type="dxa" w:w="100"/>
            </w:tcMar>
            <w:vAlign w:val="center"/>
          </w:tcPr>
          <w:p>
            <w:pPr>
              <w:spacing w:after="0"/>
            </w:pPr>
            <w:r>
              <w:rPr>
                <w:rFonts w:ascii="Calibri" w:cs="Calibri" w:eastAsia="Calibri" w:hAnsi="Calibri"/>
                <w:sz w:val="20"/>
                <w:szCs w:val="20"/>
              </w:rPr>
              <w:t xml:space="preserve">M</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21,364</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20,096</w:t>
            </w:r>
          </w:p>
        </w:tc>
        <w:tc>
          <w:tcPr>
            <w:tcW w:type="pct" w:w="40%"/>
            <w:tcMar>
              <w:top w:type="dxa" w:w="70"/>
              <w:left w:type="dxa" w:w="100"/>
              <w:bottom w:type="dxa" w:w="70"/>
              <w:right w:type="dxa" w:w="100"/>
            </w:tcMar>
            <w:vAlign w:val="center"/>
          </w:tcPr>
          <w:p>
            <w:pPr>
              <w:spacing w:after="0"/>
            </w:pPr>
            <w:r>
              <w:rPr>
                <w:rFonts w:ascii="Calibri" w:cs="Calibri" w:eastAsia="Calibri" w:hAnsi="Calibri"/>
                <w:sz w:val="20"/>
                <w:szCs w:val="20"/>
              </w:rPr>
              <w:t xml:space="preserve">13,678,295.13</w:t>
            </w:r>
          </w:p>
        </w:tc>
      </w:tr>
      <w:tr>
        <w:tc>
          <w:tcPr>
            <w:tcW w:type="pct" w:w="1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L</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20,698</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19,652</w:t>
            </w:r>
          </w:p>
        </w:tc>
        <w:tc>
          <w:tcPr>
            <w:tcW w:type="pct" w:w="4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13,023,938.84</w:t>
            </w:r>
          </w:p>
        </w:tc>
      </w:tr>
      <w:tr>
        <w:tc>
          <w:tcPr>
            <w:tcW w:type="pct" w:w="16%"/>
            <w:tcMar>
              <w:top w:type="dxa" w:w="70"/>
              <w:left w:type="dxa" w:w="100"/>
              <w:bottom w:type="dxa" w:w="70"/>
              <w:right w:type="dxa" w:w="100"/>
            </w:tcMar>
            <w:vAlign w:val="center"/>
          </w:tcPr>
          <w:p>
            <w:pPr>
              <w:spacing w:after="0"/>
            </w:pPr>
            <w:r>
              <w:rPr>
                <w:rFonts w:ascii="Calibri" w:cs="Calibri" w:eastAsia="Calibri" w:hAnsi="Calibri"/>
                <w:sz w:val="20"/>
                <w:szCs w:val="20"/>
              </w:rPr>
              <w:t xml:space="preserve">XL</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19,537</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18,587</w:t>
            </w:r>
          </w:p>
        </w:tc>
        <w:tc>
          <w:tcPr>
            <w:tcW w:type="pct" w:w="40%"/>
            <w:tcMar>
              <w:top w:type="dxa" w:w="70"/>
              <w:left w:type="dxa" w:w="100"/>
              <w:bottom w:type="dxa" w:w="70"/>
              <w:right w:type="dxa" w:w="100"/>
            </w:tcMar>
            <w:vAlign w:val="center"/>
          </w:tcPr>
          <w:p>
            <w:pPr>
              <w:spacing w:after="0"/>
            </w:pPr>
            <w:r>
              <w:rPr>
                <w:rFonts w:ascii="Calibri" w:cs="Calibri" w:eastAsia="Calibri" w:hAnsi="Calibri"/>
                <w:sz w:val="20"/>
                <w:szCs w:val="20"/>
              </w:rPr>
              <w:t xml:space="preserve">12,240,095.38</w:t>
            </w:r>
          </w:p>
        </w:tc>
      </w:tr>
      <w:tr>
        <w:tc>
          <w:tcPr>
            <w:tcW w:type="pct" w:w="1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XXL</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16,860</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16,201</w:t>
            </w:r>
          </w:p>
        </w:tc>
        <w:tc>
          <w:tcPr>
            <w:tcW w:type="pct" w:w="4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10,452,621.64</w:t>
            </w:r>
          </w:p>
        </w:tc>
      </w:tr>
      <w:tr>
        <w:tc>
          <w:tcPr>
            <w:tcW w:type="pct" w:w="16%"/>
            <w:tcMar>
              <w:top w:type="dxa" w:w="70"/>
              <w:left w:type="dxa" w:w="100"/>
              <w:bottom w:type="dxa" w:w="70"/>
              <w:right w:type="dxa" w:w="100"/>
            </w:tcMar>
            <w:vAlign w:val="center"/>
          </w:tcPr>
          <w:p>
            <w:pPr>
              <w:spacing w:after="0"/>
            </w:pPr>
            <w:r>
              <w:rPr>
                <w:rFonts w:ascii="Calibri" w:cs="Calibri" w:eastAsia="Calibri" w:hAnsi="Calibri"/>
                <w:sz w:val="20"/>
                <w:szCs w:val="20"/>
              </w:rPr>
              <w:t xml:space="preserve">S</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16,002</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15,004</w:t>
            </w:r>
          </w:p>
        </w:tc>
        <w:tc>
          <w:tcPr>
            <w:tcW w:type="pct" w:w="40%"/>
            <w:tcMar>
              <w:top w:type="dxa" w:w="70"/>
              <w:left w:type="dxa" w:w="100"/>
              <w:bottom w:type="dxa" w:w="70"/>
              <w:right w:type="dxa" w:w="100"/>
            </w:tcMar>
            <w:vAlign w:val="center"/>
          </w:tcPr>
          <w:p>
            <w:pPr>
              <w:spacing w:after="0"/>
            </w:pPr>
            <w:r>
              <w:rPr>
                <w:rFonts w:ascii="Calibri" w:cs="Calibri" w:eastAsia="Calibri" w:hAnsi="Calibri"/>
                <w:sz w:val="20"/>
                <w:szCs w:val="20"/>
              </w:rPr>
              <w:t xml:space="preserve">10,414,943.18</w:t>
            </w:r>
          </w:p>
        </w:tc>
      </w:tr>
      <w:tr>
        <w:tc>
          <w:tcPr>
            <w:tcW w:type="pct" w:w="1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3XL</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13,571</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13,328</w:t>
            </w:r>
          </w:p>
        </w:tc>
        <w:tc>
          <w:tcPr>
            <w:tcW w:type="pct" w:w="4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9,026,104.92</w:t>
            </w:r>
          </w:p>
        </w:tc>
      </w:tr>
      <w:tr>
        <w:tc>
          <w:tcPr>
            <w:tcW w:type="pct" w:w="16%"/>
            <w:tcMar>
              <w:top w:type="dxa" w:w="70"/>
              <w:left w:type="dxa" w:w="100"/>
              <w:bottom w:type="dxa" w:w="70"/>
              <w:right w:type="dxa" w:w="100"/>
            </w:tcMar>
            <w:vAlign w:val="center"/>
          </w:tcPr>
          <w:p>
            <w:pPr>
              <w:spacing w:after="0"/>
            </w:pPr>
            <w:r>
              <w:rPr>
                <w:rFonts w:ascii="Calibri" w:cs="Calibri" w:eastAsia="Calibri" w:hAnsi="Calibri"/>
                <w:sz w:val="20"/>
                <w:szCs w:val="20"/>
              </w:rPr>
              <w:t xml:space="preserve">XS</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10,400</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9,815</w:t>
            </w:r>
          </w:p>
        </w:tc>
        <w:tc>
          <w:tcPr>
            <w:tcW w:type="pct" w:w="40%"/>
            <w:tcMar>
              <w:top w:type="dxa" w:w="70"/>
              <w:left w:type="dxa" w:w="100"/>
              <w:bottom w:type="dxa" w:w="70"/>
              <w:right w:type="dxa" w:w="100"/>
            </w:tcMar>
            <w:vAlign w:val="center"/>
          </w:tcPr>
          <w:p>
            <w:pPr>
              <w:spacing w:after="0"/>
            </w:pPr>
            <w:r>
              <w:rPr>
                <w:rFonts w:ascii="Calibri" w:cs="Calibri" w:eastAsia="Calibri" w:hAnsi="Calibri"/>
                <w:sz w:val="20"/>
                <w:szCs w:val="20"/>
              </w:rPr>
              <w:t xml:space="preserve">6,952,253.10</w:t>
            </w:r>
          </w:p>
        </w:tc>
      </w:tr>
      <w:tr>
        <w:tc>
          <w:tcPr>
            <w:tcW w:type="pct" w:w="1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Free</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2,185</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2,050</w:t>
            </w:r>
          </w:p>
        </w:tc>
        <w:tc>
          <w:tcPr>
            <w:tcW w:type="pct" w:w="4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1,372,676.60</w:t>
            </w:r>
          </w:p>
        </w:tc>
      </w:tr>
      <w:tr>
        <w:tc>
          <w:tcPr>
            <w:tcW w:type="pct" w:w="16%"/>
            <w:tcMar>
              <w:top w:type="dxa" w:w="70"/>
              <w:left w:type="dxa" w:w="100"/>
              <w:bottom w:type="dxa" w:w="70"/>
              <w:right w:type="dxa" w:w="100"/>
            </w:tcMar>
            <w:vAlign w:val="center"/>
          </w:tcPr>
          <w:p>
            <w:pPr>
              <w:spacing w:after="0"/>
            </w:pPr>
            <w:r>
              <w:rPr>
                <w:rFonts w:ascii="Calibri" w:cs="Calibri" w:eastAsia="Calibri" w:hAnsi="Calibri"/>
                <w:sz w:val="20"/>
                <w:szCs w:val="20"/>
              </w:rPr>
              <w:t xml:space="preserve">6XL</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680</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687</w:t>
            </w:r>
          </w:p>
        </w:tc>
        <w:tc>
          <w:tcPr>
            <w:tcW w:type="pct" w:w="40%"/>
            <w:tcMar>
              <w:top w:type="dxa" w:w="70"/>
              <w:left w:type="dxa" w:w="100"/>
              <w:bottom w:type="dxa" w:w="70"/>
              <w:right w:type="dxa" w:w="100"/>
            </w:tcMar>
            <w:vAlign w:val="center"/>
          </w:tcPr>
          <w:p>
            <w:pPr>
              <w:spacing w:after="0"/>
            </w:pPr>
            <w:r>
              <w:rPr>
                <w:rFonts w:ascii="Calibri" w:cs="Calibri" w:eastAsia="Calibri" w:hAnsi="Calibri"/>
                <w:sz w:val="20"/>
                <w:szCs w:val="20"/>
              </w:rPr>
              <w:t xml:space="preserve">576,249.33</w:t>
            </w:r>
          </w:p>
        </w:tc>
      </w:tr>
      <w:tr>
        <w:tc>
          <w:tcPr>
            <w:tcW w:type="pct" w:w="16%"/>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5XL</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525</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512</w:t>
            </w:r>
          </w:p>
        </w:tc>
        <w:tc>
          <w:tcPr>
            <w:tcW w:type="pct" w:w="4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425,156.63</w:t>
            </w:r>
          </w:p>
        </w:tc>
      </w:tr>
      <w:tr>
        <w:tc>
          <w:tcPr>
            <w:tcW w:type="pct" w:w="16%"/>
            <w:tcMar>
              <w:top w:type="dxa" w:w="70"/>
              <w:left w:type="dxa" w:w="100"/>
              <w:bottom w:type="dxa" w:w="70"/>
              <w:right w:type="dxa" w:w="100"/>
            </w:tcMar>
            <w:vAlign w:val="center"/>
          </w:tcPr>
          <w:p>
            <w:pPr>
              <w:spacing w:after="0"/>
            </w:pPr>
            <w:r>
              <w:rPr>
                <w:rFonts w:ascii="Calibri" w:cs="Calibri" w:eastAsia="Calibri" w:hAnsi="Calibri"/>
                <w:sz w:val="20"/>
                <w:szCs w:val="20"/>
              </w:rPr>
              <w:t xml:space="preserve">4XL</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394</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398</w:t>
            </w:r>
          </w:p>
        </w:tc>
        <w:tc>
          <w:tcPr>
            <w:tcW w:type="pct" w:w="40%"/>
            <w:tcMar>
              <w:top w:type="dxa" w:w="70"/>
              <w:left w:type="dxa" w:w="100"/>
              <w:bottom w:type="dxa" w:w="70"/>
              <w:right w:type="dxa" w:w="100"/>
            </w:tcMar>
            <w:vAlign w:val="center"/>
          </w:tcPr>
          <w:p>
            <w:pPr>
              <w:spacing w:after="0"/>
            </w:pPr>
            <w:r>
              <w:rPr>
                <w:rFonts w:ascii="Calibri" w:cs="Calibri" w:eastAsia="Calibri" w:hAnsi="Calibri"/>
                <w:sz w:val="20"/>
                <w:szCs w:val="20"/>
              </w:rPr>
              <w:t xml:space="preserve">334,451.64</w:t>
            </w:r>
          </w:p>
        </w:tc>
      </w:tr>
    </w:tbl>
    <w:p>
      <w:pPr>
        <w:spacing w:after="160" w:line="276"/>
      </w:pPr>
      <w:r>
        <w:rPr>
          <w:rFonts w:ascii="Calibri" w:cs="Calibri" w:eastAsia="Calibri" w:hAnsi="Calibri"/>
          <w:color w:val="262626"/>
          <w:sz w:val="22"/>
          <w:szCs w:val="22"/>
        </w:rPr>
        <w:t xml:space="preserve">Medium, Large, and Extra Large sizes account for the largest share of both orders and revenue, reflecting the core size range of the customer base. Extended sizes (4XL-6XL) represent a small proportion of demand and should be stocked more conservatively relative to core sizes.</w:t>
      </w:r>
    </w:p>
    <w:p>
      <w:pPr>
        <w:spacing w:after="60" w:before="120"/>
        <w:jc w:val="center"/>
      </w:pPr>
      <w:r>
        <w:drawing>
          <wp:inline distT="0" distB="0" distL="0" distR="0">
            <wp:extent cx="4191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3241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8.5.1 - Revenue by Product Size</w:t>
      </w:r>
    </w:p>
    <w:p>
      <w:pPr>
        <w:spacing w:after="60" w:before="120"/>
        <w:jc w:val="center"/>
      </w:pPr>
      <w:r>
        <w:drawing>
          <wp:inline distT="0" distB="0" distL="0" distR="0">
            <wp:extent cx="4191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2669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8.5.2 - Quantity Sold by Product Size</w:t>
      </w:r>
    </w:p>
    <w:p>
      <w:pPr>
        <w:pStyle w:val="Heading2"/>
        <w:spacing w:after="140" w:before="280"/>
      </w:pPr>
      <w:r>
        <w:t xml:space="preserve">8.6 Fulfilment Analysis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34%"/>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Fulfilment</w:t>
            </w:r>
          </w:p>
        </w:tc>
        <w:tc>
          <w:tcPr>
            <w:tcW w:type="pct" w:w="33%"/>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Orders</w:t>
            </w:r>
          </w:p>
        </w:tc>
        <w:tc>
          <w:tcPr>
            <w:tcW w:type="pct" w:w="33%"/>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Revenue (₹)</w:t>
            </w:r>
          </w:p>
        </w:tc>
      </w:tr>
      <w:tr>
        <w:tc>
          <w:tcPr>
            <w:tcW w:type="pct" w:w="34%"/>
            <w:tcMar>
              <w:top w:type="dxa" w:w="70"/>
              <w:left w:type="dxa" w:w="100"/>
              <w:bottom w:type="dxa" w:w="70"/>
              <w:right w:type="dxa" w:w="100"/>
            </w:tcMar>
            <w:vAlign w:val="center"/>
          </w:tcPr>
          <w:p>
            <w:pPr>
              <w:spacing w:after="0"/>
            </w:pPr>
            <w:r>
              <w:rPr>
                <w:rFonts w:ascii="Calibri" w:cs="Calibri" w:eastAsia="Calibri" w:hAnsi="Calibri"/>
                <w:sz w:val="20"/>
                <w:szCs w:val="20"/>
              </w:rPr>
              <w:t xml:space="preserve">Amazon</w:t>
            </w:r>
          </w:p>
        </w:tc>
        <w:tc>
          <w:tcPr>
            <w:tcW w:type="pct" w:w="33%"/>
            <w:tcMar>
              <w:top w:type="dxa" w:w="70"/>
              <w:left w:type="dxa" w:w="100"/>
              <w:bottom w:type="dxa" w:w="70"/>
              <w:right w:type="dxa" w:w="100"/>
            </w:tcMar>
            <w:vAlign w:val="center"/>
          </w:tcPr>
          <w:p>
            <w:pPr>
              <w:spacing w:after="0"/>
            </w:pPr>
            <w:r>
              <w:rPr>
                <w:rFonts w:ascii="Calibri" w:cs="Calibri" w:eastAsia="Calibri" w:hAnsi="Calibri"/>
                <w:sz w:val="20"/>
                <w:szCs w:val="20"/>
              </w:rPr>
              <w:t xml:space="preserve">83,783</w:t>
            </w:r>
          </w:p>
        </w:tc>
        <w:tc>
          <w:tcPr>
            <w:tcW w:type="pct" w:w="33%"/>
            <w:tcMar>
              <w:top w:type="dxa" w:w="70"/>
              <w:left w:type="dxa" w:w="100"/>
              <w:bottom w:type="dxa" w:w="70"/>
              <w:right w:type="dxa" w:w="100"/>
            </w:tcMar>
            <w:vAlign w:val="center"/>
          </w:tcPr>
          <w:p>
            <w:pPr>
              <w:spacing w:after="0"/>
            </w:pPr>
            <w:r>
              <w:rPr>
                <w:rFonts w:ascii="Calibri" w:cs="Calibri" w:eastAsia="Calibri" w:hAnsi="Calibri"/>
                <w:sz w:val="20"/>
                <w:szCs w:val="20"/>
              </w:rPr>
              <w:t xml:space="preserve">54,262,165.00</w:t>
            </w:r>
          </w:p>
        </w:tc>
      </w:tr>
      <w:tr>
        <w:tc>
          <w:tcPr>
            <w:tcW w:type="pct" w:w="3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Merchant</w:t>
            </w:r>
          </w:p>
        </w:tc>
        <w:tc>
          <w:tcPr>
            <w:tcW w:type="pct" w:w="33%"/>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36,323</w:t>
            </w:r>
          </w:p>
        </w:tc>
        <w:tc>
          <w:tcPr>
            <w:tcW w:type="pct" w:w="33%"/>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24,234,621.39</w:t>
            </w:r>
          </w:p>
        </w:tc>
      </w:tr>
    </w:tbl>
    <w:p>
      <w:pPr>
        <w:spacing w:after="160" w:line="276"/>
      </w:pPr>
      <w:r>
        <w:rPr>
          <w:rFonts w:ascii="Calibri" w:cs="Calibri" w:eastAsia="Calibri" w:hAnsi="Calibri"/>
          <w:color w:val="262626"/>
          <w:sz w:val="22"/>
          <w:szCs w:val="22"/>
        </w:rPr>
        <w:t xml:space="preserve">Amazon-managed fulfilment handles the larger share of both order volume and revenue, reflecting strong reliance on Amazon's logistics network. Merchant-managed fulfilment (Easy Ship) represents a meaningful secondary channel and can be benchmarked separately for delivery performance.</w:t>
      </w:r>
    </w:p>
    <w:p>
      <w:pPr>
        <w:spacing w:after="60" w:before="120"/>
        <w:jc w:val="center"/>
      </w:pPr>
      <w:r>
        <w:drawing>
          <wp:inline distT="0" distB="0" distL="0" distR="0">
            <wp:extent cx="41910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43910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8.6.1 - Order Distribution by Fulfilment Method</w:t>
      </w:r>
    </w:p>
    <w:p>
      <w:pPr>
        <w:pStyle w:val="Heading2"/>
        <w:spacing w:after="140" w:before="280"/>
      </w:pPr>
      <w:r>
        <w:t xml:space="preserve">8.7 Sales Channel Analysis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34%"/>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Sales Channel</w:t>
            </w:r>
          </w:p>
        </w:tc>
        <w:tc>
          <w:tcPr>
            <w:tcW w:type="pct" w:w="33%"/>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Orders</w:t>
            </w:r>
          </w:p>
        </w:tc>
        <w:tc>
          <w:tcPr>
            <w:tcW w:type="pct" w:w="33%"/>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Revenue (₹)</w:t>
            </w:r>
          </w:p>
        </w:tc>
      </w:tr>
      <w:tr>
        <w:tc>
          <w:tcPr>
            <w:tcW w:type="pct" w:w="34%"/>
            <w:tcMar>
              <w:top w:type="dxa" w:w="70"/>
              <w:left w:type="dxa" w:w="100"/>
              <w:bottom w:type="dxa" w:w="70"/>
              <w:right w:type="dxa" w:w="100"/>
            </w:tcMar>
            <w:vAlign w:val="center"/>
          </w:tcPr>
          <w:p>
            <w:pPr>
              <w:spacing w:after="0"/>
            </w:pPr>
            <w:r>
              <w:rPr>
                <w:rFonts w:ascii="Calibri" w:cs="Calibri" w:eastAsia="Calibri" w:hAnsi="Calibri"/>
                <w:sz w:val="20"/>
                <w:szCs w:val="20"/>
              </w:rPr>
              <w:t xml:space="preserve">Amazon.in</w:t>
            </w:r>
          </w:p>
        </w:tc>
        <w:tc>
          <w:tcPr>
            <w:tcW w:type="pct" w:w="33%"/>
            <w:tcMar>
              <w:top w:type="dxa" w:w="70"/>
              <w:left w:type="dxa" w:w="100"/>
              <w:bottom w:type="dxa" w:w="70"/>
              <w:right w:type="dxa" w:w="100"/>
            </w:tcMar>
            <w:vAlign w:val="center"/>
          </w:tcPr>
          <w:p>
            <w:pPr>
              <w:spacing w:after="0"/>
            </w:pPr>
            <w:r>
              <w:rPr>
                <w:rFonts w:ascii="Calibri" w:cs="Calibri" w:eastAsia="Calibri" w:hAnsi="Calibri"/>
                <w:sz w:val="20"/>
                <w:szCs w:val="20"/>
              </w:rPr>
              <w:t xml:space="preserve">120,105</w:t>
            </w:r>
          </w:p>
        </w:tc>
        <w:tc>
          <w:tcPr>
            <w:tcW w:type="pct" w:w="33%"/>
            <w:tcMar>
              <w:top w:type="dxa" w:w="70"/>
              <w:left w:type="dxa" w:w="100"/>
              <w:bottom w:type="dxa" w:w="70"/>
              <w:right w:type="dxa" w:w="100"/>
            </w:tcMar>
            <w:vAlign w:val="center"/>
          </w:tcPr>
          <w:p>
            <w:pPr>
              <w:spacing w:after="0"/>
            </w:pPr>
            <w:r>
              <w:rPr>
                <w:rFonts w:ascii="Calibri" w:cs="Calibri" w:eastAsia="Calibri" w:hAnsi="Calibri"/>
                <w:sz w:val="20"/>
                <w:szCs w:val="20"/>
              </w:rPr>
              <w:t xml:space="preserve">78,496,786.39</w:t>
            </w:r>
          </w:p>
        </w:tc>
      </w:tr>
      <w:tr>
        <w:tc>
          <w:tcPr>
            <w:tcW w:type="pct" w:w="3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Non-Amazon</w:t>
            </w:r>
          </w:p>
        </w:tc>
        <w:tc>
          <w:tcPr>
            <w:tcW w:type="pct" w:w="33%"/>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w:t>
            </w:r>
          </w:p>
        </w:tc>
        <w:tc>
          <w:tcPr>
            <w:tcW w:type="pct" w:w="33%"/>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0.00</w:t>
            </w:r>
          </w:p>
        </w:tc>
      </w:tr>
    </w:tbl>
    <w:p>
      <w:pPr>
        <w:spacing w:after="160" w:line="276"/>
      </w:pPr>
      <w:r>
        <w:rPr>
          <w:rFonts w:ascii="Calibri" w:cs="Calibri" w:eastAsia="Calibri" w:hAnsi="Calibri"/>
          <w:color w:val="262626"/>
          <w:sz w:val="22"/>
          <w:szCs w:val="22"/>
        </w:rPr>
        <w:t xml:space="preserve">Amazon.in is effectively the sole sales channel, accounting for 120,105 of 120,106 total orders and the entirety of recorded revenue. This represents a significant channel concentration risk, as the business has almost no diversification away from a single third-party marketplace.</w:t>
      </w:r>
    </w:p>
    <w:p>
      <w:pPr>
        <w:spacing w:after="60" w:before="120"/>
        <w:jc w:val="center"/>
      </w:pPr>
      <w:r>
        <w:drawing>
          <wp:inline distT="0" distB="0" distL="0" distR="0">
            <wp:extent cx="41910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43910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8.7.1 - Order Distribution by Sales Channel</w:t>
      </w:r>
    </w:p>
    <w:p>
      <w:pPr>
        <w:pStyle w:val="Heading2"/>
        <w:spacing w:after="140" w:before="280"/>
      </w:pPr>
      <w:r>
        <w:t xml:space="preserve">8.8 Courier Status Analysis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34%"/>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Courier Status</w:t>
            </w:r>
          </w:p>
        </w:tc>
        <w:tc>
          <w:tcPr>
            <w:tcW w:type="pct" w:w="33%"/>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Orders</w:t>
            </w:r>
          </w:p>
        </w:tc>
        <w:tc>
          <w:tcPr>
            <w:tcW w:type="pct" w:w="33%"/>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Revenue (₹)</w:t>
            </w:r>
          </w:p>
        </w:tc>
      </w:tr>
      <w:tr>
        <w:tc>
          <w:tcPr>
            <w:tcW w:type="pct" w:w="34%"/>
            <w:tcMar>
              <w:top w:type="dxa" w:w="70"/>
              <w:left w:type="dxa" w:w="100"/>
              <w:bottom w:type="dxa" w:w="70"/>
              <w:right w:type="dxa" w:w="100"/>
            </w:tcMar>
            <w:vAlign w:val="center"/>
          </w:tcPr>
          <w:p>
            <w:pPr>
              <w:spacing w:after="0"/>
            </w:pPr>
            <w:r>
              <w:rPr>
                <w:rFonts w:ascii="Calibri" w:cs="Calibri" w:eastAsia="Calibri" w:hAnsi="Calibri"/>
                <w:sz w:val="20"/>
                <w:szCs w:val="20"/>
              </w:rPr>
              <w:t xml:space="preserve">Shipped</w:t>
            </w:r>
          </w:p>
        </w:tc>
        <w:tc>
          <w:tcPr>
            <w:tcW w:type="pct" w:w="33%"/>
            <w:tcMar>
              <w:top w:type="dxa" w:w="70"/>
              <w:left w:type="dxa" w:w="100"/>
              <w:bottom w:type="dxa" w:w="70"/>
              <w:right w:type="dxa" w:w="100"/>
            </w:tcMar>
            <w:vAlign w:val="center"/>
          </w:tcPr>
          <w:p>
            <w:pPr>
              <w:spacing w:after="0"/>
            </w:pPr>
            <w:r>
              <w:rPr>
                <w:rFonts w:ascii="Calibri" w:cs="Calibri" w:eastAsia="Calibri" w:hAnsi="Calibri"/>
                <w:sz w:val="20"/>
                <w:szCs w:val="20"/>
              </w:rPr>
              <w:t xml:space="preserve">102,102</w:t>
            </w:r>
          </w:p>
        </w:tc>
        <w:tc>
          <w:tcPr>
            <w:tcW w:type="pct" w:w="33%"/>
            <w:tcMar>
              <w:top w:type="dxa" w:w="70"/>
              <w:left w:type="dxa" w:w="100"/>
              <w:bottom w:type="dxa" w:w="70"/>
              <w:right w:type="dxa" w:w="100"/>
            </w:tcMar>
            <w:vAlign w:val="center"/>
          </w:tcPr>
          <w:p>
            <w:pPr>
              <w:spacing w:after="0"/>
            </w:pPr>
            <w:r>
              <w:rPr>
                <w:rFonts w:ascii="Calibri" w:cs="Calibri" w:eastAsia="Calibri" w:hAnsi="Calibri"/>
                <w:sz w:val="20"/>
                <w:szCs w:val="20"/>
              </w:rPr>
              <w:t xml:space="preserve">70,971,225.00</w:t>
            </w:r>
          </w:p>
        </w:tc>
      </w:tr>
      <w:tr>
        <w:tc>
          <w:tcPr>
            <w:tcW w:type="pct" w:w="3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On the Way</w:t>
            </w:r>
          </w:p>
        </w:tc>
        <w:tc>
          <w:tcPr>
            <w:tcW w:type="pct" w:w="33%"/>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6,375</w:t>
            </w:r>
          </w:p>
        </w:tc>
        <w:tc>
          <w:tcPr>
            <w:tcW w:type="pct" w:w="33%"/>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3,185,870.39</w:t>
            </w:r>
          </w:p>
        </w:tc>
      </w:tr>
      <w:tr>
        <w:tc>
          <w:tcPr>
            <w:tcW w:type="pct" w:w="34%"/>
            <w:tcMar>
              <w:top w:type="dxa" w:w="70"/>
              <w:left w:type="dxa" w:w="100"/>
              <w:bottom w:type="dxa" w:w="70"/>
              <w:right w:type="dxa" w:w="100"/>
            </w:tcMar>
            <w:vAlign w:val="center"/>
          </w:tcPr>
          <w:p>
            <w:pPr>
              <w:spacing w:after="0"/>
            </w:pPr>
            <w:r>
              <w:rPr>
                <w:rFonts w:ascii="Calibri" w:cs="Calibri" w:eastAsia="Calibri" w:hAnsi="Calibri"/>
                <w:sz w:val="20"/>
                <w:szCs w:val="20"/>
              </w:rPr>
              <w:t xml:space="preserve">Unshipped</w:t>
            </w:r>
          </w:p>
        </w:tc>
        <w:tc>
          <w:tcPr>
            <w:tcW w:type="pct" w:w="33%"/>
            <w:tcMar>
              <w:top w:type="dxa" w:w="70"/>
              <w:left w:type="dxa" w:w="100"/>
              <w:bottom w:type="dxa" w:w="70"/>
              <w:right w:type="dxa" w:w="100"/>
            </w:tcMar>
            <w:vAlign w:val="center"/>
          </w:tcPr>
          <w:p>
            <w:pPr>
              <w:spacing w:after="0"/>
            </w:pPr>
            <w:r>
              <w:rPr>
                <w:rFonts w:ascii="Calibri" w:cs="Calibri" w:eastAsia="Calibri" w:hAnsi="Calibri"/>
                <w:sz w:val="20"/>
                <w:szCs w:val="20"/>
              </w:rPr>
              <w:t xml:space="preserve">6,066</w:t>
            </w:r>
          </w:p>
        </w:tc>
        <w:tc>
          <w:tcPr>
            <w:tcW w:type="pct" w:w="33%"/>
            <w:tcMar>
              <w:top w:type="dxa" w:w="70"/>
              <w:left w:type="dxa" w:w="100"/>
              <w:bottom w:type="dxa" w:w="70"/>
              <w:right w:type="dxa" w:w="100"/>
            </w:tcMar>
            <w:vAlign w:val="center"/>
          </w:tcPr>
          <w:p>
            <w:pPr>
              <w:spacing w:after="0"/>
            </w:pPr>
            <w:r>
              <w:rPr>
                <w:rFonts w:ascii="Calibri" w:cs="Calibri" w:eastAsia="Calibri" w:hAnsi="Calibri"/>
                <w:sz w:val="20"/>
                <w:szCs w:val="20"/>
              </w:rPr>
              <w:t xml:space="preserve">4,339,691.00</w:t>
            </w:r>
          </w:p>
        </w:tc>
      </w:tr>
      <w:tr>
        <w:tc>
          <w:tcPr>
            <w:tcW w:type="pct" w:w="3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Cancelled</w:t>
            </w:r>
          </w:p>
        </w:tc>
        <w:tc>
          <w:tcPr>
            <w:tcW w:type="pct" w:w="33%"/>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5,573</w:t>
            </w:r>
          </w:p>
        </w:tc>
        <w:tc>
          <w:tcPr>
            <w:tcW w:type="pct" w:w="33%"/>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0.00</w:t>
            </w:r>
          </w:p>
        </w:tc>
      </w:tr>
    </w:tbl>
    <w:p>
      <w:pPr>
        <w:spacing w:after="160" w:line="276"/>
      </w:pPr>
      <w:r>
        <w:rPr>
          <w:rFonts w:ascii="Calibri" w:cs="Calibri" w:eastAsia="Calibri" w:hAnsi="Calibri"/>
          <w:color w:val="262626"/>
          <w:sz w:val="22"/>
          <w:szCs w:val="22"/>
        </w:rPr>
        <w:t xml:space="preserve">The majority of orders are successfully shipped at the courier level, consistent with the order status findings above. Unshipped orders, which still carry ₹4.3 million in associated order value, represent an operational area worth investigating to recover otherwise-lost fulfilment.</w:t>
      </w:r>
    </w:p>
    <w:p>
      <w:pPr>
        <w:spacing w:after="60" w:before="120"/>
        <w:jc w:val="center"/>
      </w:pPr>
      <w:r>
        <w:drawing>
          <wp:inline distT="0" distB="0" distL="0" distR="0">
            <wp:extent cx="4191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6289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8.8.1 - Orders by Courier Status</w:t>
      </w:r>
    </w:p>
    <w:p>
      <w:pPr>
        <w:pStyle w:val="Heading2"/>
        <w:spacing w:after="140" w:before="280"/>
      </w:pPr>
      <w:r>
        <w:t xml:space="preserve">8.9 B2B vs B2C Analysis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34%"/>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Customer Type</w:t>
            </w:r>
          </w:p>
        </w:tc>
        <w:tc>
          <w:tcPr>
            <w:tcW w:type="pct" w:w="33%"/>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Orders</w:t>
            </w:r>
          </w:p>
        </w:tc>
        <w:tc>
          <w:tcPr>
            <w:tcW w:type="pct" w:w="33%"/>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Revenue (₹)</w:t>
            </w:r>
          </w:p>
        </w:tc>
      </w:tr>
      <w:tr>
        <w:tc>
          <w:tcPr>
            <w:tcW w:type="pct" w:w="34%"/>
            <w:tcMar>
              <w:top w:type="dxa" w:w="70"/>
              <w:left w:type="dxa" w:w="100"/>
              <w:bottom w:type="dxa" w:w="70"/>
              <w:right w:type="dxa" w:w="100"/>
            </w:tcMar>
            <w:vAlign w:val="center"/>
          </w:tcPr>
          <w:p>
            <w:pPr>
              <w:spacing w:after="0"/>
            </w:pPr>
            <w:r>
              <w:rPr>
                <w:rFonts w:ascii="Calibri" w:cs="Calibri" w:eastAsia="Calibri" w:hAnsi="Calibri"/>
                <w:sz w:val="20"/>
                <w:szCs w:val="20"/>
              </w:rPr>
              <w:t xml:space="preserve">B2C</w:t>
            </w:r>
          </w:p>
        </w:tc>
        <w:tc>
          <w:tcPr>
            <w:tcW w:type="pct" w:w="33%"/>
            <w:tcMar>
              <w:top w:type="dxa" w:w="70"/>
              <w:left w:type="dxa" w:w="100"/>
              <w:bottom w:type="dxa" w:w="70"/>
              <w:right w:type="dxa" w:w="100"/>
            </w:tcMar>
            <w:vAlign w:val="center"/>
          </w:tcPr>
          <w:p>
            <w:pPr>
              <w:spacing w:after="0"/>
            </w:pPr>
            <w:r>
              <w:rPr>
                <w:rFonts w:ascii="Calibri" w:cs="Calibri" w:eastAsia="Calibri" w:hAnsi="Calibri"/>
                <w:sz w:val="20"/>
                <w:szCs w:val="20"/>
              </w:rPr>
              <w:t xml:space="preserve">119,312</w:t>
            </w:r>
          </w:p>
        </w:tc>
        <w:tc>
          <w:tcPr>
            <w:tcW w:type="pct" w:w="33%"/>
            <w:tcMar>
              <w:top w:type="dxa" w:w="70"/>
              <w:left w:type="dxa" w:w="100"/>
              <w:bottom w:type="dxa" w:w="70"/>
              <w:right w:type="dxa" w:w="100"/>
            </w:tcMar>
            <w:vAlign w:val="center"/>
          </w:tcPr>
          <w:p>
            <w:pPr>
              <w:spacing w:after="0"/>
            </w:pPr>
            <w:r>
              <w:rPr>
                <w:rFonts w:ascii="Calibri" w:cs="Calibri" w:eastAsia="Calibri" w:hAnsi="Calibri"/>
                <w:sz w:val="20"/>
                <w:szCs w:val="20"/>
              </w:rPr>
              <w:t xml:space="preserve">77,905,565.60</w:t>
            </w:r>
          </w:p>
        </w:tc>
      </w:tr>
      <w:tr>
        <w:tc>
          <w:tcPr>
            <w:tcW w:type="pct" w:w="3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B2B</w:t>
            </w:r>
          </w:p>
        </w:tc>
        <w:tc>
          <w:tcPr>
            <w:tcW w:type="pct" w:w="33%"/>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794</w:t>
            </w:r>
          </w:p>
        </w:tc>
        <w:tc>
          <w:tcPr>
            <w:tcW w:type="pct" w:w="33%"/>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591,220.79</w:t>
            </w:r>
          </w:p>
        </w:tc>
      </w:tr>
    </w:tbl>
    <w:p>
      <w:pPr>
        <w:spacing w:after="160" w:line="276"/>
      </w:pPr>
      <w:r>
        <w:rPr>
          <w:rFonts w:ascii="Calibri" w:cs="Calibri" w:eastAsia="Calibri" w:hAnsi="Calibri"/>
          <w:color w:val="262626"/>
          <w:sz w:val="22"/>
          <w:szCs w:val="22"/>
        </w:rPr>
        <w:t xml:space="preserve">The customer base is overwhelmingly B2C, with B2B transactions contributing less than one percent of total orders and revenue. This confirms the business currently operates primarily as a direct-to-consumer apparel seller, with corporate and bulk sales representing an underdeveloped channel.</w:t>
      </w:r>
    </w:p>
    <w:p>
      <w:pPr>
        <w:spacing w:after="60" w:before="120"/>
        <w:jc w:val="center"/>
      </w:pPr>
      <w:r>
        <w:drawing>
          <wp:inline distT="0" distB="0" distL="0" distR="0">
            <wp:extent cx="41910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43910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8.9.1 - Order Distribution: B2B vs B2C</w:t>
      </w:r>
    </w:p>
    <w:p>
      <w:pPr>
        <w:pStyle w:val="Heading2"/>
        <w:spacing w:after="140" w:before="280"/>
      </w:pPr>
      <w:r>
        <w:t xml:space="preserve">8.10 Top 10 States by Revenue</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34%"/>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State</w:t>
            </w:r>
          </w:p>
        </w:tc>
        <w:tc>
          <w:tcPr>
            <w:tcW w:type="pct" w:w="22%"/>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Orders</w:t>
            </w:r>
          </w:p>
        </w:tc>
        <w:tc>
          <w:tcPr>
            <w:tcW w:type="pct" w:w="44%"/>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Revenue (₹)</w:t>
            </w:r>
          </w:p>
        </w:tc>
      </w:tr>
      <w:tr>
        <w:tc>
          <w:tcPr>
            <w:tcW w:type="pct" w:w="34%"/>
            <w:tcMar>
              <w:top w:type="dxa" w:w="70"/>
              <w:left w:type="dxa" w:w="100"/>
              <w:bottom w:type="dxa" w:w="70"/>
              <w:right w:type="dxa" w:w="100"/>
            </w:tcMar>
            <w:vAlign w:val="center"/>
          </w:tcPr>
          <w:p>
            <w:pPr>
              <w:spacing w:after="0"/>
            </w:pPr>
            <w:r>
              <w:rPr>
                <w:rFonts w:ascii="Calibri" w:cs="Calibri" w:eastAsia="Calibri" w:hAnsi="Calibri"/>
                <w:sz w:val="20"/>
                <w:szCs w:val="20"/>
              </w:rPr>
              <w:t xml:space="preserve">Maharashtra</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20,756</w:t>
            </w:r>
          </w:p>
        </w:tc>
        <w:tc>
          <w:tcPr>
            <w:tcW w:type="pct" w:w="44%"/>
            <w:tcMar>
              <w:top w:type="dxa" w:w="70"/>
              <w:left w:type="dxa" w:w="100"/>
              <w:bottom w:type="dxa" w:w="70"/>
              <w:right w:type="dxa" w:w="100"/>
            </w:tcMar>
            <w:vAlign w:val="center"/>
          </w:tcPr>
          <w:p>
            <w:pPr>
              <w:spacing w:after="0"/>
            </w:pPr>
            <w:r>
              <w:rPr>
                <w:rFonts w:ascii="Calibri" w:cs="Calibri" w:eastAsia="Calibri" w:hAnsi="Calibri"/>
                <w:sz w:val="20"/>
                <w:szCs w:val="20"/>
              </w:rPr>
              <w:t xml:space="preserve">13,318,966.38</w:t>
            </w:r>
          </w:p>
        </w:tc>
      </w:tr>
      <w:tr>
        <w:tc>
          <w:tcPr>
            <w:tcW w:type="pct" w:w="3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Karnataka</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16,162</w:t>
            </w:r>
          </w:p>
        </w:tc>
        <w:tc>
          <w:tcPr>
            <w:tcW w:type="pct" w:w="4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10,465,387.03</w:t>
            </w:r>
          </w:p>
        </w:tc>
      </w:tr>
      <w:tr>
        <w:tc>
          <w:tcPr>
            <w:tcW w:type="pct" w:w="34%"/>
            <w:tcMar>
              <w:top w:type="dxa" w:w="70"/>
              <w:left w:type="dxa" w:w="100"/>
              <w:bottom w:type="dxa" w:w="70"/>
              <w:right w:type="dxa" w:w="100"/>
            </w:tcMar>
            <w:vAlign w:val="center"/>
          </w:tcPr>
          <w:p>
            <w:pPr>
              <w:spacing w:after="0"/>
            </w:pPr>
            <w:r>
              <w:rPr>
                <w:rFonts w:ascii="Calibri" w:cs="Calibri" w:eastAsia="Calibri" w:hAnsi="Calibri"/>
                <w:sz w:val="20"/>
                <w:szCs w:val="20"/>
              </w:rPr>
              <w:t xml:space="preserve">Telangana</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10,394</w:t>
            </w:r>
          </w:p>
        </w:tc>
        <w:tc>
          <w:tcPr>
            <w:tcW w:type="pct" w:w="44%"/>
            <w:tcMar>
              <w:top w:type="dxa" w:w="70"/>
              <w:left w:type="dxa" w:w="100"/>
              <w:bottom w:type="dxa" w:w="70"/>
              <w:right w:type="dxa" w:w="100"/>
            </w:tcMar>
            <w:vAlign w:val="center"/>
          </w:tcPr>
          <w:p>
            <w:pPr>
              <w:spacing w:after="0"/>
            </w:pPr>
            <w:r>
              <w:rPr>
                <w:rFonts w:ascii="Calibri" w:cs="Calibri" w:eastAsia="Calibri" w:hAnsi="Calibri"/>
                <w:sz w:val="20"/>
                <w:szCs w:val="20"/>
              </w:rPr>
              <w:t xml:space="preserve">6,909,670.08</w:t>
            </w:r>
          </w:p>
        </w:tc>
      </w:tr>
      <w:tr>
        <w:tc>
          <w:tcPr>
            <w:tcW w:type="pct" w:w="3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Uttar Pradesh</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10,057</w:t>
            </w:r>
          </w:p>
        </w:tc>
        <w:tc>
          <w:tcPr>
            <w:tcW w:type="pct" w:w="4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6,814,126.08</w:t>
            </w:r>
          </w:p>
        </w:tc>
      </w:tr>
      <w:tr>
        <w:tc>
          <w:tcPr>
            <w:tcW w:type="pct" w:w="34%"/>
            <w:tcMar>
              <w:top w:type="dxa" w:w="70"/>
              <w:left w:type="dxa" w:w="100"/>
              <w:bottom w:type="dxa" w:w="70"/>
              <w:right w:type="dxa" w:w="100"/>
            </w:tcMar>
            <w:vAlign w:val="center"/>
          </w:tcPr>
          <w:p>
            <w:pPr>
              <w:spacing w:after="0"/>
            </w:pPr>
            <w:r>
              <w:rPr>
                <w:rFonts w:ascii="Calibri" w:cs="Calibri" w:eastAsia="Calibri" w:hAnsi="Calibri"/>
                <w:sz w:val="20"/>
                <w:szCs w:val="20"/>
              </w:rPr>
              <w:t xml:space="preserve">Tamil Nadu</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10,507</w:t>
            </w:r>
          </w:p>
        </w:tc>
        <w:tc>
          <w:tcPr>
            <w:tcW w:type="pct" w:w="44%"/>
            <w:tcMar>
              <w:top w:type="dxa" w:w="70"/>
              <w:left w:type="dxa" w:w="100"/>
              <w:bottom w:type="dxa" w:w="70"/>
              <w:right w:type="dxa" w:w="100"/>
            </w:tcMar>
            <w:vAlign w:val="center"/>
          </w:tcPr>
          <w:p>
            <w:pPr>
              <w:spacing w:after="0"/>
            </w:pPr>
            <w:r>
              <w:rPr>
                <w:rFonts w:ascii="Calibri" w:cs="Calibri" w:eastAsia="Calibri" w:hAnsi="Calibri"/>
                <w:sz w:val="20"/>
                <w:szCs w:val="20"/>
              </w:rPr>
              <w:t xml:space="preserve">6,510,503.73</w:t>
            </w:r>
          </w:p>
        </w:tc>
      </w:tr>
      <w:tr>
        <w:tc>
          <w:tcPr>
            <w:tcW w:type="pct" w:w="3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Delhi</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6,347</w:t>
            </w:r>
          </w:p>
        </w:tc>
        <w:tc>
          <w:tcPr>
            <w:tcW w:type="pct" w:w="4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4,228,503.97</w:t>
            </w:r>
          </w:p>
        </w:tc>
      </w:tr>
      <w:tr>
        <w:tc>
          <w:tcPr>
            <w:tcW w:type="pct" w:w="34%"/>
            <w:tcMar>
              <w:top w:type="dxa" w:w="70"/>
              <w:left w:type="dxa" w:w="100"/>
              <w:bottom w:type="dxa" w:w="70"/>
              <w:right w:type="dxa" w:w="100"/>
            </w:tcMar>
            <w:vAlign w:val="center"/>
          </w:tcPr>
          <w:p>
            <w:pPr>
              <w:spacing w:after="0"/>
            </w:pPr>
            <w:r>
              <w:rPr>
                <w:rFonts w:ascii="Calibri" w:cs="Calibri" w:eastAsia="Calibri" w:hAnsi="Calibri"/>
                <w:sz w:val="20"/>
                <w:szCs w:val="20"/>
              </w:rPr>
              <w:t xml:space="preserve">Kerala</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6,097</w:t>
            </w:r>
          </w:p>
        </w:tc>
        <w:tc>
          <w:tcPr>
            <w:tcW w:type="pct" w:w="44%"/>
            <w:tcMar>
              <w:top w:type="dxa" w:w="70"/>
              <w:left w:type="dxa" w:w="100"/>
              <w:bottom w:type="dxa" w:w="70"/>
              <w:right w:type="dxa" w:w="100"/>
            </w:tcMar>
            <w:vAlign w:val="center"/>
          </w:tcPr>
          <w:p>
            <w:pPr>
              <w:spacing w:after="0"/>
            </w:pPr>
            <w:r>
              <w:rPr>
                <w:rFonts w:ascii="Calibri" w:cs="Calibri" w:eastAsia="Calibri" w:hAnsi="Calibri"/>
                <w:sz w:val="20"/>
                <w:szCs w:val="20"/>
              </w:rPr>
              <w:t xml:space="preserve">3,821,997.58</w:t>
            </w:r>
          </w:p>
        </w:tc>
      </w:tr>
      <w:tr>
        <w:tc>
          <w:tcPr>
            <w:tcW w:type="pct" w:w="3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West Bengal</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5,645</w:t>
            </w:r>
          </w:p>
        </w:tc>
        <w:tc>
          <w:tcPr>
            <w:tcW w:type="pct" w:w="4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3,503,223.44</w:t>
            </w:r>
          </w:p>
        </w:tc>
      </w:tr>
      <w:tr>
        <w:tc>
          <w:tcPr>
            <w:tcW w:type="pct" w:w="34%"/>
            <w:tcMar>
              <w:top w:type="dxa" w:w="70"/>
              <w:left w:type="dxa" w:w="100"/>
              <w:bottom w:type="dxa" w:w="70"/>
              <w:right w:type="dxa" w:w="100"/>
            </w:tcMar>
            <w:vAlign w:val="center"/>
          </w:tcPr>
          <w:p>
            <w:pPr>
              <w:spacing w:after="0"/>
            </w:pPr>
            <w:r>
              <w:rPr>
                <w:rFonts w:ascii="Calibri" w:cs="Calibri" w:eastAsia="Calibri" w:hAnsi="Calibri"/>
                <w:sz w:val="20"/>
                <w:szCs w:val="20"/>
              </w:rPr>
              <w:t xml:space="preserve">Andhra Pradesh</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4,970</w:t>
            </w:r>
          </w:p>
        </w:tc>
        <w:tc>
          <w:tcPr>
            <w:tcW w:type="pct" w:w="44%"/>
            <w:tcMar>
              <w:top w:type="dxa" w:w="70"/>
              <w:left w:type="dxa" w:w="100"/>
              <w:bottom w:type="dxa" w:w="70"/>
              <w:right w:type="dxa" w:w="100"/>
            </w:tcMar>
            <w:vAlign w:val="center"/>
          </w:tcPr>
          <w:p>
            <w:pPr>
              <w:spacing w:after="0"/>
            </w:pPr>
            <w:r>
              <w:rPr>
                <w:rFonts w:ascii="Calibri" w:cs="Calibri" w:eastAsia="Calibri" w:hAnsi="Calibri"/>
                <w:sz w:val="20"/>
                <w:szCs w:val="20"/>
              </w:rPr>
              <w:t xml:space="preserve">3,214,859.86</w:t>
            </w:r>
          </w:p>
        </w:tc>
      </w:tr>
      <w:tr>
        <w:tc>
          <w:tcPr>
            <w:tcW w:type="pct" w:w="3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Haryana</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4,134</w:t>
            </w:r>
          </w:p>
        </w:tc>
        <w:tc>
          <w:tcPr>
            <w:tcW w:type="pct" w:w="4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2,879,146.99</w:t>
            </w:r>
          </w:p>
        </w:tc>
      </w:tr>
    </w:tbl>
    <w:p>
      <w:pPr>
        <w:spacing w:after="160" w:line="276"/>
      </w:pPr>
      <w:r>
        <w:rPr>
          <w:rFonts w:ascii="Calibri" w:cs="Calibri" w:eastAsia="Calibri" w:hAnsi="Calibri"/>
          <w:color w:val="262626"/>
          <w:sz w:val="22"/>
          <w:szCs w:val="22"/>
        </w:rPr>
        <w:t xml:space="preserve">Maharashtra, Karnataka, and Tamil Nadu are the highest revenue-generating states, together contributing a substantial share of total revenue. These states represent priority markets for inventory allocation, regional marketing, and delivery investment.</w:t>
      </w:r>
    </w:p>
    <w:p>
      <w:pPr>
        <w:spacing w:after="60" w:before="120"/>
        <w:jc w:val="center"/>
      </w:pPr>
      <w:r>
        <w:drawing>
          <wp:inline distT="0" distB="0" distL="0" distR="0">
            <wp:extent cx="4191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4098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8.10.1 - Top 10 States by Revenue (₹ Crore)</w:t>
      </w:r>
    </w:p>
    <w:p>
      <w:pPr>
        <w:pStyle w:val="Heading2"/>
        <w:spacing w:after="140" w:before="280"/>
      </w:pPr>
      <w:r>
        <w:t xml:space="preserve">8.11 Top 10 Cities by Revenue</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34%"/>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City</w:t>
            </w:r>
          </w:p>
        </w:tc>
        <w:tc>
          <w:tcPr>
            <w:tcW w:type="pct" w:w="22%"/>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Orders</w:t>
            </w:r>
          </w:p>
        </w:tc>
        <w:tc>
          <w:tcPr>
            <w:tcW w:type="pct" w:w="44%"/>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Revenue (₹)</w:t>
            </w:r>
          </w:p>
        </w:tc>
      </w:tr>
      <w:tr>
        <w:tc>
          <w:tcPr>
            <w:tcW w:type="pct" w:w="34%"/>
            <w:tcMar>
              <w:top w:type="dxa" w:w="70"/>
              <w:left w:type="dxa" w:w="100"/>
              <w:bottom w:type="dxa" w:w="70"/>
              <w:right w:type="dxa" w:w="100"/>
            </w:tcMar>
            <w:vAlign w:val="center"/>
          </w:tcPr>
          <w:p>
            <w:pPr>
              <w:spacing w:after="0"/>
            </w:pPr>
            <w:r>
              <w:rPr>
                <w:rFonts w:ascii="Calibri" w:cs="Calibri" w:eastAsia="Calibri" w:hAnsi="Calibri"/>
                <w:sz w:val="20"/>
                <w:szCs w:val="20"/>
              </w:rPr>
              <w:t xml:space="preserve">Bengaluru</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10,441</w:t>
            </w:r>
          </w:p>
        </w:tc>
        <w:tc>
          <w:tcPr>
            <w:tcW w:type="pct" w:w="44%"/>
            <w:tcMar>
              <w:top w:type="dxa" w:w="70"/>
              <w:left w:type="dxa" w:w="100"/>
              <w:bottom w:type="dxa" w:w="70"/>
              <w:right w:type="dxa" w:w="100"/>
            </w:tcMar>
            <w:vAlign w:val="center"/>
          </w:tcPr>
          <w:p>
            <w:pPr>
              <w:spacing w:after="0"/>
            </w:pPr>
            <w:r>
              <w:rPr>
                <w:rFonts w:ascii="Calibri" w:cs="Calibri" w:eastAsia="Calibri" w:hAnsi="Calibri"/>
                <w:sz w:val="20"/>
                <w:szCs w:val="20"/>
              </w:rPr>
              <w:t xml:space="preserve">6,836,614.65</w:t>
            </w:r>
          </w:p>
        </w:tc>
      </w:tr>
      <w:tr>
        <w:tc>
          <w:tcPr>
            <w:tcW w:type="pct" w:w="3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Hyderabad</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7,404</w:t>
            </w:r>
          </w:p>
        </w:tc>
        <w:tc>
          <w:tcPr>
            <w:tcW w:type="pct" w:w="4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4,941,790.25</w:t>
            </w:r>
          </w:p>
        </w:tc>
      </w:tr>
      <w:tr>
        <w:tc>
          <w:tcPr>
            <w:tcW w:type="pct" w:w="34%"/>
            <w:tcMar>
              <w:top w:type="dxa" w:w="70"/>
              <w:left w:type="dxa" w:w="100"/>
              <w:bottom w:type="dxa" w:w="70"/>
              <w:right w:type="dxa" w:w="100"/>
            </w:tcMar>
            <w:vAlign w:val="center"/>
          </w:tcPr>
          <w:p>
            <w:pPr>
              <w:spacing w:after="0"/>
            </w:pPr>
            <w:r>
              <w:rPr>
                <w:rFonts w:ascii="Calibri" w:cs="Calibri" w:eastAsia="Calibri" w:hAnsi="Calibri"/>
                <w:sz w:val="20"/>
                <w:szCs w:val="20"/>
              </w:rPr>
              <w:t xml:space="preserve">Mumbai</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5,645</w:t>
            </w:r>
          </w:p>
        </w:tc>
        <w:tc>
          <w:tcPr>
            <w:tcW w:type="pct" w:w="44%"/>
            <w:tcMar>
              <w:top w:type="dxa" w:w="70"/>
              <w:left w:type="dxa" w:w="100"/>
              <w:bottom w:type="dxa" w:w="70"/>
              <w:right w:type="dxa" w:w="100"/>
            </w:tcMar>
            <w:vAlign w:val="center"/>
          </w:tcPr>
          <w:p>
            <w:pPr>
              <w:spacing w:after="0"/>
            </w:pPr>
            <w:r>
              <w:rPr>
                <w:rFonts w:ascii="Calibri" w:cs="Calibri" w:eastAsia="Calibri" w:hAnsi="Calibri"/>
                <w:sz w:val="20"/>
                <w:szCs w:val="20"/>
              </w:rPr>
              <w:t xml:space="preserve">3,696,704.04</w:t>
            </w:r>
          </w:p>
        </w:tc>
      </w:tr>
      <w:tr>
        <w:tc>
          <w:tcPr>
            <w:tcW w:type="pct" w:w="3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New Delhi</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5,425</w:t>
            </w:r>
          </w:p>
        </w:tc>
        <w:tc>
          <w:tcPr>
            <w:tcW w:type="pct" w:w="4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3,608,277.78</w:t>
            </w:r>
          </w:p>
        </w:tc>
      </w:tr>
      <w:tr>
        <w:tc>
          <w:tcPr>
            <w:tcW w:type="pct" w:w="34%"/>
            <w:tcMar>
              <w:top w:type="dxa" w:w="70"/>
              <w:left w:type="dxa" w:w="100"/>
              <w:bottom w:type="dxa" w:w="70"/>
              <w:right w:type="dxa" w:w="100"/>
            </w:tcMar>
            <w:vAlign w:val="center"/>
          </w:tcPr>
          <w:p>
            <w:pPr>
              <w:spacing w:after="0"/>
            </w:pPr>
            <w:r>
              <w:rPr>
                <w:rFonts w:ascii="Calibri" w:cs="Calibri" w:eastAsia="Calibri" w:hAnsi="Calibri"/>
                <w:sz w:val="20"/>
                <w:szCs w:val="20"/>
              </w:rPr>
              <w:t xml:space="preserve">Chennai</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4,925</w:t>
            </w:r>
          </w:p>
        </w:tc>
        <w:tc>
          <w:tcPr>
            <w:tcW w:type="pct" w:w="44%"/>
            <w:tcMar>
              <w:top w:type="dxa" w:w="70"/>
              <w:left w:type="dxa" w:w="100"/>
              <w:bottom w:type="dxa" w:w="70"/>
              <w:right w:type="dxa" w:w="100"/>
            </w:tcMar>
            <w:vAlign w:val="center"/>
          </w:tcPr>
          <w:p>
            <w:pPr>
              <w:spacing w:after="0"/>
            </w:pPr>
            <w:r>
              <w:rPr>
                <w:rFonts w:ascii="Calibri" w:cs="Calibri" w:eastAsia="Calibri" w:hAnsi="Calibri"/>
                <w:sz w:val="20"/>
                <w:szCs w:val="20"/>
              </w:rPr>
              <w:t xml:space="preserve">3,098,745.74</w:t>
            </w:r>
          </w:p>
        </w:tc>
      </w:tr>
      <w:tr>
        <w:tc>
          <w:tcPr>
            <w:tcW w:type="pct" w:w="3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Pune</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3,593</w:t>
            </w:r>
          </w:p>
        </w:tc>
        <w:tc>
          <w:tcPr>
            <w:tcW w:type="pct" w:w="4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2,337,978.18</w:t>
            </w:r>
          </w:p>
        </w:tc>
      </w:tr>
      <w:tr>
        <w:tc>
          <w:tcPr>
            <w:tcW w:type="pct" w:w="34%"/>
            <w:tcMar>
              <w:top w:type="dxa" w:w="70"/>
              <w:left w:type="dxa" w:w="100"/>
              <w:bottom w:type="dxa" w:w="70"/>
              <w:right w:type="dxa" w:w="100"/>
            </w:tcMar>
            <w:vAlign w:val="center"/>
          </w:tcPr>
          <w:p>
            <w:pPr>
              <w:spacing w:after="0"/>
            </w:pPr>
            <w:r>
              <w:rPr>
                <w:rFonts w:ascii="Calibri" w:cs="Calibri" w:eastAsia="Calibri" w:hAnsi="Calibri"/>
                <w:sz w:val="20"/>
                <w:szCs w:val="20"/>
              </w:rPr>
              <w:t xml:space="preserve">Kolkata</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2,246</w:t>
            </w:r>
          </w:p>
        </w:tc>
        <w:tc>
          <w:tcPr>
            <w:tcW w:type="pct" w:w="44%"/>
            <w:tcMar>
              <w:top w:type="dxa" w:w="70"/>
              <w:left w:type="dxa" w:w="100"/>
              <w:bottom w:type="dxa" w:w="70"/>
              <w:right w:type="dxa" w:w="100"/>
            </w:tcMar>
            <w:vAlign w:val="center"/>
          </w:tcPr>
          <w:p>
            <w:pPr>
              <w:spacing w:after="0"/>
            </w:pPr>
            <w:r>
              <w:rPr>
                <w:rFonts w:ascii="Calibri" w:cs="Calibri" w:eastAsia="Calibri" w:hAnsi="Calibri"/>
                <w:sz w:val="20"/>
                <w:szCs w:val="20"/>
              </w:rPr>
              <w:t xml:space="preserve">1,412,815.87</w:t>
            </w:r>
          </w:p>
        </w:tc>
      </w:tr>
      <w:tr>
        <w:tc>
          <w:tcPr>
            <w:tcW w:type="pct" w:w="3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Gurugram</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1,768</w:t>
            </w:r>
          </w:p>
        </w:tc>
        <w:tc>
          <w:tcPr>
            <w:tcW w:type="pct" w:w="4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1,220,562.74</w:t>
            </w:r>
          </w:p>
        </w:tc>
      </w:tr>
      <w:tr>
        <w:tc>
          <w:tcPr>
            <w:tcW w:type="pct" w:w="34%"/>
            <w:tcMar>
              <w:top w:type="dxa" w:w="70"/>
              <w:left w:type="dxa" w:w="100"/>
              <w:bottom w:type="dxa" w:w="70"/>
              <w:right w:type="dxa" w:w="100"/>
            </w:tcMar>
            <w:vAlign w:val="center"/>
          </w:tcPr>
          <w:p>
            <w:pPr>
              <w:spacing w:after="0"/>
            </w:pPr>
            <w:r>
              <w:rPr>
                <w:rFonts w:ascii="Calibri" w:cs="Calibri" w:eastAsia="Calibri" w:hAnsi="Calibri"/>
                <w:sz w:val="20"/>
                <w:szCs w:val="20"/>
              </w:rPr>
              <w:t xml:space="preserve">Thane</w:t>
            </w:r>
          </w:p>
        </w:tc>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1,612</w:t>
            </w:r>
          </w:p>
        </w:tc>
        <w:tc>
          <w:tcPr>
            <w:tcW w:type="pct" w:w="44%"/>
            <w:tcMar>
              <w:top w:type="dxa" w:w="70"/>
              <w:left w:type="dxa" w:w="100"/>
              <w:bottom w:type="dxa" w:w="70"/>
              <w:right w:type="dxa" w:w="100"/>
            </w:tcMar>
            <w:vAlign w:val="center"/>
          </w:tcPr>
          <w:p>
            <w:pPr>
              <w:spacing w:after="0"/>
            </w:pPr>
            <w:r>
              <w:rPr>
                <w:rFonts w:ascii="Calibri" w:cs="Calibri" w:eastAsia="Calibri" w:hAnsi="Calibri"/>
                <w:sz w:val="20"/>
                <w:szCs w:val="20"/>
              </w:rPr>
              <w:t xml:space="preserve">1,003,878.29</w:t>
            </w:r>
          </w:p>
        </w:tc>
      </w:tr>
      <w:tr>
        <w:tc>
          <w:tcPr>
            <w:tcW w:type="pct" w:w="3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Lucknow</w:t>
            </w:r>
          </w:p>
        </w:tc>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1,393</w:t>
            </w:r>
          </w:p>
        </w:tc>
        <w:tc>
          <w:tcPr>
            <w:tcW w:type="pct" w:w="4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933,926.34</w:t>
            </w:r>
          </w:p>
        </w:tc>
      </w:tr>
    </w:tbl>
    <w:p>
      <w:pPr>
        <w:spacing w:after="160" w:line="276"/>
      </w:pPr>
      <w:r>
        <w:rPr>
          <w:rFonts w:ascii="Calibri" w:cs="Calibri" w:eastAsia="Calibri" w:hAnsi="Calibri"/>
          <w:color w:val="262626"/>
          <w:sz w:val="22"/>
          <w:szCs w:val="22"/>
        </w:rPr>
        <w:t xml:space="preserve">Metropolitan cities, led by Bengaluru, Hyderabad, and Mumbai, contribute a disproportionately large share of revenue relative to their share of total geography, confirming urban markets as the primary revenue engine.</w:t>
      </w:r>
    </w:p>
    <w:p>
      <w:pPr>
        <w:pStyle w:val="Heading2"/>
        <w:spacing w:after="140" w:before="280"/>
      </w:pPr>
      <w:r>
        <w:t xml:space="preserve">8.12 Revenue Distribution Analysis</w:t>
      </w:r>
    </w:p>
    <w:p>
      <w:pPr>
        <w:spacing w:after="160" w:line="276"/>
      </w:pPr>
      <w:r>
        <w:rPr>
          <w:rFonts w:ascii="Calibri" w:cs="Calibri" w:eastAsia="Calibri" w:hAnsi="Calibri"/>
          <w:color w:val="262626"/>
          <w:sz w:val="22"/>
          <w:szCs w:val="22"/>
        </w:rPr>
        <w:t xml:space="preserve">A histogram of order amounts (for orders up to ₹2,000) shows that the large majority of transactions cluster within a moderate value range, consistent with the ₹610.49 average order value calculated in the business overview. This indicates that revenue growth is driven primarily by order volume rather than a small number of high-value transactions.</w:t>
      </w:r>
    </w:p>
    <w:p>
      <w:pPr>
        <w:spacing w:after="60" w:before="120"/>
        <w:jc w:val="center"/>
      </w:pPr>
      <w:r>
        <w:drawing>
          <wp:inline distT="0" distB="0" distL="0" distR="0">
            <wp:extent cx="4191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2669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8.12.1 - Distribution of Order Amount</w:t>
      </w:r>
    </w:p>
    <w:p>
      <w:pPr>
        <w:pStyle w:val="Heading2"/>
        <w:spacing w:after="140" w:before="280"/>
      </w:pPr>
      <w:r>
        <w:t xml:space="preserve">8.13 Monthly Order Trend</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Month</w:t>
            </w:r>
          </w:p>
        </w:tc>
        <w:tc>
          <w:tcPr>
            <w:tcW w:type="pct" w:w="5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Orders</w:t>
            </w:r>
          </w:p>
        </w:tc>
      </w:tr>
      <w:tr>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March</w:t>
            </w:r>
          </w:p>
        </w:tc>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158</w:t>
            </w:r>
          </w:p>
        </w:tc>
      </w:tr>
      <w:tr>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April</w:t>
            </w:r>
          </w:p>
        </w:tc>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45,657</w:t>
            </w:r>
          </w:p>
        </w:tc>
      </w:tr>
      <w:tr>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May</w:t>
            </w:r>
          </w:p>
        </w:tc>
        <w:tc>
          <w:tcPr>
            <w:tcW w:type="pct" w:w="50%"/>
            <w:tcMar>
              <w:top w:type="dxa" w:w="70"/>
              <w:left w:type="dxa" w:w="100"/>
              <w:bottom w:type="dxa" w:w="70"/>
              <w:right w:type="dxa" w:w="100"/>
            </w:tcMar>
            <w:vAlign w:val="center"/>
          </w:tcPr>
          <w:p>
            <w:pPr>
              <w:spacing w:after="0"/>
            </w:pPr>
            <w:r>
              <w:rPr>
                <w:rFonts w:ascii="Calibri" w:cs="Calibri" w:eastAsia="Calibri" w:hAnsi="Calibri"/>
                <w:sz w:val="20"/>
                <w:szCs w:val="20"/>
              </w:rPr>
              <w:t xml:space="preserve">39,180</w:t>
            </w:r>
          </w:p>
        </w:tc>
      </w:tr>
      <w:tr>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June</w:t>
            </w:r>
          </w:p>
        </w:tc>
        <w:tc>
          <w:tcPr>
            <w:tcW w:type="pct" w:w="5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35,111</w:t>
            </w:r>
          </w:p>
        </w:tc>
      </w:tr>
    </w:tbl>
    <w:p>
      <w:pPr>
        <w:spacing w:after="160" w:line="276"/>
      </w:pPr>
      <w:r>
        <w:rPr>
          <w:rFonts w:ascii="Calibri" w:cs="Calibri" w:eastAsia="Calibri" w:hAnsi="Calibri"/>
          <w:color w:val="262626"/>
          <w:sz w:val="22"/>
          <w:szCs w:val="22"/>
        </w:rPr>
        <w:t xml:space="preserve">The monthly order trend mirrors the revenue trend, with order volume peaking in April and declining through May and June. This consistent pattern across both orders and revenue strengthens confidence that the decline reflects a genuine demand shift rather than a change in average pricing.</w:t>
      </w:r>
    </w:p>
    <w:p>
      <w:pPr>
        <w:spacing w:after="60" w:before="120"/>
        <w:jc w:val="center"/>
      </w:pPr>
      <w:r>
        <w:drawing>
          <wp:inline distT="0" distB="0" distL="0" distR="0">
            <wp:extent cx="4191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22669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8.13.1 - Monthly Order Trend</w:t>
      </w:r>
    </w:p>
    <w:p>
      <w:pPr>
        <w:pStyle w:val="Heading2"/>
        <w:spacing w:after="140" w:before="280"/>
      </w:pPr>
      <w:r>
        <w:t xml:space="preserve">8.14 Top Products by Quantity Sold</w:t>
      </w:r>
    </w:p>
    <w:p>
      <w:pPr>
        <w:spacing w:after="160" w:line="276"/>
      </w:pPr>
      <w:r>
        <w:rPr>
          <w:rFonts w:ascii="Calibri" w:cs="Calibri" w:eastAsia="Calibri" w:hAnsi="Calibri"/>
          <w:color w:val="262626"/>
          <w:sz w:val="22"/>
          <w:szCs w:val="22"/>
        </w:rPr>
        <w:t xml:space="preserve">Ranked by total quantity sold, T-shirts (45,165 units) and Shirts (44,903 units) are the clear leaders, followed by Blazers (13,930 units) and Trousers (9,885 units). This ranking is consistent with the revenue-based category ranking in Section 8.4, confirming that the top categories are driven by genuine volume demand rather than price alone.</w:t>
      </w:r>
    </w:p>
    <w:p>
      <w:pPr>
        <w:spacing w:after="60" w:before="120"/>
        <w:jc w:val="center"/>
      </w:pPr>
      <w:r>
        <w:drawing>
          <wp:inline distT="0" distB="0" distL="0" distR="0">
            <wp:extent cx="4191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22288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8.14.1 - Quantity Sold by Product Category (Ranked)</w:t>
      </w:r>
    </w:p>
    <w:p>
      <w:pPr>
        <w:pStyle w:val="Heading2"/>
        <w:spacing w:after="140" w:before="280"/>
      </w:pPr>
      <w:r>
        <w:t xml:space="preserve">8.15 EDA Conclusion</w:t>
      </w:r>
    </w:p>
    <w:p>
      <w:pPr>
        <w:spacing w:after="160" w:line="276"/>
      </w:pPr>
      <w:r>
        <w:rPr>
          <w:rFonts w:ascii="Calibri" w:cs="Calibri" w:eastAsia="Calibri" w:hAnsi="Calibri"/>
          <w:color w:val="262626"/>
          <w:sz w:val="22"/>
          <w:szCs w:val="22"/>
        </w:rPr>
        <w:t xml:space="preserve">The exploratory data analysis provided a comprehensive view of Amazon's sales performance, customer purchasing patterns, product demand, fulfilment efficiency, and geographical distribution. Key findings include heavy reliance on a single sales channel, dominance of apparel categories, concentration of demand in core sizes, and strong performance from major urban markets, alongside a meaningful cancellation rate that represents an area for operational improvement.</w:t>
      </w:r>
    </w:p>
    <w:p>
      <w:r>
        <w:br w:type="page"/>
      </w:r>
    </w:p>
    <w:p>
      <w:pPr>
        <w:pStyle w:val="Heading1"/>
        <w:pBdr>
          <w:bottom w:val="single" w:color="1F3864" w:sz="6" w:space="4"/>
        </w:pBdr>
        <w:spacing w:after="200" w:before="400"/>
      </w:pPr>
      <w:r>
        <w:t xml:space="preserve">9. SQL Analysis</w:t>
      </w:r>
    </w:p>
    <w:p>
      <w:pPr>
        <w:spacing w:after="160" w:line="276"/>
      </w:pPr>
      <w:r>
        <w:rPr>
          <w:rFonts w:ascii="Calibri" w:cs="Calibri" w:eastAsia="Calibri" w:hAnsi="Calibri"/>
          <w:color w:val="262626"/>
          <w:sz w:val="22"/>
          <w:szCs w:val="22"/>
        </w:rPr>
        <w:t xml:space="preserve">A relational schema (amazon_sales) was defined to mirror the cleaned dataset, and a series of SQL queries were written to reproduce and validate the key metrics used throughout this report. SQL analysis serves as an independent, auditable layer of validation for the findings surfaced in the Python-based EDA and provides the query logic that also underpins the Power BI dashboard. The table below summarizes the purpose and business significance of each query.</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22%"/>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Query</w:t>
            </w:r>
          </w:p>
        </w:tc>
        <w:tc>
          <w:tcPr>
            <w:tcW w:type="pct" w:w="24%"/>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Logic Used</w:t>
            </w:r>
          </w:p>
        </w:tc>
        <w:tc>
          <w:tcPr>
            <w:tcW w:type="pct" w:w="54%"/>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Business Significance</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Total Orders</w:t>
            </w:r>
          </w:p>
        </w:tc>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COUNT(DISTINCT order_id)</w:t>
            </w:r>
          </w:p>
        </w:tc>
        <w:tc>
          <w:tcPr>
            <w:tcW w:type="pct" w:w="54%"/>
            <w:tcMar>
              <w:top w:type="dxa" w:w="70"/>
              <w:left w:type="dxa" w:w="100"/>
              <w:bottom w:type="dxa" w:w="70"/>
              <w:right w:type="dxa" w:w="100"/>
            </w:tcMar>
            <w:vAlign w:val="center"/>
          </w:tcPr>
          <w:p>
            <w:pPr>
              <w:spacing w:after="0"/>
            </w:pPr>
            <w:r>
              <w:rPr>
                <w:rFonts w:ascii="Calibri" w:cs="Calibri" w:eastAsia="Calibri" w:hAnsi="Calibri"/>
                <w:sz w:val="20"/>
                <w:szCs w:val="20"/>
              </w:rPr>
              <w:t xml:space="preserve">Establishes the total number of unique customer orders as the baseline volume metric.</w:t>
            </w:r>
          </w:p>
        </w:tc>
      </w:tr>
      <w:tr>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Total Revenue</w:t>
            </w:r>
          </w:p>
        </w:tc>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SUM(amount)</w:t>
            </w:r>
          </w:p>
        </w:tc>
        <w:tc>
          <w:tcPr>
            <w:tcW w:type="pct" w:w="5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Calculates total revenue generated across all transactions.</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Average Order Value</w:t>
            </w:r>
          </w:p>
        </w:tc>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AVG(amount)</w:t>
            </w:r>
          </w:p>
        </w:tc>
        <w:tc>
          <w:tcPr>
            <w:tcW w:type="pct" w:w="54%"/>
            <w:tcMar>
              <w:top w:type="dxa" w:w="70"/>
              <w:left w:type="dxa" w:w="100"/>
              <w:bottom w:type="dxa" w:w="70"/>
              <w:right w:type="dxa" w:w="100"/>
            </w:tcMar>
            <w:vAlign w:val="center"/>
          </w:tcPr>
          <w:p>
            <w:pPr>
              <w:spacing w:after="0"/>
            </w:pPr>
            <w:r>
              <w:rPr>
                <w:rFonts w:ascii="Calibri" w:cs="Calibri" w:eastAsia="Calibri" w:hAnsi="Calibri"/>
                <w:sz w:val="20"/>
                <w:szCs w:val="20"/>
              </w:rPr>
              <w:t xml:space="preserve">Measures typical transaction size, a key input for pricing and promotion strategy.</w:t>
            </w:r>
          </w:p>
        </w:tc>
      </w:tr>
      <w:tr>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Total Quantity Sold</w:t>
            </w:r>
          </w:p>
        </w:tc>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SUM(qty)</w:t>
            </w:r>
          </w:p>
        </w:tc>
        <w:tc>
          <w:tcPr>
            <w:tcW w:type="pct" w:w="5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Quantifies total unit volume moved, distinct from revenue.</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Monthly Revenue</w:t>
            </w:r>
          </w:p>
        </w:tc>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GROUP BY month_number, month</w:t>
            </w:r>
          </w:p>
        </w:tc>
        <w:tc>
          <w:tcPr>
            <w:tcW w:type="pct" w:w="54%"/>
            <w:tcMar>
              <w:top w:type="dxa" w:w="70"/>
              <w:left w:type="dxa" w:w="100"/>
              <w:bottom w:type="dxa" w:w="70"/>
              <w:right w:type="dxa" w:w="100"/>
            </w:tcMar>
            <w:vAlign w:val="center"/>
          </w:tcPr>
          <w:p>
            <w:pPr>
              <w:spacing w:after="0"/>
            </w:pPr>
            <w:r>
              <w:rPr>
                <w:rFonts w:ascii="Calibri" w:cs="Calibri" w:eastAsia="Calibri" w:hAnsi="Calibri"/>
                <w:sz w:val="20"/>
                <w:szCs w:val="20"/>
              </w:rPr>
              <w:t xml:space="preserve">Tracks revenue over time to identify seasonality and growth or decline trends.</w:t>
            </w:r>
          </w:p>
        </w:tc>
      </w:tr>
      <w:tr>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Monthly Orders</w:t>
            </w:r>
          </w:p>
        </w:tc>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GROUP BY month_number, month</w:t>
            </w:r>
          </w:p>
        </w:tc>
        <w:tc>
          <w:tcPr>
            <w:tcW w:type="pct" w:w="5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Tracks order volume over time, complementing the revenue trend.</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Revenue by Product Category</w:t>
            </w:r>
          </w:p>
        </w:tc>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GROUP BY category</w:t>
            </w:r>
          </w:p>
        </w:tc>
        <w:tc>
          <w:tcPr>
            <w:tcW w:type="pct" w:w="54%"/>
            <w:tcMar>
              <w:top w:type="dxa" w:w="70"/>
              <w:left w:type="dxa" w:w="100"/>
              <w:bottom w:type="dxa" w:w="70"/>
              <w:right w:type="dxa" w:w="100"/>
            </w:tcMar>
            <w:vAlign w:val="center"/>
          </w:tcPr>
          <w:p>
            <w:pPr>
              <w:spacing w:after="0"/>
            </w:pPr>
            <w:r>
              <w:rPr>
                <w:rFonts w:ascii="Calibri" w:cs="Calibri" w:eastAsia="Calibri" w:hAnsi="Calibri"/>
                <w:sz w:val="20"/>
                <w:szCs w:val="20"/>
              </w:rPr>
              <w:t xml:space="preserve">Identifies which product categories drive the most revenue.</w:t>
            </w:r>
          </w:p>
        </w:tc>
      </w:tr>
      <w:tr>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Quantity Sold by Category</w:t>
            </w:r>
          </w:p>
        </w:tc>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GROUP BY category</w:t>
            </w:r>
          </w:p>
        </w:tc>
        <w:tc>
          <w:tcPr>
            <w:tcW w:type="pct" w:w="5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Identifies which categories drive the most unit volume, independent of price.</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Revenue by Product Size</w:t>
            </w:r>
          </w:p>
        </w:tc>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GROUP BY size</w:t>
            </w:r>
          </w:p>
        </w:tc>
        <w:tc>
          <w:tcPr>
            <w:tcW w:type="pct" w:w="54%"/>
            <w:tcMar>
              <w:top w:type="dxa" w:w="70"/>
              <w:left w:type="dxa" w:w="100"/>
              <w:bottom w:type="dxa" w:w="70"/>
              <w:right w:type="dxa" w:w="100"/>
            </w:tcMar>
            <w:vAlign w:val="center"/>
          </w:tcPr>
          <w:p>
            <w:pPr>
              <w:spacing w:after="0"/>
            </w:pPr>
            <w:r>
              <w:rPr>
                <w:rFonts w:ascii="Calibri" w:cs="Calibri" w:eastAsia="Calibri" w:hAnsi="Calibri"/>
                <w:sz w:val="20"/>
                <w:szCs w:val="20"/>
              </w:rPr>
              <w:t xml:space="preserve">Determines which sizes generate the most revenue, informing size-level inventory decisions.</w:t>
            </w:r>
          </w:p>
        </w:tc>
      </w:tr>
      <w:tr>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Orders by Order Status</w:t>
            </w:r>
          </w:p>
        </w:tc>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GROUP BY status</w:t>
            </w:r>
          </w:p>
        </w:tc>
        <w:tc>
          <w:tcPr>
            <w:tcW w:type="pct" w:w="5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Breaks down orders by final status to quantify shipped, cancelled, and pending volumes.</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Orders by Courier Status</w:t>
            </w:r>
          </w:p>
        </w:tc>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GROUP BY courier_status</w:t>
            </w:r>
          </w:p>
        </w:tc>
        <w:tc>
          <w:tcPr>
            <w:tcW w:type="pct" w:w="54%"/>
            <w:tcMar>
              <w:top w:type="dxa" w:w="70"/>
              <w:left w:type="dxa" w:w="100"/>
              <w:bottom w:type="dxa" w:w="70"/>
              <w:right w:type="dxa" w:w="100"/>
            </w:tcMar>
            <w:vAlign w:val="center"/>
          </w:tcPr>
          <w:p>
            <w:pPr>
              <w:spacing w:after="0"/>
            </w:pPr>
            <w:r>
              <w:rPr>
                <w:rFonts w:ascii="Calibri" w:cs="Calibri" w:eastAsia="Calibri" w:hAnsi="Calibri"/>
                <w:sz w:val="20"/>
                <w:szCs w:val="20"/>
              </w:rPr>
              <w:t xml:space="preserve">Evaluates shipment-level performance separately from order-level status.</w:t>
            </w:r>
          </w:p>
        </w:tc>
      </w:tr>
      <w:tr>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Orders by Fulfilment Method</w:t>
            </w:r>
          </w:p>
        </w:tc>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GROUP BY fulfilment</w:t>
            </w:r>
          </w:p>
        </w:tc>
        <w:tc>
          <w:tcPr>
            <w:tcW w:type="pct" w:w="5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Compares Amazon-managed versus merchant-managed fulfilment on volume and revenue.</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B2B vs B2C Analysis</w:t>
            </w:r>
          </w:p>
        </w:tc>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CASE WHEN b2b</w:t>
            </w:r>
          </w:p>
        </w:tc>
        <w:tc>
          <w:tcPr>
            <w:tcW w:type="pct" w:w="54%"/>
            <w:tcMar>
              <w:top w:type="dxa" w:w="70"/>
              <w:left w:type="dxa" w:w="100"/>
              <w:bottom w:type="dxa" w:w="70"/>
              <w:right w:type="dxa" w:w="100"/>
            </w:tcMar>
            <w:vAlign w:val="center"/>
          </w:tcPr>
          <w:p>
            <w:pPr>
              <w:spacing w:after="0"/>
            </w:pPr>
            <w:r>
              <w:rPr>
                <w:rFonts w:ascii="Calibri" w:cs="Calibri" w:eastAsia="Calibri" w:hAnsi="Calibri"/>
                <w:sz w:val="20"/>
                <w:szCs w:val="20"/>
              </w:rPr>
              <w:t xml:space="preserve">Segments transactions by customer type to quantify the B2B opportunity.</w:t>
            </w:r>
          </w:p>
        </w:tc>
      </w:tr>
      <w:tr>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Top 10 States by Revenue</w:t>
            </w:r>
          </w:p>
        </w:tc>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GROUP BY ship_state, LIMIT 10</w:t>
            </w:r>
          </w:p>
        </w:tc>
        <w:tc>
          <w:tcPr>
            <w:tcW w:type="pct" w:w="5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Ranks states to prioritize regional investment.</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Top 10 Cities by Revenue</w:t>
            </w:r>
          </w:p>
        </w:tc>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GROUP BY ship_city, LIMIT 10</w:t>
            </w:r>
          </w:p>
        </w:tc>
        <w:tc>
          <w:tcPr>
            <w:tcW w:type="pct" w:w="54%"/>
            <w:tcMar>
              <w:top w:type="dxa" w:w="70"/>
              <w:left w:type="dxa" w:w="100"/>
              <w:bottom w:type="dxa" w:w="70"/>
              <w:right w:type="dxa" w:w="100"/>
            </w:tcMar>
            <w:vAlign w:val="center"/>
          </w:tcPr>
          <w:p>
            <w:pPr>
              <w:spacing w:after="0"/>
            </w:pPr>
            <w:r>
              <w:rPr>
                <w:rFonts w:ascii="Calibri" w:cs="Calibri" w:eastAsia="Calibri" w:hAnsi="Calibri"/>
                <w:sz w:val="20"/>
                <w:szCs w:val="20"/>
              </w:rPr>
              <w:t xml:space="preserve">Ranks cities to identify the strongest urban markets.</w:t>
            </w:r>
          </w:p>
        </w:tc>
      </w:tr>
      <w:tr>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Revenue by Sales Channel</w:t>
            </w:r>
          </w:p>
        </w:tc>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GROUP BY sales_channel</w:t>
            </w:r>
          </w:p>
        </w:tc>
        <w:tc>
          <w:tcPr>
            <w:tcW w:type="pct" w:w="5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Quantifies channel concentration risk.</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Revenue by Fulfilled By</w:t>
            </w:r>
          </w:p>
        </w:tc>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GROUP BY fulfilled_by</w:t>
            </w:r>
          </w:p>
        </w:tc>
        <w:tc>
          <w:tcPr>
            <w:tcW w:type="pct" w:w="54%"/>
            <w:tcMar>
              <w:top w:type="dxa" w:w="70"/>
              <w:left w:type="dxa" w:w="100"/>
              <w:bottom w:type="dxa" w:w="70"/>
              <w:right w:type="dxa" w:w="100"/>
            </w:tcMar>
            <w:vAlign w:val="center"/>
          </w:tcPr>
          <w:p>
            <w:pPr>
              <w:spacing w:after="0"/>
            </w:pPr>
            <w:r>
              <w:rPr>
                <w:rFonts w:ascii="Calibri" w:cs="Calibri" w:eastAsia="Calibri" w:hAnsi="Calibri"/>
                <w:sz w:val="20"/>
                <w:szCs w:val="20"/>
              </w:rPr>
              <w:t xml:space="preserve">Compares Amazon logistics versus Easy Ship on order volume and revenue.</w:t>
            </w:r>
          </w:p>
        </w:tc>
      </w:tr>
      <w:tr>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Top 10 Highest Revenue Orders</w:t>
            </w:r>
          </w:p>
        </w:tc>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ORDER BY amount DESC, LIMIT 10</w:t>
            </w:r>
          </w:p>
        </w:tc>
        <w:tc>
          <w:tcPr>
            <w:tcW w:type="pct" w:w="5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Identifies the largest individual transactions for outlier review.</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Average Revenue by State</w:t>
            </w:r>
          </w:p>
        </w:tc>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AVG(amount), GROUP BY ship_state</w:t>
            </w:r>
          </w:p>
        </w:tc>
        <w:tc>
          <w:tcPr>
            <w:tcW w:type="pct" w:w="54%"/>
            <w:tcMar>
              <w:top w:type="dxa" w:w="70"/>
              <w:left w:type="dxa" w:w="100"/>
              <w:bottom w:type="dxa" w:w="70"/>
              <w:right w:type="dxa" w:w="100"/>
            </w:tcMar>
            <w:vAlign w:val="center"/>
          </w:tcPr>
          <w:p>
            <w:pPr>
              <w:spacing w:after="0"/>
            </w:pPr>
            <w:r>
              <w:rPr>
                <w:rFonts w:ascii="Calibri" w:cs="Calibri" w:eastAsia="Calibri" w:hAnsi="Calibri"/>
                <w:sz w:val="20"/>
                <w:szCs w:val="20"/>
              </w:rPr>
              <w:t xml:space="preserve">Measures typical order value by region, independent of order count.</w:t>
            </w:r>
          </w:p>
        </w:tc>
      </w:tr>
      <w:tr>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Monthly Revenue by Category</w:t>
            </w:r>
          </w:p>
        </w:tc>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GROUP BY month, category</w:t>
            </w:r>
          </w:p>
        </w:tc>
        <w:tc>
          <w:tcPr>
            <w:tcW w:type="pct" w:w="5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Cross-tabulates time and category to detect seasonal category shifts.</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Top 5 States by Quantity Sold</w:t>
            </w:r>
          </w:p>
        </w:tc>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SUM(qty), GROUP BY ship_state, LIMIT 5</w:t>
            </w:r>
          </w:p>
        </w:tc>
        <w:tc>
          <w:tcPr>
            <w:tcW w:type="pct" w:w="54%"/>
            <w:tcMar>
              <w:top w:type="dxa" w:w="70"/>
              <w:left w:type="dxa" w:w="100"/>
              <w:bottom w:type="dxa" w:w="70"/>
              <w:right w:type="dxa" w:w="100"/>
            </w:tcMar>
            <w:vAlign w:val="center"/>
          </w:tcPr>
          <w:p>
            <w:pPr>
              <w:spacing w:after="0"/>
            </w:pPr>
            <w:r>
              <w:rPr>
                <w:rFonts w:ascii="Calibri" w:cs="Calibri" w:eastAsia="Calibri" w:hAnsi="Calibri"/>
                <w:sz w:val="20"/>
                <w:szCs w:val="20"/>
              </w:rPr>
              <w:t xml:space="preserve">Ranks states by unit volume rather than revenue, useful for logistics planning.</w:t>
            </w:r>
          </w:p>
        </w:tc>
      </w:tr>
      <w:tr>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Revenue by Ship Service Level</w:t>
            </w:r>
          </w:p>
        </w:tc>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GROUP BY ship_service_level</w:t>
            </w:r>
          </w:p>
        </w:tc>
        <w:tc>
          <w:tcPr>
            <w:tcW w:type="pct" w:w="5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Compares Standard versus Expedited shipping on order volume and revenue.</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Cancelled Orders Percentage</w:t>
            </w:r>
          </w:p>
        </w:tc>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COUNT(CASE WHEN status = 'Cancelled')</w:t>
            </w:r>
          </w:p>
        </w:tc>
        <w:tc>
          <w:tcPr>
            <w:tcW w:type="pct" w:w="54%"/>
            <w:tcMar>
              <w:top w:type="dxa" w:w="70"/>
              <w:left w:type="dxa" w:w="100"/>
              <w:bottom w:type="dxa" w:w="70"/>
              <w:right w:type="dxa" w:w="100"/>
            </w:tcMar>
            <w:vAlign w:val="center"/>
          </w:tcPr>
          <w:p>
            <w:pPr>
              <w:spacing w:after="0"/>
            </w:pPr>
            <w:r>
              <w:rPr>
                <w:rFonts w:ascii="Calibri" w:cs="Calibri" w:eastAsia="Calibri" w:hAnsi="Calibri"/>
                <w:sz w:val="20"/>
                <w:szCs w:val="20"/>
              </w:rPr>
              <w:t xml:space="preserve">Quantifies the cancellation rate as a single operational KPI.</w:t>
            </w:r>
          </w:p>
        </w:tc>
      </w:tr>
      <w:tr>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Revenue by Quarter</w:t>
            </w:r>
          </w:p>
        </w:tc>
        <w:tc>
          <w:tcPr>
            <w:tcW w:type="pct" w:w="2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GROUP BY quarter</w:t>
            </w:r>
          </w:p>
        </w:tc>
        <w:tc>
          <w:tcPr>
            <w:tcW w:type="pct" w:w="54%"/>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Aggregates revenue at the quarterly level for higher-level trend reporting.</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Top 5 Revenue Generating Days</w:t>
            </w:r>
          </w:p>
        </w:tc>
        <w:tc>
          <w:tcPr>
            <w:tcW w:type="pct" w:w="24%"/>
            <w:tcMar>
              <w:top w:type="dxa" w:w="70"/>
              <w:left w:type="dxa" w:w="100"/>
              <w:bottom w:type="dxa" w:w="70"/>
              <w:right w:type="dxa" w:w="100"/>
            </w:tcMar>
            <w:vAlign w:val="center"/>
          </w:tcPr>
          <w:p>
            <w:pPr>
              <w:spacing w:after="0"/>
            </w:pPr>
            <w:r>
              <w:rPr>
                <w:rFonts w:ascii="Calibri" w:cs="Calibri" w:eastAsia="Calibri" w:hAnsi="Calibri"/>
                <w:sz w:val="20"/>
                <w:szCs w:val="20"/>
              </w:rPr>
              <w:t xml:space="preserve">GROUP BY day_name, LIMIT 5</w:t>
            </w:r>
          </w:p>
        </w:tc>
        <w:tc>
          <w:tcPr>
            <w:tcW w:type="pct" w:w="54%"/>
            <w:tcMar>
              <w:top w:type="dxa" w:w="70"/>
              <w:left w:type="dxa" w:w="100"/>
              <w:bottom w:type="dxa" w:w="70"/>
              <w:right w:type="dxa" w:w="100"/>
            </w:tcMar>
            <w:vAlign w:val="center"/>
          </w:tcPr>
          <w:p>
            <w:pPr>
              <w:spacing w:after="0"/>
            </w:pPr>
            <w:r>
              <w:rPr>
                <w:rFonts w:ascii="Calibri" w:cs="Calibri" w:eastAsia="Calibri" w:hAnsi="Calibri"/>
                <w:sz w:val="20"/>
                <w:szCs w:val="20"/>
              </w:rPr>
              <w:t xml:space="preserve">Identifies which days of the week generate the most revenue.</w:t>
            </w:r>
          </w:p>
        </w:tc>
      </w:tr>
    </w:tbl>
    <w:p>
      <w:pPr>
        <w:spacing w:after="160"/>
      </w:pPr>
    </w:p>
    <w:p>
      <w:pPr>
        <w:spacing w:after="160" w:line="276"/>
      </w:pPr>
      <w:r>
        <w:rPr>
          <w:rFonts w:ascii="Calibri" w:cs="Calibri" w:eastAsia="Calibri" w:hAnsi="Calibri"/>
          <w:color w:val="262626"/>
          <w:sz w:val="22"/>
          <w:szCs w:val="22"/>
        </w:rPr>
        <w:t xml:space="preserve">Collectively, these queries validate the core findings from the exploratory analysis: heavy dependence on the Amazon.in channel, apparel category dominance, moderate order values, and concentrated demand in a small number of leading states and cities. The SQL layer also isolates specific operational KPIs, such as the cancelled order percentage, that are used directly as dashboard metrics.</w:t>
      </w:r>
    </w:p>
    <w:p>
      <w:r>
        <w:br w:type="page"/>
      </w:r>
    </w:p>
    <w:p>
      <w:pPr>
        <w:pStyle w:val="Heading1"/>
        <w:pBdr>
          <w:bottom w:val="single" w:color="1F3864" w:sz="6" w:space="4"/>
        </w:pBdr>
        <w:spacing w:after="200" w:before="400"/>
      </w:pPr>
      <w:r>
        <w:t xml:space="preserve">10. Power BI Dashboard</w:t>
      </w:r>
    </w:p>
    <w:p>
      <w:pPr>
        <w:spacing w:after="160" w:line="276"/>
      </w:pPr>
      <w:r>
        <w:rPr>
          <w:rFonts w:ascii="Calibri" w:cs="Calibri" w:eastAsia="Calibri" w:hAnsi="Calibri"/>
          <w:color w:val="262626"/>
          <w:sz w:val="22"/>
          <w:szCs w:val="22"/>
        </w:rPr>
        <w:t xml:space="preserve">A single-page interactive Power BI dashboard (Amazon_Sales_Dashboard.pbix) was developed to present the key findings from the SQL and EDA analysis in a business-facing, self-service format. The dashboard screenshot is shown below, followed by a breakdown of its components.</w:t>
      </w:r>
    </w:p>
    <w:p>
      <w:pPr>
        <w:spacing w:after="200" w:before="12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276600"/>
                    </a:xfrm>
                    <a:prstGeom prst="rect">
                      <a:avLst/>
                    </a:prstGeom>
                  </pic:spPr>
                </pic:pic>
              </a:graphicData>
            </a:graphic>
          </wp:inline>
        </w:drawing>
      </w:r>
    </w:p>
    <w:p>
      <w:pPr>
        <w:pStyle w:val="Heading2"/>
        <w:spacing w:after="140" w:before="280"/>
      </w:pPr>
      <w:r>
        <w:t xml:space="preserve">10.1 Key Performance Indicators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22%"/>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KPI Card</w:t>
            </w:r>
          </w:p>
        </w:tc>
        <w:tc>
          <w:tcPr>
            <w:tcW w:type="pct" w:w="2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Value Displayed</w:t>
            </w:r>
          </w:p>
        </w:tc>
        <w:tc>
          <w:tcPr>
            <w:tcW w:type="pct" w:w="58%"/>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20"/>
                <w:szCs w:val="20"/>
              </w:rPr>
              <w:t xml:space="preserve">Business Purpose</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Total Revenue (Cr)</w:t>
            </w:r>
          </w:p>
        </w:tc>
        <w:tc>
          <w:tcPr>
            <w:tcW w:type="pct" w:w="20%"/>
            <w:tcMar>
              <w:top w:type="dxa" w:w="70"/>
              <w:left w:type="dxa" w:w="100"/>
              <w:bottom w:type="dxa" w:w="70"/>
              <w:right w:type="dxa" w:w="100"/>
            </w:tcMar>
            <w:vAlign w:val="center"/>
          </w:tcPr>
          <w:p>
            <w:pPr>
              <w:spacing w:after="0"/>
            </w:pPr>
            <w:r>
              <w:rPr>
                <w:rFonts w:ascii="Calibri" w:cs="Calibri" w:eastAsia="Calibri" w:hAnsi="Calibri"/>
                <w:sz w:val="20"/>
                <w:szCs w:val="20"/>
              </w:rPr>
              <w:t xml:space="preserve">7.85</w:t>
            </w:r>
          </w:p>
        </w:tc>
        <w:tc>
          <w:tcPr>
            <w:tcW w:type="pct" w:w="58%"/>
            <w:tcMar>
              <w:top w:type="dxa" w:w="70"/>
              <w:left w:type="dxa" w:w="100"/>
              <w:bottom w:type="dxa" w:w="70"/>
              <w:right w:type="dxa" w:w="100"/>
            </w:tcMar>
            <w:vAlign w:val="center"/>
          </w:tcPr>
          <w:p>
            <w:pPr>
              <w:spacing w:after="0"/>
            </w:pPr>
            <w:r>
              <w:rPr>
                <w:rFonts w:ascii="Calibri" w:cs="Calibri" w:eastAsia="Calibri" w:hAnsi="Calibri"/>
                <w:sz w:val="20"/>
                <w:szCs w:val="20"/>
              </w:rPr>
              <w:t xml:space="preserve">Headline revenue figure in crore rupees for at-a-glance reporting</w:t>
            </w:r>
          </w:p>
        </w:tc>
      </w:tr>
      <w:tr>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Total Orders</w:t>
            </w:r>
          </w:p>
        </w:tc>
        <w:tc>
          <w:tcPr>
            <w:tcW w:type="pct" w:w="2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120.11K</w:t>
            </w:r>
          </w:p>
        </w:tc>
        <w:tc>
          <w:tcPr>
            <w:tcW w:type="pct" w:w="58%"/>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Total unique order volume</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Total Quantity</w:t>
            </w:r>
          </w:p>
        </w:tc>
        <w:tc>
          <w:tcPr>
            <w:tcW w:type="pct" w:w="20%"/>
            <w:tcMar>
              <w:top w:type="dxa" w:w="70"/>
              <w:left w:type="dxa" w:w="100"/>
              <w:bottom w:type="dxa" w:w="70"/>
              <w:right w:type="dxa" w:w="100"/>
            </w:tcMar>
            <w:vAlign w:val="center"/>
          </w:tcPr>
          <w:p>
            <w:pPr>
              <w:spacing w:after="0"/>
            </w:pPr>
            <w:r>
              <w:rPr>
                <w:rFonts w:ascii="Calibri" w:cs="Calibri" w:eastAsia="Calibri" w:hAnsi="Calibri"/>
                <w:sz w:val="20"/>
                <w:szCs w:val="20"/>
              </w:rPr>
              <w:t xml:space="preserve">116.33K</w:t>
            </w:r>
          </w:p>
        </w:tc>
        <w:tc>
          <w:tcPr>
            <w:tcW w:type="pct" w:w="58%"/>
            <w:tcMar>
              <w:top w:type="dxa" w:w="70"/>
              <w:left w:type="dxa" w:w="100"/>
              <w:bottom w:type="dxa" w:w="70"/>
              <w:right w:type="dxa" w:w="100"/>
            </w:tcMar>
            <w:vAlign w:val="center"/>
          </w:tcPr>
          <w:p>
            <w:pPr>
              <w:spacing w:after="0"/>
            </w:pPr>
            <w:r>
              <w:rPr>
                <w:rFonts w:ascii="Calibri" w:cs="Calibri" w:eastAsia="Calibri" w:hAnsi="Calibri"/>
                <w:sz w:val="20"/>
                <w:szCs w:val="20"/>
              </w:rPr>
              <w:t xml:space="preserve">Total units sold, distinct from order count</w:t>
            </w:r>
          </w:p>
        </w:tc>
      </w:tr>
      <w:tr>
        <w:tc>
          <w:tcPr>
            <w:tcW w:type="pct" w:w="22%"/>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Average Order Value</w:t>
            </w:r>
          </w:p>
        </w:tc>
        <w:tc>
          <w:tcPr>
            <w:tcW w:type="pct" w:w="20%"/>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₹610.49</w:t>
            </w:r>
          </w:p>
        </w:tc>
        <w:tc>
          <w:tcPr>
            <w:tcW w:type="pct" w:w="58%"/>
            <w:shd w:fill="EDEDED" w:val="clear"/>
            <w:tcMar>
              <w:top w:type="dxa" w:w="70"/>
              <w:left w:type="dxa" w:w="100"/>
              <w:bottom w:type="dxa" w:w="70"/>
              <w:right w:type="dxa" w:w="100"/>
            </w:tcMar>
            <w:vAlign w:val="center"/>
          </w:tcPr>
          <w:p>
            <w:pPr>
              <w:spacing w:after="0"/>
            </w:pPr>
            <w:r>
              <w:rPr>
                <w:rFonts w:ascii="Calibri" w:cs="Calibri" w:eastAsia="Calibri" w:hAnsi="Calibri"/>
                <w:sz w:val="20"/>
                <w:szCs w:val="20"/>
              </w:rPr>
              <w:t xml:space="preserve">Typical transaction size</w:t>
            </w:r>
          </w:p>
        </w:tc>
      </w:tr>
      <w:tr>
        <w:tc>
          <w:tcPr>
            <w:tcW w:type="pct" w:w="22%"/>
            <w:tcMar>
              <w:top w:type="dxa" w:w="70"/>
              <w:left w:type="dxa" w:w="100"/>
              <w:bottom w:type="dxa" w:w="70"/>
              <w:right w:type="dxa" w:w="100"/>
            </w:tcMar>
            <w:vAlign w:val="center"/>
          </w:tcPr>
          <w:p>
            <w:pPr>
              <w:spacing w:after="0"/>
            </w:pPr>
            <w:r>
              <w:rPr>
                <w:rFonts w:ascii="Calibri" w:cs="Calibri" w:eastAsia="Calibri" w:hAnsi="Calibri"/>
                <w:sz w:val="20"/>
                <w:szCs w:val="20"/>
              </w:rPr>
              <w:t xml:space="preserve">Cancellation Rate</w:t>
            </w:r>
          </w:p>
        </w:tc>
        <w:tc>
          <w:tcPr>
            <w:tcW w:type="pct" w:w="20%"/>
            <w:tcMar>
              <w:top w:type="dxa" w:w="70"/>
              <w:left w:type="dxa" w:w="100"/>
              <w:bottom w:type="dxa" w:w="70"/>
              <w:right w:type="dxa" w:w="100"/>
            </w:tcMar>
            <w:vAlign w:val="center"/>
          </w:tcPr>
          <w:p>
            <w:pPr>
              <w:spacing w:after="0"/>
            </w:pPr>
            <w:r>
              <w:rPr>
                <w:rFonts w:ascii="Calibri" w:cs="Calibri" w:eastAsia="Calibri" w:hAnsi="Calibri"/>
                <w:sz w:val="20"/>
                <w:szCs w:val="20"/>
              </w:rPr>
              <w:t xml:space="preserve">14.29%</w:t>
            </w:r>
          </w:p>
        </w:tc>
        <w:tc>
          <w:tcPr>
            <w:tcW w:type="pct" w:w="58%"/>
            <w:tcMar>
              <w:top w:type="dxa" w:w="70"/>
              <w:left w:type="dxa" w:w="100"/>
              <w:bottom w:type="dxa" w:w="70"/>
              <w:right w:type="dxa" w:w="100"/>
            </w:tcMar>
            <w:vAlign w:val="center"/>
          </w:tcPr>
          <w:p>
            <w:pPr>
              <w:spacing w:after="0"/>
            </w:pPr>
            <w:r>
              <w:rPr>
                <w:rFonts w:ascii="Calibri" w:cs="Calibri" w:eastAsia="Calibri" w:hAnsi="Calibri"/>
                <w:sz w:val="20"/>
                <w:szCs w:val="20"/>
              </w:rPr>
              <w:t xml:space="preserve">Share of orders cancelled, a core operational efficiency metric</w:t>
            </w:r>
          </w:p>
        </w:tc>
      </w:tr>
    </w:tbl>
    <w:p>
      <w:pPr>
        <w:pStyle w:val="Heading2"/>
        <w:spacing w:after="140" w:before="280"/>
      </w:pPr>
      <w:r>
        <w:t xml:space="preserve">10.2 Visualizations</w:t>
      </w:r>
    </w:p>
    <w:p>
      <w:pPr>
        <w:pStyle w:val="ListParagraph"/>
        <w:numPr>
          <w:ilvl w:val="0"/>
          <w:numId w:val="1"/>
        </w:numPr>
        <w:spacing w:after="90" w:line="276"/>
      </w:pPr>
      <w:r>
        <w:rPr>
          <w:rFonts w:ascii="Calibri" w:cs="Calibri" w:eastAsia="Calibri" w:hAnsi="Calibri"/>
          <w:color w:val="262626"/>
          <w:sz w:val="22"/>
          <w:szCs w:val="22"/>
        </w:rPr>
        <w:t xml:space="preserve">Monthly Revenue Trend (line chart): Plots revenue across March-June, visually confirming the April peak and subsequent decline identified in the EDA.</w:t>
      </w:r>
    </w:p>
    <w:p>
      <w:pPr>
        <w:pStyle w:val="ListParagraph"/>
        <w:numPr>
          <w:ilvl w:val="0"/>
          <w:numId w:val="1"/>
        </w:numPr>
        <w:spacing w:after="90" w:line="276"/>
      </w:pPr>
      <w:r>
        <w:rPr>
          <w:rFonts w:ascii="Calibri" w:cs="Calibri" w:eastAsia="Calibri" w:hAnsi="Calibri"/>
          <w:color w:val="262626"/>
          <w:sz w:val="22"/>
          <w:szCs w:val="22"/>
        </w:rPr>
        <w:t xml:space="preserve">Order Distribution by Status (donut chart): Breaks down orders into Shipped (61.4%), Delivered (22.1%), Cancelled (14.3%), Returned (1.5%), and Pending, giving an immediate read on fulfilment health.</w:t>
      </w:r>
    </w:p>
    <w:p>
      <w:pPr>
        <w:pStyle w:val="ListParagraph"/>
        <w:numPr>
          <w:ilvl w:val="0"/>
          <w:numId w:val="1"/>
        </w:numPr>
        <w:spacing w:after="90" w:line="276"/>
      </w:pPr>
      <w:r>
        <w:rPr>
          <w:rFonts w:ascii="Calibri" w:cs="Calibri" w:eastAsia="Calibri" w:hAnsi="Calibri"/>
          <w:color w:val="262626"/>
          <w:sz w:val="22"/>
          <w:szCs w:val="22"/>
        </w:rPr>
        <w:t xml:space="preserve">Revenue by Fulfilment Method (donut chart): Splits revenue between Amazon (69.13%) and Merchant (30.87%) fulfilment.</w:t>
      </w:r>
    </w:p>
    <w:p>
      <w:pPr>
        <w:pStyle w:val="ListParagraph"/>
        <w:numPr>
          <w:ilvl w:val="0"/>
          <w:numId w:val="1"/>
        </w:numPr>
        <w:spacing w:after="90" w:line="276"/>
      </w:pPr>
      <w:r>
        <w:rPr>
          <w:rFonts w:ascii="Calibri" w:cs="Calibri" w:eastAsia="Calibri" w:hAnsi="Calibri"/>
          <w:color w:val="262626"/>
          <w:sz w:val="22"/>
          <w:szCs w:val="22"/>
        </w:rPr>
        <w:t xml:space="preserve">Top 10 States by Revenue (bar chart): Ranks states from Maharashtra down to Kerala, supporting regional prioritization decisions.</w:t>
      </w:r>
    </w:p>
    <w:p>
      <w:pPr>
        <w:pStyle w:val="ListParagraph"/>
        <w:numPr>
          <w:ilvl w:val="0"/>
          <w:numId w:val="1"/>
        </w:numPr>
        <w:spacing w:after="90" w:line="276"/>
      </w:pPr>
      <w:r>
        <w:rPr>
          <w:rFonts w:ascii="Calibri" w:cs="Calibri" w:eastAsia="Calibri" w:hAnsi="Calibri"/>
          <w:color w:val="262626"/>
          <w:sz w:val="22"/>
          <w:szCs w:val="22"/>
        </w:rPr>
        <w:t xml:space="preserve">Revenue by Product Category (bar chart): Ranks categories from T-shirt down to Socks, reinforcing apparel as the primary revenue driver.</w:t>
      </w:r>
    </w:p>
    <w:p>
      <w:pPr>
        <w:pStyle w:val="ListParagraph"/>
        <w:numPr>
          <w:ilvl w:val="0"/>
          <w:numId w:val="1"/>
        </w:numPr>
        <w:spacing w:after="90" w:line="276"/>
      </w:pPr>
      <w:r>
        <w:rPr>
          <w:rFonts w:ascii="Calibri" w:cs="Calibri" w:eastAsia="Calibri" w:hAnsi="Calibri"/>
          <w:color w:val="262626"/>
          <w:sz w:val="22"/>
          <w:szCs w:val="22"/>
        </w:rPr>
        <w:t xml:space="preserve">Revenue by Size (bar chart): Ranks sizes from M down to 4XL, supporting size-level inventory planning.</w:t>
      </w:r>
    </w:p>
    <w:p>
      <w:pPr>
        <w:pStyle w:val="Heading2"/>
        <w:spacing w:after="140" w:before="280"/>
      </w:pPr>
      <w:r>
        <w:t xml:space="preserve">10.3 Slicers</w:t>
      </w:r>
    </w:p>
    <w:p>
      <w:pPr>
        <w:pStyle w:val="ListParagraph"/>
        <w:numPr>
          <w:ilvl w:val="0"/>
          <w:numId w:val="1"/>
        </w:numPr>
        <w:spacing w:after="90" w:line="276"/>
      </w:pPr>
      <w:r>
        <w:rPr>
          <w:rFonts w:ascii="Calibri" w:cs="Calibri" w:eastAsia="Calibri" w:hAnsi="Calibri"/>
          <w:color w:val="262626"/>
          <w:sz w:val="22"/>
          <w:szCs w:val="22"/>
        </w:rPr>
        <w:t xml:space="preserve">Month: Filters all visuals to a selected month for period-specific review.</w:t>
      </w:r>
    </w:p>
    <w:p>
      <w:pPr>
        <w:pStyle w:val="ListParagraph"/>
        <w:numPr>
          <w:ilvl w:val="0"/>
          <w:numId w:val="1"/>
        </w:numPr>
        <w:spacing w:after="90" w:line="276"/>
      </w:pPr>
      <w:r>
        <w:rPr>
          <w:rFonts w:ascii="Calibri" w:cs="Calibri" w:eastAsia="Calibri" w:hAnsi="Calibri"/>
          <w:color w:val="262626"/>
          <w:sz w:val="22"/>
          <w:szCs w:val="22"/>
        </w:rPr>
        <w:t xml:space="preserve">Category: Filters all visuals to a selected product category.</w:t>
      </w:r>
    </w:p>
    <w:p>
      <w:pPr>
        <w:pStyle w:val="ListParagraph"/>
        <w:numPr>
          <w:ilvl w:val="0"/>
          <w:numId w:val="1"/>
        </w:numPr>
        <w:spacing w:after="90" w:line="276"/>
      </w:pPr>
      <w:r>
        <w:rPr>
          <w:rFonts w:ascii="Calibri" w:cs="Calibri" w:eastAsia="Calibri" w:hAnsi="Calibri"/>
          <w:color w:val="262626"/>
          <w:sz w:val="22"/>
          <w:szCs w:val="22"/>
        </w:rPr>
        <w:t xml:space="preserve">State: Filters all visuals to a selected shipping state.</w:t>
      </w:r>
    </w:p>
    <w:p>
      <w:pPr>
        <w:pStyle w:val="ListParagraph"/>
        <w:numPr>
          <w:ilvl w:val="0"/>
          <w:numId w:val="1"/>
        </w:numPr>
        <w:spacing w:after="90" w:line="276"/>
      </w:pPr>
      <w:r>
        <w:rPr>
          <w:rFonts w:ascii="Calibri" w:cs="Calibri" w:eastAsia="Calibri" w:hAnsi="Calibri"/>
          <w:color w:val="262626"/>
          <w:sz w:val="22"/>
          <w:szCs w:val="22"/>
        </w:rPr>
        <w:t xml:space="preserve">Fulfilment: Filters all visuals to a selected fulfilment method (Amazon or Merchant).</w:t>
      </w:r>
    </w:p>
    <w:p>
      <w:pPr>
        <w:pStyle w:val="Heading2"/>
        <w:spacing w:after="140" w:before="280"/>
      </w:pPr>
      <w:r>
        <w:t xml:space="preserve">10.4 Dashboard Design</w:t>
      </w:r>
    </w:p>
    <w:p>
      <w:pPr>
        <w:spacing w:after="160" w:line="276"/>
      </w:pPr>
      <w:r>
        <w:rPr>
          <w:rFonts w:ascii="Calibri" w:cs="Calibri" w:eastAsia="Calibri" w:hAnsi="Calibri"/>
          <w:color w:val="262626"/>
          <w:sz w:val="22"/>
          <w:szCs w:val="22"/>
        </w:rPr>
        <w:t xml:space="preserve">The dashboard uses a single consistent color palette (dark gold and warm orange) against a light background, with all KPI cards aligned along the top of the page and detail visuals arranged in a three-column grid below. Slicers are grouped on the left panel, allowing users to filter the entire page without needing to navigate multiple report pages. This single-page, slicer-driven layout is designed for quick executive review rather than deep multi-page exploration.</w:t>
      </w:r>
    </w:p>
    <w:p>
      <w:pPr>
        <w:pStyle w:val="Heading2"/>
        <w:spacing w:after="140" w:before="280"/>
      </w:pPr>
      <w:r>
        <w:t xml:space="preserve">10.5 Business Value</w:t>
      </w:r>
    </w:p>
    <w:p>
      <w:pPr>
        <w:spacing w:after="160" w:line="276"/>
      </w:pPr>
      <w:r>
        <w:rPr>
          <w:rFonts w:ascii="Calibri" w:cs="Calibri" w:eastAsia="Calibri" w:hAnsi="Calibri"/>
          <w:color w:val="262626"/>
          <w:sz w:val="22"/>
          <w:szCs w:val="22"/>
        </w:rPr>
        <w:t xml:space="preserve">The dashboard translates the SQL and EDA findings into a reusable, interactive tool that business stakeholders can filter and explore without needing to run code or queries themselves. It surfaces the same core findings as this report, revenue concentration in a single channel, apparel category dominance, moderate cancellation rates, and geographic concentration, in a format suitable for ongoing operational monitoring rather than a one-time analysis.</w:t>
      </w:r>
    </w:p>
    <w:p>
      <w:r>
        <w:br w:type="page"/>
      </w:r>
    </w:p>
    <w:p>
      <w:pPr>
        <w:pStyle w:val="Heading1"/>
        <w:pBdr>
          <w:bottom w:val="single" w:color="1F3864" w:sz="6" w:space="4"/>
        </w:pBdr>
        <w:spacing w:after="200" w:before="400"/>
      </w:pPr>
      <w:r>
        <w:t xml:space="preserve">11. Key Business Insights</w:t>
      </w:r>
    </w:p>
    <w:p>
      <w:pPr>
        <w:pStyle w:val="ListParagraph"/>
        <w:numPr>
          <w:ilvl w:val="0"/>
          <w:numId w:val="1"/>
        </w:numPr>
        <w:spacing w:after="90" w:line="276"/>
      </w:pPr>
      <w:r>
        <w:rPr>
          <w:rFonts w:ascii="Calibri" w:cs="Calibri" w:eastAsia="Calibri" w:hAnsi="Calibri"/>
          <w:color w:val="262626"/>
          <w:sz w:val="22"/>
          <w:szCs w:val="22"/>
        </w:rPr>
        <w:t xml:space="preserve">Amazon.in generated nearly all orders and revenue, indicating that the business is highly dependent on a single sales channel.</w:t>
      </w:r>
    </w:p>
    <w:p>
      <w:pPr>
        <w:pStyle w:val="ListParagraph"/>
        <w:numPr>
          <w:ilvl w:val="0"/>
          <w:numId w:val="1"/>
        </w:numPr>
        <w:spacing w:after="90" w:line="276"/>
      </w:pPr>
      <w:r>
        <w:rPr>
          <w:rFonts w:ascii="Calibri" w:cs="Calibri" w:eastAsia="Calibri" w:hAnsi="Calibri"/>
          <w:color w:val="262626"/>
          <w:sz w:val="22"/>
          <w:szCs w:val="22"/>
        </w:rPr>
        <w:t xml:space="preserve">Amazon Fulfilment handled the majority of customer orders, demonstrating strong reliance on Amazon's logistics network.</w:t>
      </w:r>
    </w:p>
    <w:p>
      <w:pPr>
        <w:pStyle w:val="ListParagraph"/>
        <w:numPr>
          <w:ilvl w:val="0"/>
          <w:numId w:val="1"/>
        </w:numPr>
        <w:spacing w:after="90" w:line="276"/>
      </w:pPr>
      <w:r>
        <w:rPr>
          <w:rFonts w:ascii="Calibri" w:cs="Calibri" w:eastAsia="Calibri" w:hAnsi="Calibri"/>
          <w:color w:val="262626"/>
          <w:sz w:val="22"/>
          <w:szCs w:val="22"/>
        </w:rPr>
        <w:t xml:space="preserve">T-Shirts and Shirts emerged as the top-performing product categories in terms of both revenue and quantity sold.</w:t>
      </w:r>
    </w:p>
    <w:p>
      <w:pPr>
        <w:pStyle w:val="ListParagraph"/>
        <w:numPr>
          <w:ilvl w:val="0"/>
          <w:numId w:val="1"/>
        </w:numPr>
        <w:spacing w:after="90" w:line="276"/>
      </w:pPr>
      <w:r>
        <w:rPr>
          <w:rFonts w:ascii="Calibri" w:cs="Calibri" w:eastAsia="Calibri" w:hAnsi="Calibri"/>
          <w:color w:val="262626"/>
          <w:sz w:val="22"/>
          <w:szCs w:val="22"/>
        </w:rPr>
        <w:t xml:space="preserve">Medium (M), Large (L), and Extra Large (XL) sizes recorded the highest sales, reflecting customer preference for these sizes.</w:t>
      </w:r>
    </w:p>
    <w:p>
      <w:pPr>
        <w:pStyle w:val="ListParagraph"/>
        <w:numPr>
          <w:ilvl w:val="0"/>
          <w:numId w:val="1"/>
        </w:numPr>
        <w:spacing w:after="90" w:line="276"/>
      </w:pPr>
      <w:r>
        <w:rPr>
          <w:rFonts w:ascii="Calibri" w:cs="Calibri" w:eastAsia="Calibri" w:hAnsi="Calibri"/>
          <w:color w:val="262626"/>
          <w:sz w:val="22"/>
          <w:szCs w:val="22"/>
        </w:rPr>
        <w:t xml:space="preserve">Maharashtra, Karnataka, and Tamil Nadu were among the highest revenue-generating states, indicating strong demand in these regions.</w:t>
      </w:r>
    </w:p>
    <w:p>
      <w:pPr>
        <w:pStyle w:val="ListParagraph"/>
        <w:numPr>
          <w:ilvl w:val="0"/>
          <w:numId w:val="1"/>
        </w:numPr>
        <w:spacing w:after="90" w:line="276"/>
      </w:pPr>
      <w:r>
        <w:rPr>
          <w:rFonts w:ascii="Calibri" w:cs="Calibri" w:eastAsia="Calibri" w:hAnsi="Calibri"/>
          <w:color w:val="262626"/>
          <w:sz w:val="22"/>
          <w:szCs w:val="22"/>
        </w:rPr>
        <w:t xml:space="preserve">Metropolitan cities such as Bengaluru, Hyderabad, Mumbai, Chennai, and New Delhi contributed a significant share of total revenue.</w:t>
      </w:r>
    </w:p>
    <w:p>
      <w:pPr>
        <w:pStyle w:val="ListParagraph"/>
        <w:numPr>
          <w:ilvl w:val="0"/>
          <w:numId w:val="1"/>
        </w:numPr>
        <w:spacing w:after="90" w:line="276"/>
      </w:pPr>
      <w:r>
        <w:rPr>
          <w:rFonts w:ascii="Calibri" w:cs="Calibri" w:eastAsia="Calibri" w:hAnsi="Calibri"/>
          <w:color w:val="262626"/>
          <w:sz w:val="22"/>
          <w:szCs w:val="22"/>
        </w:rPr>
        <w:t xml:space="preserve">Most orders were successfully shipped or delivered, indicating an efficient order fulfillment process with relatively fewer cancelled or pending orders.</w:t>
      </w:r>
    </w:p>
    <w:p>
      <w:pPr>
        <w:pStyle w:val="ListParagraph"/>
        <w:numPr>
          <w:ilvl w:val="0"/>
          <w:numId w:val="1"/>
        </w:numPr>
        <w:spacing w:after="90" w:line="276"/>
      </w:pPr>
      <w:r>
        <w:rPr>
          <w:rFonts w:ascii="Calibri" w:cs="Calibri" w:eastAsia="Calibri" w:hAnsi="Calibri"/>
          <w:color w:val="262626"/>
          <w:sz w:val="22"/>
          <w:szCs w:val="22"/>
        </w:rPr>
        <w:t xml:space="preserve">The customer base is predominantly B2C, while B2B orders account for only a small percentage of total transactions.</w:t>
      </w:r>
    </w:p>
    <w:p>
      <w:pPr>
        <w:pStyle w:val="ListParagraph"/>
        <w:numPr>
          <w:ilvl w:val="0"/>
          <w:numId w:val="1"/>
        </w:numPr>
        <w:spacing w:after="90" w:line="276"/>
      </w:pPr>
      <w:r>
        <w:rPr>
          <w:rFonts w:ascii="Calibri" w:cs="Calibri" w:eastAsia="Calibri" w:hAnsi="Calibri"/>
          <w:color w:val="262626"/>
          <w:sz w:val="22"/>
          <w:szCs w:val="22"/>
        </w:rPr>
        <w:t xml:space="preserve">The majority of customer purchases fall within a moderate price range, with only a few high-value transactions contributing to overall revenue.</w:t>
      </w:r>
    </w:p>
    <w:p>
      <w:pPr>
        <w:pStyle w:val="ListParagraph"/>
        <w:numPr>
          <w:ilvl w:val="0"/>
          <w:numId w:val="1"/>
        </w:numPr>
        <w:spacing w:after="90" w:line="276"/>
      </w:pPr>
      <w:r>
        <w:rPr>
          <w:rFonts w:ascii="Calibri" w:cs="Calibri" w:eastAsia="Calibri" w:hAnsi="Calibri"/>
          <w:color w:val="262626"/>
          <w:sz w:val="22"/>
          <w:szCs w:val="22"/>
        </w:rPr>
        <w:t xml:space="preserve">Monthly sales trends show fluctuations in customer demand, highlighting the importance of seasonal planning for inventory and promotional campaigns.</w:t>
      </w:r>
    </w:p>
    <w:p>
      <w:r>
        <w:br w:type="page"/>
      </w:r>
    </w:p>
    <w:p>
      <w:pPr>
        <w:pStyle w:val="Heading1"/>
        <w:pBdr>
          <w:bottom w:val="single" w:color="1F3864" w:sz="6" w:space="4"/>
        </w:pBdr>
        <w:spacing w:after="200" w:before="400"/>
      </w:pPr>
      <w:r>
        <w:t xml:space="preserve">12. Business Recommendations</w:t>
      </w:r>
    </w:p>
    <w:p>
      <w:pPr>
        <w:pStyle w:val="ListParagraph"/>
        <w:numPr>
          <w:ilvl w:val="0"/>
          <w:numId w:val="1"/>
        </w:numPr>
        <w:spacing w:after="90" w:line="276"/>
      </w:pPr>
      <w:r>
        <w:rPr>
          <w:rFonts w:ascii="Calibri" w:cs="Calibri" w:eastAsia="Calibri" w:hAnsi="Calibri"/>
          <w:color w:val="262626"/>
          <w:sz w:val="22"/>
          <w:szCs w:val="22"/>
        </w:rPr>
        <w:t xml:space="preserve">Reduce dependency on Amazon.in by expanding sales through additional online marketplaces and the company's own website.</w:t>
      </w:r>
    </w:p>
    <w:p>
      <w:pPr>
        <w:pStyle w:val="ListParagraph"/>
        <w:numPr>
          <w:ilvl w:val="0"/>
          <w:numId w:val="1"/>
        </w:numPr>
        <w:spacing w:after="90" w:line="276"/>
      </w:pPr>
      <w:r>
        <w:rPr>
          <w:rFonts w:ascii="Calibri" w:cs="Calibri" w:eastAsia="Calibri" w:hAnsi="Calibri"/>
          <w:color w:val="262626"/>
          <w:sz w:val="22"/>
          <w:szCs w:val="22"/>
        </w:rPr>
        <w:t xml:space="preserve">Maintain adequate inventory levels for high-performing product categories such as T-Shirts and Shirts to prevent stock shortages.</w:t>
      </w:r>
    </w:p>
    <w:p>
      <w:pPr>
        <w:pStyle w:val="ListParagraph"/>
        <w:numPr>
          <w:ilvl w:val="0"/>
          <w:numId w:val="1"/>
        </w:numPr>
        <w:spacing w:after="90" w:line="276"/>
      </w:pPr>
      <w:r>
        <w:rPr>
          <w:rFonts w:ascii="Calibri" w:cs="Calibri" w:eastAsia="Calibri" w:hAnsi="Calibri"/>
          <w:color w:val="262626"/>
          <w:sz w:val="22"/>
          <w:szCs w:val="22"/>
        </w:rPr>
        <w:t xml:space="preserve">Prioritize inventory for Medium, Large, and XL sizes, as they consistently generate higher customer demand.</w:t>
      </w:r>
    </w:p>
    <w:p>
      <w:pPr>
        <w:pStyle w:val="ListParagraph"/>
        <w:numPr>
          <w:ilvl w:val="0"/>
          <w:numId w:val="1"/>
        </w:numPr>
        <w:spacing w:after="90" w:line="276"/>
      </w:pPr>
      <w:r>
        <w:rPr>
          <w:rFonts w:ascii="Calibri" w:cs="Calibri" w:eastAsia="Calibri" w:hAnsi="Calibri"/>
          <w:color w:val="262626"/>
          <w:sz w:val="22"/>
          <w:szCs w:val="22"/>
        </w:rPr>
        <w:t xml:space="preserve">Increase marketing efforts in top-performing states and metropolitan cities to maximize revenue and customer acquisition.</w:t>
      </w:r>
    </w:p>
    <w:p>
      <w:pPr>
        <w:pStyle w:val="ListParagraph"/>
        <w:numPr>
          <w:ilvl w:val="0"/>
          <w:numId w:val="1"/>
        </w:numPr>
        <w:spacing w:after="90" w:line="276"/>
      </w:pPr>
      <w:r>
        <w:rPr>
          <w:rFonts w:ascii="Calibri" w:cs="Calibri" w:eastAsia="Calibri" w:hAnsi="Calibri"/>
          <w:color w:val="262626"/>
          <w:sz w:val="22"/>
          <w:szCs w:val="22"/>
        </w:rPr>
        <w:t xml:space="preserve">Investigate the primary causes of cancelled and pending orders to improve customer satisfaction and operational efficiency.</w:t>
      </w:r>
    </w:p>
    <w:p>
      <w:pPr>
        <w:pStyle w:val="ListParagraph"/>
        <w:numPr>
          <w:ilvl w:val="0"/>
          <w:numId w:val="1"/>
        </w:numPr>
        <w:spacing w:after="90" w:line="276"/>
      </w:pPr>
      <w:r>
        <w:rPr>
          <w:rFonts w:ascii="Calibri" w:cs="Calibri" w:eastAsia="Calibri" w:hAnsi="Calibri"/>
          <w:color w:val="262626"/>
          <w:sz w:val="22"/>
          <w:szCs w:val="22"/>
        </w:rPr>
        <w:t xml:space="preserve">Strengthen logistics and delivery performance in regions with comparatively lower shipment success rates.</w:t>
      </w:r>
    </w:p>
    <w:p>
      <w:pPr>
        <w:pStyle w:val="ListParagraph"/>
        <w:numPr>
          <w:ilvl w:val="0"/>
          <w:numId w:val="1"/>
        </w:numPr>
        <w:spacing w:after="90" w:line="276"/>
      </w:pPr>
      <w:r>
        <w:rPr>
          <w:rFonts w:ascii="Calibri" w:cs="Calibri" w:eastAsia="Calibri" w:hAnsi="Calibri"/>
          <w:color w:val="262626"/>
          <w:sz w:val="22"/>
          <w:szCs w:val="22"/>
        </w:rPr>
        <w:t xml:space="preserve">Develop targeted promotional campaigns during low-sales periods to improve monthly sales consistency.</w:t>
      </w:r>
    </w:p>
    <w:p>
      <w:pPr>
        <w:pStyle w:val="ListParagraph"/>
        <w:numPr>
          <w:ilvl w:val="0"/>
          <w:numId w:val="1"/>
        </w:numPr>
        <w:spacing w:after="90" w:line="276"/>
      </w:pPr>
      <w:r>
        <w:rPr>
          <w:rFonts w:ascii="Calibri" w:cs="Calibri" w:eastAsia="Calibri" w:hAnsi="Calibri"/>
          <w:color w:val="262626"/>
          <w:sz w:val="22"/>
          <w:szCs w:val="22"/>
        </w:rPr>
        <w:t xml:space="preserve">Explore opportunities to expand B2B partnerships and corporate sales to diversify the customer base.</w:t>
      </w:r>
    </w:p>
    <w:p>
      <w:pPr>
        <w:pStyle w:val="ListParagraph"/>
        <w:numPr>
          <w:ilvl w:val="0"/>
          <w:numId w:val="1"/>
        </w:numPr>
        <w:spacing w:after="90" w:line="276"/>
      </w:pPr>
      <w:r>
        <w:rPr>
          <w:rFonts w:ascii="Calibri" w:cs="Calibri" w:eastAsia="Calibri" w:hAnsi="Calibri"/>
          <w:color w:val="262626"/>
          <w:sz w:val="22"/>
          <w:szCs w:val="22"/>
        </w:rPr>
        <w:t xml:space="preserve">Analyze high-performing products regularly to optimize pricing, inventory management, and future product launches.</w:t>
      </w:r>
    </w:p>
    <w:p>
      <w:pPr>
        <w:pStyle w:val="ListParagraph"/>
        <w:numPr>
          <w:ilvl w:val="0"/>
          <w:numId w:val="1"/>
        </w:numPr>
        <w:spacing w:after="90" w:line="276"/>
      </w:pPr>
      <w:r>
        <w:rPr>
          <w:rFonts w:ascii="Calibri" w:cs="Calibri" w:eastAsia="Calibri" w:hAnsi="Calibri"/>
          <w:color w:val="262626"/>
          <w:sz w:val="22"/>
          <w:szCs w:val="22"/>
        </w:rPr>
        <w:t xml:space="preserve">Implement data-driven demand forecasting using historical sales trends to optimize inventory planning, minimize stock shortages, and reduce excess inventory.</w:t>
      </w:r>
    </w:p>
    <w:p>
      <w:r>
        <w:br w:type="page"/>
      </w:r>
    </w:p>
    <w:p>
      <w:pPr>
        <w:pStyle w:val="Heading1"/>
        <w:pBdr>
          <w:bottom w:val="single" w:color="1F3864" w:sz="6" w:space="4"/>
        </w:pBdr>
        <w:spacing w:after="200" w:before="400"/>
      </w:pPr>
      <w:r>
        <w:t xml:space="preserve">13. Business Impact</w:t>
      </w:r>
    </w:p>
    <w:p>
      <w:pPr>
        <w:spacing w:after="160" w:line="276"/>
      </w:pPr>
      <w:r>
        <w:rPr>
          <w:rFonts w:ascii="Calibri" w:cs="Calibri" w:eastAsia="Calibri" w:hAnsi="Calibri"/>
          <w:color w:val="262626"/>
          <w:sz w:val="22"/>
          <w:szCs w:val="22"/>
        </w:rPr>
        <w:t xml:space="preserve">Acting on the recommendations above would be expected to produce impact across three areas directly supported by the analysis:</w:t>
      </w:r>
    </w:p>
    <w:p>
      <w:pPr>
        <w:pStyle w:val="Heading3"/>
        <w:spacing w:after="100" w:before="200"/>
      </w:pPr>
      <w:r>
        <w:t xml:space="preserve">Revenue Protection and Recovery</w:t>
      </w:r>
    </w:p>
    <w:p>
      <w:pPr>
        <w:spacing w:after="160" w:line="276"/>
      </w:pPr>
      <w:r>
        <w:rPr>
          <w:rFonts w:ascii="Calibri" w:cs="Calibri" w:eastAsia="Calibri" w:hAnsi="Calibri"/>
          <w:color w:val="262626"/>
          <w:sz w:val="22"/>
          <w:szCs w:val="22"/>
        </w:rPr>
        <w:t xml:space="preserve">The cancellation rate of 14.29% and the 6,066 unshipped orders identified in the courier status analysis represent revenue that is at risk or already lost. Even a modest reduction in cancellations would recover a meaningful share of the ₹6.9 million currently associated with cancelled orders.</w:t>
      </w:r>
    </w:p>
    <w:p>
      <w:pPr>
        <w:pStyle w:val="Heading3"/>
        <w:spacing w:after="100" w:before="200"/>
      </w:pPr>
      <w:r>
        <w:t xml:space="preserve">Inventory Efficiency</w:t>
      </w:r>
    </w:p>
    <w:p>
      <w:pPr>
        <w:spacing w:after="160" w:line="276"/>
      </w:pPr>
      <w:r>
        <w:rPr>
          <w:rFonts w:ascii="Calibri" w:cs="Calibri" w:eastAsia="Calibri" w:hAnsi="Calibri"/>
          <w:color w:val="262626"/>
          <w:sz w:val="22"/>
          <w:szCs w:val="22"/>
        </w:rPr>
        <w:t xml:space="preserve">Aligning stock levels with the demonstrated demand concentration in T-shirts, Shirts, and the M/L/XL size range should reduce both stockouts on fast-moving items and excess inventory in low-demand categories and extended sizes, improving working capital efficiency.</w:t>
      </w:r>
    </w:p>
    <w:p>
      <w:pPr>
        <w:pStyle w:val="Heading3"/>
        <w:spacing w:after="100" w:before="200"/>
      </w:pPr>
      <w:r>
        <w:t xml:space="preserve">Channel and Customer Diversification</w:t>
      </w:r>
    </w:p>
    <w:p>
      <w:pPr>
        <w:spacing w:after="160" w:line="276"/>
      </w:pPr>
      <w:r>
        <w:rPr>
          <w:rFonts w:ascii="Calibri" w:cs="Calibri" w:eastAsia="Calibri" w:hAnsi="Calibri"/>
          <w:color w:val="262626"/>
          <w:sz w:val="22"/>
          <w:szCs w:val="22"/>
        </w:rPr>
        <w:t xml:space="preserve">Because Amazon.in accounts for effectively all recorded revenue, any disruption to that channel, such as a policy change, fee increase, or account-level issue, would materially affect the entire business. Diversifying into additional marketplaces, a direct website, and B2B sales would reduce this single point of failure over time.</w:t>
      </w:r>
    </w:p>
    <w:p>
      <w:pPr>
        <w:pStyle w:val="Heading1"/>
        <w:pBdr>
          <w:bottom w:val="single" w:color="1F3864" w:sz="6" w:space="4"/>
        </w:pBdr>
        <w:spacing w:after="200" w:before="400"/>
      </w:pPr>
      <w:r>
        <w:t xml:space="preserve">14. Conclusion</w:t>
      </w:r>
    </w:p>
    <w:p>
      <w:pPr>
        <w:spacing w:after="160" w:line="276"/>
      </w:pPr>
      <w:r>
        <w:rPr>
          <w:rFonts w:ascii="Calibri" w:cs="Calibri" w:eastAsia="Calibri" w:hAnsi="Calibri"/>
          <w:color w:val="262626"/>
          <w:sz w:val="22"/>
          <w:szCs w:val="22"/>
        </w:rPr>
        <w:t xml:space="preserve">The problem statement for this project was to analyze the Amazon Sales Report and provide insights on sales trends, product performance, fulfilment effectiveness, customer segmentation, and geographical distribution, in order to generate actionable recommendations for business decision-making. This analysis addresses that brief directly using the 128,579 cleaned transaction records.</w:t>
      </w:r>
    </w:p>
    <w:p>
      <w:pPr>
        <w:spacing w:after="160" w:line="276"/>
      </w:pPr>
      <w:r>
        <w:rPr>
          <w:rFonts w:ascii="Calibri" w:cs="Calibri" w:eastAsia="Calibri" w:hAnsi="Calibri"/>
          <w:color w:val="262626"/>
          <w:sz w:val="22"/>
          <w:szCs w:val="22"/>
        </w:rPr>
        <w:t xml:space="preserve">On Sales Overview, the analysis shows total revenue of ₹7.85 crore from 120,106 orders at an average order value of ₹610.49, with a clear monthly pattern of an April peak followed by a decline through May and June. On Product Analysis, T-shirts and Shirts are confirmed as the leading categories by both revenue and quantity, with Medium, Large, and Extra Large the dominant sizes. On Fulfilment Analysis, Amazon-managed fulfilment handles the larger share of orders and revenue, while the order and courier status breakdowns quantify a 14.29% cancellation rate as the primary efficiency gap. On Customer Segmentation, the base is confirmed as overwhelmingly B2C, with B2B representing a small, distinct segment. On Geographical Analysis, Maharashtra, Karnataka, and Tamil Nadu, along with metropolitan cities such as Bengaluru, Hyderabad, and Mumbai, are identified as the strongest-performing markets.</w:t>
      </w:r>
    </w:p>
    <w:p>
      <w:pPr>
        <w:spacing w:after="160" w:line="276"/>
      </w:pPr>
      <w:r>
        <w:rPr>
          <w:rFonts w:ascii="Calibri" w:cs="Calibri" w:eastAsia="Calibri" w:hAnsi="Calibri"/>
          <w:color w:val="262626"/>
          <w:sz w:val="22"/>
          <w:szCs w:val="22"/>
        </w:rPr>
        <w:t xml:space="preserve">Taken together, these findings satisfy each objective set out in the problem statement and support the Business Insights and Recommendations presented in Sections 11 and 12, which are intended to guide decisions on channel strategy, inventory planning, and operational improvement going forward.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Amazon Sales Data Analysis – Business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00"/>
    </w:pPr>
    <w:rPr>
      <w:rFonts w:ascii="Calibri" w:cs="Calibri" w:eastAsia="Calibri" w:hAnsi="Calibri"/>
      <w:b/>
      <w:bCs/>
      <w:color w:val="1F3864"/>
      <w:sz w:val="30"/>
      <w:szCs w:val="30"/>
    </w:rPr>
  </w:style>
  <w:style w:type="paragraph" w:styleId="Heading2">
    <w:name w:val="Heading 2"/>
    <w:basedOn w:val="Normal"/>
    <w:next w:val="Normal"/>
    <w:pPr>
      <w:spacing w:after="120" w:before="240"/>
    </w:pPr>
    <w:rPr>
      <w:rFonts w:ascii="Calibri" w:cs="Calibri" w:eastAsia="Calibri" w:hAnsi="Calibri"/>
      <w:b/>
      <w:bCs/>
      <w:color w:val="C55A11"/>
      <w:sz w:val="26"/>
      <w:szCs w:val="26"/>
    </w:rPr>
  </w:style>
  <w:style w:type="paragraph" w:styleId="Heading3">
    <w:name w:val="Heading 3"/>
    <w:basedOn w:val="Normal"/>
    <w:next w:val="Normal"/>
    <w:pPr>
      <w:spacing w:after="100" w:before="180"/>
    </w:pPr>
    <w:rPr>
      <w:rFonts w:ascii="Calibri" w:cs="Calibri" w:eastAsia="Calibri" w:hAnsi="Calibri"/>
      <w:b/>
      <w:bCs/>
      <w:i w:val="false"/>
      <w:iCs w:val="false"/>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f2b5850700e33037897a18acb0e96c7818c210.png"/><Relationship Id="rId10" Type="http://schemas.openxmlformats.org/officeDocument/2006/relationships/image" Target="media/daeb33614ca34f4ab1a65f352b4f26994f17d85c.png"/><Relationship Id="rId11" Type="http://schemas.openxmlformats.org/officeDocument/2006/relationships/image" Target="media/aab759fc0d4f3e7508443cc69e1b29190501ed76.png"/><Relationship Id="rId12" Type="http://schemas.openxmlformats.org/officeDocument/2006/relationships/image" Target="media/37abbc04316f050def90648aaa8d52cd8fb9c1b1.png"/><Relationship Id="rId13" Type="http://schemas.openxmlformats.org/officeDocument/2006/relationships/image" Target="media/fecb6c7ecb9edc51b1b8866fc69b1ac53a48835e.png"/><Relationship Id="rId14" Type="http://schemas.openxmlformats.org/officeDocument/2006/relationships/image" Target="media/7ae4b20b895f2940efcf685706be161ca3b4c0c3.png"/><Relationship Id="rId15" Type="http://schemas.openxmlformats.org/officeDocument/2006/relationships/image" Target="media/b6bebc51434542a2d7e1d61dcbb406017b458d45.png"/><Relationship Id="rId16" Type="http://schemas.openxmlformats.org/officeDocument/2006/relationships/image" Target="media/9dc129991b9413adfeedc993114b494845b80167.png"/><Relationship Id="rId17" Type="http://schemas.openxmlformats.org/officeDocument/2006/relationships/image" Target="media/1cfa66d9b2639aa47d1e36a400729b3886d06b47.png"/><Relationship Id="rId18" Type="http://schemas.openxmlformats.org/officeDocument/2006/relationships/image" Target="media/d1b69e5200fb18bb72f4232e535ecb41bbb60791.png"/><Relationship Id="rId19" Type="http://schemas.openxmlformats.org/officeDocument/2006/relationships/image" Target="media/437c42b2430233a2ef166d7a5cb3c160dccb1956.png"/><Relationship Id="rId20" Type="http://schemas.openxmlformats.org/officeDocument/2006/relationships/image" Target="media/a8c686bd3a42ba06c267d5877991da7f6ed3021b.png"/><Relationship Id="rId21" Type="http://schemas.openxmlformats.org/officeDocument/2006/relationships/image" Target="media/b9221c95c7e182a287a0d5325296a075c8408ee6.png"/><Relationship Id="rId22" Type="http://schemas.openxmlformats.org/officeDocument/2006/relationships/image" Target="media/95e4d92d2e58aea3aa1016c2989fe91747aaf6e5.png"/><Relationship Id="rId23" Type="http://schemas.openxmlformats.org/officeDocument/2006/relationships/image" Target="media/fad3ee9fef57fc4e68ca2555b8a17c34b9259ace.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2026-07-03T21:22:01.558Z</dcterms:created>
  <dcterms:modified xsi:type="dcterms:W3CDTF">2026-07-03T21:22:01.558Z</dcterms:modified>
</cp:coreProperties>
</file>

<file path=docProps/custom.xml><?xml version="1.0" encoding="utf-8"?>
<Properties xmlns="http://schemas.openxmlformats.org/officeDocument/2006/custom-properties" xmlns:vt="http://schemas.openxmlformats.org/officeDocument/2006/docPropsVTypes"/>
</file>