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c2af9d82289961bcbc3124b17671622d002f25"/>
    <w:p>
      <w:pPr>
        <w:pStyle w:val="Heading1"/>
      </w:pPr>
      <w:r>
        <w:t xml:space="preserve">Cover Letter — Resubmission of JICTASA-2026-018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“Finistral AI: Financial Sentiment Analyst”</w:t>
      </w:r>
      <w:r>
        <w:t xml:space="preserve"> </w:t>
      </w:r>
      <w:r>
        <w:rPr>
          <w:b/>
          <w:bCs/>
        </w:rPr>
        <w:t xml:space="preserve">Authors:</w:t>
      </w:r>
      <w:r>
        <w:t xml:space="preserve"> </w:t>
      </w:r>
      <w:r>
        <w:t xml:space="preserve">Zainab Mirza, Ayan Javeed Shaikh, Fazal Jalil Parkar</w:t>
      </w:r>
      <w:r>
        <w:t xml:space="preserve"> </w:t>
      </w:r>
      <w:r>
        <w:rPr>
          <w:b/>
          <w:bCs/>
        </w:rPr>
        <w:t xml:space="preserve">Journal:</w:t>
      </w:r>
      <w:r>
        <w:t xml:space="preserve"> </w:t>
      </w:r>
      <w:r>
        <w:t xml:space="preserve">Journal of Information and Communications Technology and Applications (GR Journals)</w:t>
      </w:r>
      <w:r>
        <w:t xml:space="preserve"> </w:t>
      </w:r>
      <w:r>
        <w:rPr>
          <w:b/>
          <w:bCs/>
        </w:rPr>
        <w:t xml:space="preserve">Submission type:</w:t>
      </w:r>
      <w:r>
        <w:t xml:space="preserve"> </w:t>
      </w:r>
      <w:r>
        <w:t xml:space="preserve">Major Revision (Round 2)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August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 and Reviewers,</w:t>
      </w:r>
    </w:p>
    <w:p>
      <w:pPr>
        <w:pStyle w:val="BodyText"/>
      </w:pPr>
      <w:r>
        <w:t xml:space="preserve">We are grateful for the opportunity to revise our manuscript, and we thank both</w:t>
      </w:r>
      <w:r>
        <w:t xml:space="preserve"> </w:t>
      </w:r>
      <w:r>
        <w:t xml:space="preserve">reviewers for a rigorous and constructive review. Their central concern was correct,</w:t>
      </w:r>
      <w:r>
        <w:t xml:space="preserve"> </w:t>
      </w:r>
      <w:r>
        <w:t xml:space="preserve">and acting on it has materially improved the paper. We also apologise for the delay</w:t>
      </w:r>
      <w:r>
        <w:t xml:space="preserve"> </w:t>
      </w:r>
      <w:r>
        <w:t xml:space="preserve">in returning this revision: the contamination finding described below obliged us to</w:t>
      </w:r>
      <w:r>
        <w:t xml:space="preserve"> </w:t>
      </w:r>
      <w:r>
        <w:t xml:space="preserve">rebuild our evaluation from the ground up — decontaminating the test data,</w:t>
      </w:r>
      <w:r>
        <w:t xml:space="preserve"> </w:t>
      </w:r>
      <w:r>
        <w:t xml:space="preserve">reconstructing the harness, and re-running every model — and we judged that doing</w:t>
      </w:r>
      <w:r>
        <w:t xml:space="preserve"> </w:t>
      </w:r>
      <w:r>
        <w:t xml:space="preserve">this properly was worth the additional time.</w:t>
      </w:r>
    </w:p>
    <w:p>
      <w:pPr>
        <w:pStyle w:val="BodyText"/>
      </w:pPr>
      <w:r>
        <w:rPr>
          <w:b/>
          <w:bCs/>
        </w:rPr>
        <w:t xml:space="preserve">The headline change.</w:t>
      </w:r>
      <w:r>
        <w:t xml:space="preserve"> </w:t>
      </w:r>
      <w:r>
        <w:t xml:space="preserve">Following Reviewer 1 (point 3) and Reviewer 2 (question 1),</w:t>
      </w:r>
      <w:r>
        <w:t xml:space="preserve"> </w:t>
      </w:r>
      <w:r>
        <w:t xml:space="preserve">we performed a direct data-overlap audit between our training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FinGPT/fingpt-sentiment-train</w:t>
      </w:r>
      <w:r>
        <w:t xml:space="preserve">) and our evaluation set (Financial PhraseBank,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). We found that</w:t>
      </w:r>
      <w:r>
        <w:t xml:space="preserve"> </w:t>
      </w:r>
      <w:r>
        <w:rPr>
          <w:b/>
          <w:bCs/>
        </w:rPr>
        <w:t xml:space="preserve">75.2% of the evaluation sentences (1,699 of</w:t>
      </w:r>
      <w:r>
        <w:rPr>
          <w:b/>
          <w:bCs/>
        </w:rPr>
        <w:t xml:space="preserve"> </w:t>
      </w:r>
      <w:r>
        <w:rPr>
          <w:b/>
          <w:bCs/>
        </w:rPr>
        <w:t xml:space="preserve">2,259 unique) appear verbatim — with the identical gold label in 100% of cases —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corpus the model was fine-tuned on.</w:t>
      </w:r>
      <w:r>
        <w:t xml:space="preserve"> </w:t>
      </w:r>
      <w:r>
        <w:t xml:space="preserve">The originally reported 99.56%</w:t>
      </w:r>
      <w:r>
        <w:t xml:space="preserve"> </w:t>
      </w:r>
      <w:r>
        <w:t xml:space="preserve">accuracy is therefore a data-contamination artifact rather than a measure of</w:t>
      </w:r>
      <w:r>
        <w:t xml:space="preserve"> </w:t>
      </w:r>
      <w:r>
        <w:t xml:space="preserve">generalisation, and we have withdrawn the state-of-the-art claim accordingly. We also</w:t>
      </w:r>
      <w:r>
        <w:t xml:space="preserve"> </w:t>
      </w:r>
      <w:r>
        <w:t xml:space="preserve">determined that the unusually low baseline scores were caused by defects in our</w:t>
      </w:r>
      <w:r>
        <w:t xml:space="preserve"> </w:t>
      </w:r>
      <w:r>
        <w:t xml:space="preserve">evaluation harness, not by weakness of those models, and have withdrawn the</w:t>
      </w:r>
      <w:r>
        <w:t xml:space="preserve"> </w:t>
      </w:r>
      <w:r>
        <w:t xml:space="preserve">“+78 F1 over baselines”</w:t>
      </w:r>
      <w:r>
        <w:t xml:space="preserve"> </w:t>
      </w:r>
      <w:r>
        <w:t xml:space="preserve">claim.</w:t>
      </w:r>
    </w:p>
    <w:p>
      <w:pPr>
        <w:pStyle w:val="BodyText"/>
      </w:pPr>
      <w:r>
        <w:rPr>
          <w:b/>
          <w:bCs/>
        </w:rPr>
        <w:t xml:space="preserve">How the paper has changed.</w:t>
      </w:r>
      <w:r>
        <w:t xml:space="preserve"> </w:t>
      </w:r>
      <w:r>
        <w:t xml:space="preserve">The revised manuscript is reframed honestly as</w:t>
      </w:r>
      <w:r>
        <w:t xml:space="preserve"> </w:t>
      </w:r>
      <w:r>
        <w:t xml:space="preserve">(i) an efficient, fully reproducible LoRA recipe for financial sentiment analysis,</w:t>
      </w:r>
      <w:r>
        <w:t xml:space="preserve"> </w:t>
      </w:r>
      <w:r>
        <w:t xml:space="preserve">and (ii) a contamination-and-evaluation case study. Specifically, we have:</w:t>
      </w:r>
    </w:p>
    <w:p>
      <w:pPr>
        <w:pStyle w:val="Compact"/>
        <w:numPr>
          <w:ilvl w:val="0"/>
          <w:numId w:val="1001"/>
        </w:numPr>
      </w:pPr>
      <w:r>
        <w:t xml:space="preserve">Added a</w:t>
      </w:r>
      <w:r>
        <w:t xml:space="preserve"> </w:t>
      </w:r>
      <w:r>
        <w:rPr>
          <w:b/>
          <w:bCs/>
        </w:rPr>
        <w:t xml:space="preserve">Data Contamination Analysis</w:t>
      </w:r>
      <w:r>
        <w:t xml:space="preserve"> </w:t>
      </w:r>
      <w:r>
        <w:t xml:space="preserve">section reporting the overlap statistics,</w:t>
      </w:r>
      <w:r>
        <w:t xml:space="preserve"> </w:t>
      </w:r>
      <w:r>
        <w:t xml:space="preserve">the train/test split mechanics, and a documented decontamination procedure.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Re-evaluated</w:t>
      </w:r>
      <w:r>
        <w:t xml:space="preserve"> </w:t>
      </w:r>
      <w:r>
        <w:t xml:space="preserve">on a decontaminated, leakage-free subset of Financial PhraseBank</w:t>
      </w:r>
      <w:r>
        <w:t xml:space="preserve"> </w:t>
      </w:r>
      <w:r>
        <w:t xml:space="preserve">(560 unseen sentences) and on two external datasets decontaminated row-by-row</w:t>
      </w:r>
      <w:r>
        <w:t xml:space="preserve"> </w:t>
      </w:r>
      <w:r>
        <w:t xml:space="preserve">against the training corpus — FiQA-SA (n = 235) and Twitter Financial News</w:t>
      </w:r>
      <w:r>
        <w:t xml:space="preserve"> </w:t>
      </w:r>
      <w:r>
        <w:t xml:space="preserve">Sentiment (n = 2,373) — with full dataset provenance released.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Rebuilt the evaluation harness</w:t>
      </w:r>
      <w:r>
        <w:t xml:space="preserve"> </w:t>
      </w:r>
      <w:r>
        <w:t xml:space="preserve">(left-padding for decoder-only models,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-bounded greedy decoding, per-model native prompt templates, a</w:t>
      </w:r>
      <w:r>
        <w:t xml:space="preserve"> </w:t>
      </w:r>
      <w:r>
        <w:t xml:space="preserve">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a strict non-defaulting label parser) and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per-baseline confusion matrices</w:t>
      </w:r>
      <w:r>
        <w:t xml:space="preserve">, plus</w:t>
      </w:r>
      <w:r>
        <w:t xml:space="preserve"> </w:t>
      </w:r>
      <w:r>
        <w:rPr>
          <w:b/>
          <w:bCs/>
        </w:rPr>
        <w:t xml:space="preserve">FinBERT</w:t>
      </w:r>
      <w:r>
        <w:t xml:space="preserve"> </w:t>
      </w:r>
      <w:r>
        <w:t xml:space="preserve">as an additional</w:t>
      </w:r>
      <w:r>
        <w:t xml:space="preserve"> </w:t>
      </w:r>
      <w:r>
        <w:t xml:space="preserve">baseline evaluated through its own classification head.</w:t>
      </w:r>
    </w:p>
    <w:p>
      <w:pPr>
        <w:pStyle w:val="Compact"/>
        <w:numPr>
          <w:ilvl w:val="0"/>
          <w:numId w:val="1001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per-example statistical validation</w:t>
      </w:r>
      <w:r>
        <w:t xml:space="preserve"> </w:t>
      </w:r>
      <w:r>
        <w:t xml:space="preserve">for every comparison — McNemar tests</w:t>
      </w:r>
      <w:r>
        <w:t xml:space="preserve"> </w:t>
      </w:r>
      <w:r>
        <w:t xml:space="preserve">and paired-bootstrap 95% confidence intervals — computed from released</w:t>
      </w:r>
      <w:r>
        <w:t xml:space="preserve"> </w:t>
      </w:r>
      <w:r>
        <w:t xml:space="preserve">per-example prediction files (evaluation itself is deterministic by design;</w:t>
      </w:r>
      <w:r>
        <w:t xml:space="preserve"> </w:t>
      </w:r>
      <w:r>
        <w:t xml:space="preserve">training-seed replication is released as a runnable protocol and noted as</w:t>
      </w:r>
      <w:r>
        <w:t xml:space="preserve"> </w:t>
      </w:r>
      <w:r>
        <w:t xml:space="preserve">deferred).</w:t>
      </w:r>
    </w:p>
    <w:p>
      <w:pPr>
        <w:pStyle w:val="Compact"/>
        <w:numPr>
          <w:ilvl w:val="0"/>
          <w:numId w:val="1001"/>
        </w:numPr>
      </w:pPr>
      <w:r>
        <w:t xml:space="preserve">Added an evaluation-time</w:t>
      </w:r>
      <w:r>
        <w:t xml:space="preserve"> </w:t>
      </w:r>
      <w:r>
        <w:rPr>
          <w:b/>
          <w:bCs/>
        </w:rPr>
        <w:t xml:space="preserve">prompt-template ablation</w:t>
      </w:r>
      <w:r>
        <w:t xml:space="preserve"> </w:t>
      </w:r>
      <w:r>
        <w:t xml:space="preserve">(training template vs the</w:t>
      </w:r>
      <w:r>
        <w:t xml:space="preserve"> </w:t>
      </w:r>
      <w:r>
        <w:t xml:space="preserve">original mismatched Alpaca template) quantifying the disclosed protocol defect;</w:t>
      </w:r>
      <w:r>
        <w:t xml:space="preserve"> </w:t>
      </w:r>
      <w:r>
        <w:t xml:space="preserve">the full training-time ablation grid is released as runnable code and flagged as</w:t>
      </w:r>
      <w:r>
        <w:t xml:space="preserve"> </w:t>
      </w:r>
      <w:r>
        <w:t xml:space="preserve">future work rather than claimed as done.</w:t>
      </w:r>
    </w:p>
    <w:p>
      <w:pPr>
        <w:pStyle w:val="Compact"/>
        <w:numPr>
          <w:ilvl w:val="0"/>
          <w:numId w:val="1001"/>
        </w:numPr>
      </w:pPr>
      <w:r>
        <w:t xml:space="preserve">Expanded the</w:t>
      </w:r>
      <w:r>
        <w:t xml:space="preserve"> </w:t>
      </w:r>
      <w:r>
        <w:rPr>
          <w:b/>
          <w:bCs/>
        </w:rPr>
        <w:t xml:space="preserve">error analysis</w:t>
      </w:r>
      <w:r>
        <w:t xml:space="preserve"> </w:t>
      </w:r>
      <w:r>
        <w:t xml:space="preserve">with representative misclassified examples and a</w:t>
      </w:r>
      <w:r>
        <w:t xml:space="preserve"> </w:t>
      </w:r>
      <w:r>
        <w:t xml:space="preserve">per-category breakdown.</w:t>
      </w:r>
    </w:p>
    <w:p>
      <w:pPr>
        <w:pStyle w:val="Compact"/>
        <w:numPr>
          <w:ilvl w:val="0"/>
          <w:numId w:val="1001"/>
        </w:numPr>
      </w:pPr>
      <w:r>
        <w:t xml:space="preserve">Replaced the contaminated comparison figures with</w:t>
      </w:r>
      <w:r>
        <w:t xml:space="preserve"> </w:t>
      </w:r>
      <w:r>
        <w:rPr>
          <w:b/>
          <w:bCs/>
        </w:rPr>
        <w:t xml:space="preserve">quantitative figures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evaluation</w:t>
      </w:r>
      <w:r>
        <w:t xml:space="preserve"> </w:t>
      </w:r>
      <w:r>
        <w:t xml:space="preserve">(per-class precision/recall/F1, ROC and PR curves,</w:t>
      </w:r>
      <w:r>
        <w:t xml:space="preserve"> </w:t>
      </w:r>
      <w:r>
        <w:t xml:space="preserve">per-baseline confusion matrices); the original run’s learning curves could not be</w:t>
      </w:r>
      <w:r>
        <w:t xml:space="preserve"> </w:t>
      </w:r>
      <w:r>
        <w:t xml:space="preserve">faithfully regenerated and the recorded validation-loss table stands in for them,</w:t>
      </w:r>
      <w:r>
        <w:t xml:space="preserve"> </w:t>
      </w:r>
      <w:r>
        <w:t xml:space="preserve">which the manuscript states plainly.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every text-vs-code-vs-artifact discrepancy</w:t>
      </w:r>
      <w:r>
        <w:t xml:space="preserve"> </w:t>
      </w:r>
      <w:r>
        <w:t xml:space="preserve">identified during</w:t>
      </w:r>
      <w:r>
        <w:t xml:space="preserve"> </w:t>
      </w:r>
      <w:r>
        <w:t xml:space="preserve">revision — including re-verifying the LoRA configuration against the published</w:t>
      </w:r>
      <w:r>
        <w:t xml:space="preserve"> </w:t>
      </w:r>
      <w:r>
        <w:t xml:space="preserve">adapter file itself (all seven projection modules, 41.94 M trainable parameters,</w:t>
      </w:r>
      <w:r>
        <w:t xml:space="preserve"> </w:t>
      </w:r>
      <w:r>
        <w:t xml:space="preserve">0.58% of the backbone; the adapter’s file sizes confirm the count exactly) — plus</w:t>
      </w:r>
      <w:r>
        <w:t xml:space="preserve"> </w:t>
      </w:r>
      <w:r>
        <w:t xml:space="preserve">the training framework, precision/quantisation, dropout, adapter-export precision,</w:t>
      </w:r>
      <w:r>
        <w:t xml:space="preserve"> </w:t>
      </w:r>
      <w:r>
        <w:t xml:space="preserve">prompt template, and validation loss.</w:t>
      </w:r>
    </w:p>
    <w:p>
      <w:pPr>
        <w:pStyle w:val="Compact"/>
        <w:numPr>
          <w:ilvl w:val="0"/>
          <w:numId w:val="1001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recent 2024–2026 literature</w:t>
      </w:r>
      <w:r>
        <w:t xml:space="preserve"> </w:t>
      </w:r>
      <w:r>
        <w:t xml:space="preserve">on financial LLMs, reasoning-enhanced LLMs,</w:t>
      </w:r>
      <w:r>
        <w:t xml:space="preserve"> </w:t>
      </w:r>
      <w:r>
        <w:t xml:space="preserve">financial instruction tuning, PEFT methods, and benchmark data contamination.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Released everything</w:t>
      </w:r>
      <w:r>
        <w:t xml:space="preserve"> </w:t>
      </w:r>
      <w:r>
        <w:t xml:space="preserve">— training script, corrected harness, leakage analysis,</w:t>
      </w:r>
      <w:r>
        <w:t xml:space="preserve"> </w:t>
      </w:r>
      <w:r>
        <w:t xml:space="preserve">external-dataset preparation with provenance, statistics pipeline, figure</w:t>
      </w:r>
      <w:r>
        <w:t xml:space="preserve"> </w:t>
      </w:r>
      <w:r>
        <w:t xml:space="preserve">generators, frozen evaluation sets, and the original flawed notebooks (for</w:t>
      </w:r>
      <w:r>
        <w:t xml:space="preserve"> </w:t>
      </w:r>
      <w:r>
        <w:t xml:space="preserve">transparency) — publicly at</w:t>
      </w:r>
      <w:r>
        <w:t xml:space="preserve"> </w:t>
      </w:r>
      <w:r>
        <w:rPr>
          <w:rStyle w:val="VerbatimChar"/>
        </w:rPr>
        <w:t xml:space="preserve">github.com/ayansk11/FinistralAI_code</w:t>
      </w:r>
      <w:r>
        <w:t xml:space="preserve">, and provided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truthful AI-assistance disclosure</w:t>
      </w:r>
      <w:r>
        <w:t xml:space="preserve">.</w:t>
      </w:r>
    </w:p>
    <w:p>
      <w:pPr>
        <w:pStyle w:val="FirstParagraph"/>
      </w:pPr>
      <w:r>
        <w:t xml:space="preserve">We recognise that these corrections substantially lower our headline numbers. We</w:t>
      </w:r>
      <w:r>
        <w:t xml:space="preserve"> </w:t>
      </w:r>
      <w:r>
        <w:t xml:space="preserve">believe the honest, decontaminated results and the contamination case study are a</w:t>
      </w:r>
      <w:r>
        <w:t xml:space="preserve"> </w:t>
      </w:r>
      <w:r>
        <w:t xml:space="preserve">more valuable and trustworthy contribution than the original inflated figure, and we</w:t>
      </w:r>
      <w:r>
        <w:t xml:space="preserve"> </w:t>
      </w:r>
      <w:r>
        <w:t xml:space="preserve">are grateful to the reviewers for guiding us there. A detailed point-by-point response</w:t>
      </w:r>
      <w:r>
        <w:t xml:space="preserve"> </w:t>
      </w:r>
      <w:r>
        <w:t xml:space="preserve">to every reviewer comment is provided in the accompanying</w:t>
      </w:r>
      <w:r>
        <w:t xml:space="preserve"> </w:t>
      </w:r>
      <w:r>
        <w:rPr>
          <w:b/>
          <w:bCs/>
        </w:rPr>
        <w:t xml:space="preserve">Reviewer Response File</w:t>
      </w:r>
      <w:r>
        <w:t xml:space="preserve">.</w:t>
      </w:r>
    </w:p>
    <w:p>
      <w:pPr>
        <w:pStyle w:val="BodyText"/>
      </w:pPr>
      <w:r>
        <w:t xml:space="preserve">We hope the revised manuscript now meets the journal’s standards and look forward to</w:t>
      </w:r>
      <w:r>
        <w:t xml:space="preserve"> </w:t>
      </w:r>
      <w:r>
        <w:t xml:space="preserve">your assessment.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Ayan Javeed Shaikh, on behalf of all authors</w:t>
      </w:r>
      <w:r>
        <w:t xml:space="preserve"> </w:t>
      </w:r>
      <w:r>
        <w:t xml:space="preserve">ayshaikh@iu.edu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2026-08-21T09:22:47Z</dcterms:created>
  <dcterms:modified xsi:type="dcterms:W3CDTF">2026-08-21T09:22:47Z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