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b0bfa900fa19bcde78a09953b8be0a82c23e2cc"/>
    <w:p>
      <w:pPr>
        <w:pStyle w:val="Heading1"/>
      </w:pPr>
      <w:r>
        <w:t xml:space="preserve">Response to Reviewers — Manuscript JICTASA-2026-018</w:t>
      </w:r>
    </w:p>
    <w:p>
      <w:pPr>
        <w:pStyle w:val="FirstParagraph"/>
      </w:pPr>
      <w:r>
        <w:rPr>
          <w:b/>
          <w:bCs/>
        </w:rPr>
        <w:t xml:space="preserve">“Finistral AI: Financial Sentiment Analyst”</w:t>
      </w:r>
      <w:r>
        <w:t xml:space="preserve"> </w:t>
      </w:r>
      <w:r>
        <w:t xml:space="preserve">(Mirza, Shaikh, Parkar)</w:t>
      </w:r>
      <w:r>
        <w:t xml:space="preserve"> </w:t>
      </w:r>
      <w:r>
        <w:t xml:space="preserve">Submitted to GR Journals — Major Revision</w:t>
      </w:r>
    </w:p>
    <w:p>
      <w:r>
        <w:pict>
          <v:rect style="width:0;height:1.5pt" o:hralign="center" o:hrstd="t" o:hr="t"/>
        </w:pict>
      </w:r>
    </w:p>
    <w:bookmarkStart w:id="9" w:name="preamble-summary-of-major-changes"/>
    <w:p>
      <w:pPr>
        <w:pStyle w:val="Heading2"/>
      </w:pPr>
      <w:r>
        <w:t xml:space="preserve">Preamble: Summary of Major Changes</w:t>
      </w:r>
    </w:p>
    <w:p>
      <w:pPr>
        <w:pStyle w:val="FirstParagraph"/>
      </w:pPr>
      <w:r>
        <w:t xml:space="preserve">We thank both reviewers for their exceptionally careful and technically rigorous reading. Their concerns were not only valid — they were correct on the most consequential point. Acting on Reviewer 1’s point 3 and Reviewer 2’s question 1, we conducted a direct data-overlap analysis between our training corpus (</w:t>
      </w:r>
      <w:r>
        <w:rPr>
          <w:rStyle w:val="VerbatimChar"/>
        </w:rPr>
        <w:t xml:space="preserve">FinGPT/fingpt-sentiment-train</w:t>
      </w:r>
      <w:r>
        <w:t xml:space="preserve">) and our evaluation set (</w:t>
      </w:r>
      <w:r>
        <w:rPr>
          <w:rStyle w:val="VerbatimChar"/>
        </w:rPr>
        <w:t xml:space="preserve">takala/financial_phrasebank</w:t>
      </w:r>
      <w:r>
        <w:t xml:space="preserve">,</w:t>
      </w:r>
      <w:r>
        <w:t xml:space="preserve"> </w:t>
      </w:r>
      <w:r>
        <w:rPr>
          <w:rStyle w:val="VerbatimChar"/>
        </w:rPr>
        <w:t xml:space="preserve">sentences_allagree</w:t>
      </w:r>
      <w:r>
        <w:t xml:space="preserve">). The result is unambiguous and we report it plainly:</w:t>
      </w:r>
    </w:p>
    <w:p>
      <w:pPr>
        <w:pStyle w:val="BodyText"/>
      </w:pPr>
      <w:r>
        <w:rPr>
          <w:b/>
          <w:bCs/>
        </w:rPr>
        <w:t xml:space="preserve">1,699 of the 2,259 unique evaluation sentences (75.2%) appear verbatim — with the identical gold label in 100% of cases — inside the corpus the model was fine-tuned on</w:t>
      </w:r>
      <w:r>
        <w:t xml:space="preserve"> </w:t>
      </w:r>
      <w:r>
        <w:t xml:space="preserve">(locally reproduced via</w:t>
      </w:r>
      <w:r>
        <w:t xml:space="preserve"> </w:t>
      </w:r>
      <w:r>
        <w:rPr>
          <w:rStyle w:val="VerbatimChar"/>
        </w:rPr>
        <w:t xml:space="preserve">revision/scripts/measure_leakage_local.py</w:t>
      </w:r>
      <w:r>
        <w:t xml:space="preserve">; the original AllAgree file lists 2,264 lines, 2,259 unique). The reported 99.56% accuracy is therefore a data-contamination artifact, not a measure of generalization. We were wrong to present it as a state-of-the-art result, and we have removed that claim from the abstract, title framing, and body of the paper.</w:t>
      </w:r>
    </w:p>
    <w:p>
      <w:pPr>
        <w:pStyle w:val="BodyText"/>
      </w:pPr>
      <w:r>
        <w:t xml:space="preserve">We have also confirmed, by reproducing the harness and inspecting the committed notebook outputs, that the baseline scores (13–23%, below the 61.6% majority-class floor) are artifacts of a broken evaluation harness — right-padding on decoder-only models, a</w:t>
      </w:r>
      <w:r>
        <w:t xml:space="preserve"> </w:t>
      </w:r>
      <w:r>
        <w:rPr>
          <w:rStyle w:val="VerbatimChar"/>
        </w:rPr>
        <w:t xml:space="preserve">max_length</w:t>
      </w:r>
      <w:r>
        <w:t xml:space="preserve">/</w:t>
      </w:r>
      <w:r>
        <w:rPr>
          <w:rStyle w:val="VerbatimChar"/>
        </w:rPr>
        <w:t xml:space="preserve">padding=True</w:t>
      </w:r>
      <w:r>
        <w:t xml:space="preserve"> </w:t>
      </w:r>
      <w:r>
        <w:t xml:space="preserve">collision, a single shared prompt mismatched to each model’s native template, a silently-dropped quantization config, and inconsistent Mistral backbones. The</w:t>
      </w:r>
      <w:r>
        <w:t xml:space="preserve"> </w:t>
      </w:r>
      <w:r>
        <w:t xml:space="preserve">“+78 F1 over baselines”</w:t>
      </w:r>
      <w:r>
        <w:t xml:space="preserve"> </w:t>
      </w:r>
      <w:r>
        <w:t xml:space="preserve">claim is consequently invalid and has been withdrawn.</w:t>
      </w:r>
    </w:p>
    <w:p>
      <w:pPr>
        <w:pStyle w:val="BodyText"/>
      </w:pPr>
      <w:r>
        <w:t xml:space="preserve">The revised manuscript is no longer a SOTA-accuracy paper. It is reframed honestly as</w:t>
      </w:r>
      <w:r>
        <w:t xml:space="preserve"> </w:t>
      </w:r>
      <w:r>
        <w:rPr>
          <w:b/>
          <w:bCs/>
        </w:rPr>
        <w:t xml:space="preserve">an efficient, fully reproducible LoRA recipe and an evaluation-and-contamination case study</w:t>
      </w:r>
      <w:r>
        <w:t xml:space="preserve"> </w:t>
      </w:r>
      <w:r>
        <w:t xml:space="preserve">for financial sentiment analysis. The major changes are: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New Section on Data Contamination</w:t>
      </w:r>
      <w:r>
        <w:t xml:space="preserve"> </w:t>
      </w:r>
      <w:r>
        <w:t xml:space="preserve">(Reviewer 1.3, Reviewer 2.1): reports the 75.2% overlap, 100% label consistency, the train/test split mechanics, and a decontamination procedure.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Decontaminated re-evaluation</w:t>
      </w:r>
      <w:r>
        <w:t xml:space="preserve">: accuracy, weighted-F1, and macro-F1 reported on the exact-match-decontaminated 560-sentence remainder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on two external datasets decontaminated row-wise against the training corpus (FiQA-SA, n = 235; TFNS, n = 2,373), plus a released near-duplicate (token-set Jaccard) audit of all three sets.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Fixed evaluation harness</w:t>
      </w:r>
      <w:r>
        <w:t xml:space="preserve"> </w:t>
      </w:r>
      <w:r>
        <w:t xml:space="preserve">(Reviewer 1.2, Reviewer 2.2/2.3/2.4):</w:t>
      </w:r>
      <w:r>
        <w:t xml:space="preserve"> </w:t>
      </w:r>
      <w:r>
        <w:rPr>
          <w:rStyle w:val="VerbatimChar"/>
        </w:rPr>
        <w:t xml:space="preserve">padding_side='left'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max_new_tokens</w:t>
      </w:r>
      <w:r>
        <w:t xml:space="preserve">, per-model native prompts, consistent</w:t>
      </w:r>
      <w:r>
        <w:t xml:space="preserve"> </w:t>
      </w:r>
      <w:r>
        <w:rPr>
          <w:rStyle w:val="VerbatimChar"/>
        </w:rPr>
        <w:t xml:space="preserve">Mistral-7B-v0.1</w:t>
      </w:r>
      <w:r>
        <w:t xml:space="preserve"> </w:t>
      </w:r>
      <w:r>
        <w:t xml:space="preserve">backbone, corrected quantization; per-baseline confusion matrices added (Fig. 7).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Per-example statistical validation</w:t>
      </w:r>
      <w:r>
        <w:t xml:space="preserve"> </w:t>
      </w:r>
      <w:r>
        <w:t xml:space="preserve">for every comparison — McNemar tests and paired-bootstrap 95% confidence intervals (new Appendix A) (Reviewer 1.5, Reviewer 2.5). Evaluation is deterministic by construction (greedy decoding), so evaluation-seed variance is exactly zero;</w:t>
      </w:r>
      <w:r>
        <w:t xml:space="preserve"> </w:t>
      </w:r>
      <w:r>
        <w:rPr>
          <w:i/>
          <w:iCs/>
        </w:rPr>
        <w:t xml:space="preserve">training</w:t>
      </w:r>
      <w:r>
        <w:t xml:space="preserve">-seed replication is honestly deferred, with the runnable protocol released (</w:t>
      </w:r>
      <w:r>
        <w:rPr>
          <w:rStyle w:val="VerbatimChar"/>
        </w:rPr>
        <w:t xml:space="preserve">ablation_and_seeds.py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Prompt-template ablation</w:t>
      </w:r>
      <w:r>
        <w:t xml:space="preserve"> </w:t>
      </w:r>
      <w:r>
        <w:t xml:space="preserve">— the delivered ablation axis: the identical adapter under its training template vs the original mismatched Alpaca template on all three evaluation sets, with significance tests (Sec. 6.4) (Reviewer 1.6). The training-time grid (rank/alpha/target modules/epochs) is released as runnable code and honestly flagged as deferred, not claimed as done.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Expanded error analysis</w:t>
      </w:r>
      <w:r>
        <w:t xml:space="preserve"> </w:t>
      </w:r>
      <w:r>
        <w:t xml:space="preserve">with misclassified examples and per-category breakdown (Reviewer 1.7).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New quantitative figures from the corrected evaluation</w:t>
      </w:r>
      <w:r>
        <w:t xml:space="preserve"> </w:t>
      </w:r>
      <w:r>
        <w:t xml:space="preserve">— per-model confusion-matrix grid (Fig. 7) and corrected comparison charts (Figs. 4–5) replace the contaminated figure sources; per-class P/R/F1, ROC, and PR curves are released with the repository; learning curves could not be faithfully regenerated (original</w:t>
      </w:r>
      <w:r>
        <w:t xml:space="preserve"> </w:t>
      </w:r>
      <w:r>
        <w:rPr>
          <w:rStyle w:val="VerbatimChar"/>
        </w:rPr>
        <w:t xml:space="preserve">trainer_state</w:t>
      </w:r>
      <w:r>
        <w:t xml:space="preserve"> </w:t>
      </w:r>
      <w:r>
        <w:t xml:space="preserve">not retained — the recorded validation-loss table stands in, and we say so) (Reviewer 1.10).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Corrected text-vs-code-vs-artifact mismatches</w:t>
      </w:r>
      <w:r>
        <w:t xml:space="preserve"> </w:t>
      </w:r>
      <w:r>
        <w:t xml:space="preserve">throughout, consolidated in the new Appendix B (Unsloth,</w:t>
      </w:r>
      <w:r>
        <w:t xml:space="preserve"> </w:t>
      </w:r>
      <w:r>
        <w:t xml:space="preserve">“8-bit NF4”</w:t>
      </w:r>
      <w:r>
        <w:t xml:space="preserve">, LoRA targets verified against the published adapter’s own files, dropout, param count, adapter sizes, prompt template, val loss).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Expanded 2024–2026 literature</w:t>
      </w:r>
      <w:r>
        <w:t xml:space="preserve"> </w:t>
      </w:r>
      <w:r>
        <w:t xml:space="preserve">(Reviewer 1.12) and a</w:t>
      </w:r>
      <w:r>
        <w:t xml:space="preserve"> </w:t>
      </w:r>
      <w:r>
        <w:rPr>
          <w:b/>
          <w:bCs/>
        </w:rPr>
        <w:t xml:space="preserve">truthful AI-assistance disclosure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Released artifacts</w:t>
      </w:r>
      <w:r>
        <w:t xml:space="preserve">:</w:t>
      </w:r>
      <w:r>
        <w:t xml:space="preserve"> </w:t>
      </w:r>
      <w:r>
        <w:rPr>
          <w:rStyle w:val="VerbatimChar"/>
        </w:rPr>
        <w:t xml:space="preserve">eval_harness_fixed.py</w:t>
      </w:r>
      <w:r>
        <w:t xml:space="preserve">,</w:t>
      </w:r>
      <w:r>
        <w:t xml:space="preserve"> </w:t>
      </w:r>
      <w:r>
        <w:rPr>
          <w:rStyle w:val="VerbatimChar"/>
        </w:rPr>
        <w:t xml:space="preserve">leakage_analysis.py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near_duplicate_audit.py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stats_report.py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ablation_and_seeds.py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analysis_and_figures.py</w:t>
      </w:r>
      <w:r>
        <w:t xml:space="preserve">, frozen evaluation sets with provenance (Reviewer 1.13).</w:t>
      </w:r>
    </w:p>
    <w:p>
      <w:pPr>
        <w:pStyle w:val="FirstParagraph"/>
      </w:pPr>
      <w:r>
        <w:t xml:space="preserve">We recognize that these corrections substantially lower our headline numbers. We believe the honest, decontaminated result and the contamination case study are a more useful contribution than the original inflated figure, and we are grateful to the reviewers for steering us there.</w:t>
      </w:r>
    </w:p>
    <w:p>
      <w:r>
        <w:pict>
          <v:rect style="width:0;height:1.5pt" o:hralign="center" o:hrstd="t" o:hr="t"/>
        </w:pict>
      </w:r>
    </w:p>
    <w:bookmarkEnd w:id="9"/>
    <w:bookmarkStart w:id="10" w:name="corrected-claims-table"/>
    <w:p>
      <w:pPr>
        <w:pStyle w:val="Heading2"/>
      </w:pPr>
      <w:r>
        <w:t xml:space="preserve">Corrected Claims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Original claim (as submitted)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Revised wording /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“99.56% accuracy, state-of-the-art on Financial PhraseBank”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Withdrawn</w:t>
            </w:r>
          </w:p>
        </w:tc>
        <w:tc>
          <w:tcPr/>
          <w:p>
            <w:pPr>
              <w:pStyle w:val="Compact"/>
            </w:pPr>
            <w:r>
              <w:t xml:space="preserve">Measured: 98.93% on the decontaminated FPB-560 — but statistically indistinguishable from the strongest FinGPT baseline (98.57%, McNemar p=0.77), so no superiority claim is made there; the honest generalization evidence is external: 87.66% acc / 0.883 wF1 on FiQA-SA and 78.93% acc / 0.796 wF1 on TFNS. The original 99.56% reflects 75.2% train/test overlap and is not a generalization result.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t xml:space="preserve">“+78 weighted-F1 over FinGPT baselines / outperforms by large margins”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Withdrawn</w:t>
            </w:r>
          </w:p>
        </w:tc>
        <w:tc>
          <w:tcPr/>
          <w:p>
            <w:pPr>
              <w:pStyle w:val="Compact"/>
            </w:pPr>
            <w:r>
              <w:t xml:space="preserve">Measured under the corrected harness: FinGPT baselines recover to 89.5–98.6% on FPB-560 and 62–86% externally. Finistral’s residual margins are modest and dataset-dependent — significant over some baselines (e.g. +6.9pt over FinGPT-Llama2 on FiQA, p=0.012), tied with others (Falcon on FiQA p=0.42; Llama-3 on TFNS p=0.41) — each reported with McNemar tests and bootstrap CIs.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“Outperforms FinBERT by +3–6 accuracy points”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Softened</w:t>
            </w:r>
          </w:p>
        </w:tc>
        <w:tc>
          <w:tcPr/>
          <w:p>
            <w:pPr>
              <w:pStyle w:val="Compact"/>
            </w:pPr>
            <w:r>
              <w:t xml:space="preserve">Either evaluated under an identical correct protocol, or stated explicitly as a literature-reported comparison with citation and matched split.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“We utilise Unsloth … 2× faster, ~70% less VRAM”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Removed</w:t>
            </w:r>
          </w:p>
        </w:tc>
        <w:tc>
          <w:tcPr/>
          <w:p>
            <w:pPr>
              <w:pStyle w:val="Compact"/>
            </w:pPr>
            <w:r>
              <w:t xml:space="preserve">Describe actual stack:</w:t>
            </w:r>
            <w:r>
              <w:t xml:space="preserve"> </w:t>
            </w:r>
            <w:r>
              <w:rPr>
                <w:rStyle w:val="VerbatimChar"/>
              </w:rPr>
              <w:t xml:space="preserve">transformers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peft</w:t>
            </w:r>
            <w:r>
              <w:t xml:space="preserve"> </w:t>
            </w:r>
            <w:r>
              <w:t xml:space="preserve">+ HF</w:t>
            </w:r>
            <w:r>
              <w:t xml:space="preserve"> </w:t>
            </w:r>
            <w:r>
              <w:rPr>
                <w:rStyle w:val="VerbatimChar"/>
              </w:rPr>
              <w:t xml:space="preserve">Trainer</w:t>
            </w:r>
            <w:r>
              <w:t xml:space="preserve"> </w:t>
            </w:r>
            <w:r>
              <w:t xml:space="preserve">+ gradient checkpointing + xFormers memory-efficient attention.</w:t>
            </w:r>
            <w:r>
              <w:t xml:space="preserve"> </w:t>
            </w:r>
            <w:r>
              <w:rPr>
                <w:rStyle w:val="VerbatimChar"/>
              </w:rPr>
              <w:t xml:space="preserve">\cite{unsloth2023}</w:t>
            </w:r>
            <w:r>
              <w:t xml:space="preserve"> </w:t>
            </w:r>
            <w:r>
              <w:t xml:space="preserve">removed.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w:r>
              <w:t xml:space="preserve">“Backbone loaded in 8-bit NF4 (load_in_8bit=True)”</w:t>
            </w:r>
            <w:r>
              <w:t xml:space="preserve"> </w:t>
            </w:r>
            <w:r>
              <w:t xml:space="preserve">during training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Corrected</w:t>
            </w:r>
          </w:p>
        </w:tc>
        <w:tc>
          <w:tcPr/>
          <w:p>
            <w:pPr>
              <w:pStyle w:val="Compact"/>
            </w:pPr>
            <w:r>
              <w:t xml:space="preserve">“Training used bf16 full-precision weights with no quantization.”</w:t>
            </w:r>
            <w:r>
              <w:t xml:space="preserve"> </w:t>
            </w:r>
            <w:r>
              <w:t xml:space="preserve">The impossible</w:t>
            </w:r>
            <w:r>
              <w:t xml:space="preserve"> </w:t>
            </w:r>
            <w:r>
              <w:t xml:space="preserve">“8-bit NF4”</w:t>
            </w:r>
            <w:r>
              <w:t xml:space="preserve"> </w:t>
            </w:r>
            <w:r>
              <w:t xml:space="preserve">phrasing removed.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C6</w:t>
            </w:r>
          </w:p>
        </w:tc>
        <w:tc>
          <w:tcPr/>
          <w:p>
            <w:pPr>
              <w:pStyle w:val="Compact"/>
            </w:pPr>
            <w:r>
              <w:t xml:space="preserve">“LoRA injected into every attention-projection and feed-forward linear layer”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Re-verified — original targets confirmed, count corrected</w:t>
            </w:r>
          </w:p>
        </w:tc>
        <w:tc>
          <w:tcPr/>
          <w:p>
            <w:pPr>
              <w:pStyle w:val="Compact"/>
            </w:pPr>
            <w:r>
              <w:t xml:space="preserve">The published adapter’s</w:t>
            </w:r>
            <w:r>
              <w:t xml:space="preserve"> </w:t>
            </w:r>
            <w:r>
              <w:rPr>
                <w:rStyle w:val="VerbatimChar"/>
              </w:rPr>
              <w:t xml:space="preserve">adapter_config.json</w:t>
            </w:r>
            <w:r>
              <w:t xml:space="preserve"> </w:t>
            </w:r>
            <w:r>
              <w:t xml:space="preserve">(Ayansk11/Finistral-7B_lora) targets all seven linear modules (q/k/v/o/gate/up/down), so the original submission’s</w:t>
            </w:r>
            <w:r>
              <w:t xml:space="preserve"> </w:t>
            </w:r>
            <w:r>
              <w:rPr>
                <w:i/>
                <w:iCs/>
              </w:rPr>
              <w:t xml:space="preserve">coverage</w:t>
            </w:r>
            <w:r>
              <w:t xml:space="preserve"> </w:t>
            </w:r>
            <w:r>
              <w:t xml:space="preserve">description was correct. (An intermediate revision draft</w:t>
            </w:r>
            <w:r>
              <w:t xml:space="preserve"> </w:t>
            </w:r>
            <w:r>
              <w:t xml:space="preserve">“corrected”</w:t>
            </w:r>
            <w:r>
              <w:t xml:space="preserve"> </w:t>
            </w:r>
            <w:r>
              <w:t xml:space="preserve">this to q/v-only based on a training-script variant that did not match the released artifact; the artifact is authoritative and the released training script has been reconciled to it.)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C7</w:t>
            </w:r>
          </w:p>
        </w:tc>
        <w:tc>
          <w:tcPr/>
          <w:p>
            <w:pPr>
              <w:pStyle w:val="Compact"/>
            </w:pPr>
            <w:r>
              <w:t xml:space="preserve">“LoRA dropout = 0.10”</w:t>
            </w:r>
            <w:r>
              <w:t xml:space="preserve"> </w:t>
            </w:r>
            <w:r>
              <w:t xml:space="preserve">(Table 4)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Corrected</w:t>
            </w:r>
          </w:p>
        </w:tc>
        <w:tc>
          <w:tcPr/>
          <w:p>
            <w:pPr>
              <w:pStyle w:val="Compact"/>
            </w:pPr>
            <w:r>
              <w:t xml:space="preserve">0.05 (matches the published</w:t>
            </w:r>
            <w:r>
              <w:t xml:space="preserve"> </w:t>
            </w:r>
            <w:r>
              <w:rPr>
                <w:rStyle w:val="VerbatimChar"/>
              </w:rPr>
              <w:t xml:space="preserve">adapter_config.json</w:t>
            </w:r>
            <w:r>
              <w:t xml:space="preserve"> </w:t>
            </w:r>
            <w:r>
              <w:t xml:space="preserve">and code).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C8</w:t>
            </w:r>
          </w:p>
        </w:tc>
        <w:tc>
          <w:tcPr/>
          <w:p>
            <w:pPr>
              <w:pStyle w:val="Compact"/>
            </w:pPr>
            <w:r>
              <w:t xml:space="preserve">“Trainable parameters ≈ 9M (0.2%)”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Corrected</w:t>
            </w:r>
          </w:p>
        </w:tc>
        <w:tc>
          <w:tcPr/>
          <w:p>
            <w:pPr>
              <w:pStyle w:val="Compact"/>
            </w:pPr>
            <w:r>
              <w:t xml:space="preserve">41,943,040 ≈ 41.94M (≈ 0.58% of 7.24B). Verified two independent ways from the released files: fp16</w:t>
            </w:r>
            <w:r>
              <w:t xml:space="preserve"> </w:t>
            </w:r>
            <w:r>
              <w:rPr>
                <w:rStyle w:val="VerbatimChar"/>
              </w:rPr>
              <w:t xml:space="preserve">adapter_model.safetensors</w:t>
            </w:r>
            <w:r>
              <w:t xml:space="preserve"> </w:t>
            </w:r>
            <w:r>
              <w:t xml:space="preserve">= 41.94M × 2 B = 83.9 MB; fp32 GGML export = 41.94M × 4 B = 167.8 MB. (The old 9M figure was arithmetically impossible: a 9M fp16 adapter would be ~18 MB, not 83.9 MB.)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C9</w:t>
            </w:r>
          </w:p>
        </w:tc>
        <w:tc>
          <w:tcPr/>
          <w:p>
            <w:pPr>
              <w:pStyle w:val="Compact"/>
            </w:pPr>
            <w:r>
              <w:t xml:space="preserve">“4-bit GGML adapter = 168 MB; fp16 adapter = 83.9 MB”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Corrected</w:t>
            </w:r>
          </w:p>
        </w:tc>
        <w:tc>
          <w:tcPr/>
          <w:p>
            <w:pPr>
              <w:pStyle w:val="Compact"/>
            </w:pPr>
            <w:r>
              <w:t xml:space="preserve">The 168 MB</w:t>
            </w:r>
            <w:r>
              <w:t xml:space="preserve"> </w:t>
            </w:r>
            <w:r>
              <w:rPr>
                <w:rStyle w:val="VerbatimChar"/>
              </w:rPr>
              <w:t xml:space="preserve">ggml-adapter-model.bin</w:t>
            </w:r>
            <w:r>
              <w:t xml:space="preserve"> </w:t>
            </w:r>
            <w:r>
              <w:t xml:space="preserve">exists but is an</w:t>
            </w:r>
            <w:r>
              <w:t xml:space="preserve"> </w:t>
            </w:r>
            <w:r>
              <w:rPr>
                <w:b/>
                <w:bCs/>
              </w:rPr>
              <w:t xml:space="preserve">fp32</w:t>
            </w:r>
            <w:r>
              <w:t xml:space="preserve"> </w:t>
            </w:r>
            <w:r>
              <w:t xml:space="preserve">export (167.8 MB = 41.94M × 4 B), not 4-bit; the</w:t>
            </w:r>
            <w:r>
              <w:t xml:space="preserve"> </w:t>
            </w:r>
            <w:r>
              <w:t xml:space="preserve">“4-bit”</w:t>
            </w:r>
            <w:r>
              <w:t xml:space="preserve"> </w:t>
            </w:r>
            <w:r>
              <w:t xml:space="preserve">label and the sub-100 ms CPU-latency claim are withdrawn.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C10</w:t>
            </w:r>
          </w:p>
        </w:tc>
        <w:tc>
          <w:tcPr/>
          <w:p>
            <w:pPr>
              <w:pStyle w:val="Compact"/>
            </w:pPr>
            <w:r>
              <w:t xml:space="preserve">“Sentences wrapped exactly as in the training script”</w:t>
            </w:r>
            <w:r>
              <w:t xml:space="preserve"> </w:t>
            </w:r>
            <w:r>
              <w:t xml:space="preserve">(Instruction/Input/Answer)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Corrected</w:t>
            </w:r>
          </w:p>
        </w:tc>
        <w:tc>
          <w:tcPr/>
          <w:p>
            <w:pPr>
              <w:pStyle w:val="Compact"/>
            </w:pPr>
            <w:r>
              <w:t xml:space="preserve">Training used</w:t>
            </w:r>
            <w:r>
              <w:t xml:space="preserve"> </w:t>
            </w:r>
            <w:r>
              <w:rPr>
                <w:rStyle w:val="VerbatimChar"/>
              </w:rPr>
              <w:t xml:space="preserve">[INST]{input}\n{instruction} [/INST] {output}</w:t>
            </w:r>
            <w:r>
              <w:t xml:space="preserve">; the train/eval template mismatch is disclosed and the eval re-run under the</w:t>
            </w:r>
            <w:r>
              <w:t xml:space="preserve"> </w:t>
            </w:r>
            <w:r>
              <w:rPr>
                <w:rStyle w:val="VerbatimChar"/>
              </w:rPr>
              <w:t xml:space="preserve">[INST]</w:t>
            </w:r>
            <w:r>
              <w:t xml:space="preserve"> </w:t>
            </w:r>
            <w:r>
              <w:t xml:space="preserve">template.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C11</w:t>
            </w:r>
          </w:p>
        </w:tc>
        <w:tc>
          <w:tcPr/>
          <w:p>
            <w:pPr>
              <w:pStyle w:val="Compact"/>
            </w:pPr>
            <w:r>
              <w:t xml:space="preserve">“Best val loss 0.1008”</w:t>
            </w:r>
            <w:r>
              <w:t xml:space="preserve"> </w:t>
            </w:r>
            <w:r>
              <w:t xml:space="preserve">vs Table 6</w:t>
            </w:r>
            <w:r>
              <w:t xml:space="preserve"> </w:t>
            </w:r>
            <w:r>
              <w:t xml:space="preserve">“0.1009”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Corrected</w:t>
            </w:r>
          </w:p>
        </w:tc>
        <w:tc>
          <w:tcPr/>
          <w:p>
            <w:pPr>
              <w:pStyle w:val="Compact"/>
            </w:pPr>
            <w:r>
              <w:t xml:space="preserve">Single value from training logs used consistently.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C12</w:t>
            </w:r>
          </w:p>
        </w:tc>
        <w:tc>
          <w:tcPr/>
          <w:p>
            <w:pPr>
              <w:pStyle w:val="Compact"/>
            </w:pPr>
            <w:r>
              <w:t xml:space="preserve">“All baselines evaluated with identical truncation + greedy decoding”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Corrected</w:t>
            </w:r>
          </w:p>
        </w:tc>
        <w:tc>
          <w:tcPr/>
          <w:p>
            <w:pPr>
              <w:pStyle w:val="Compact"/>
            </w:pPr>
            <w:r>
              <w:t xml:space="preserve">Harness was broken (right-padding,</w:t>
            </w:r>
            <w:r>
              <w:t xml:space="preserve"> </w:t>
            </w:r>
            <w:r>
              <w:rPr>
                <w:rStyle w:val="VerbatimChar"/>
              </w:rPr>
              <w:t xml:space="preserve">max_length</w:t>
            </w:r>
            <w:r>
              <w:t xml:space="preserve"> </w:t>
            </w:r>
            <w:r>
              <w:t xml:space="preserve">collision, neutral-default parser); fixed and re-run; honest protocol described.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C13</w:t>
            </w:r>
          </w:p>
        </w:tc>
        <w:tc>
          <w:tcPr/>
          <w:p>
            <w:pPr>
              <w:pStyle w:val="Compact"/>
            </w:pPr>
            <w:r>
              <w:t xml:space="preserve">“Mistral-7B-Base”</w:t>
            </w:r>
            <w:r>
              <w:t xml:space="preserve"> </w:t>
            </w:r>
            <w:r>
              <w:t xml:space="preserve">baseline = Finistral’s backbone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Corrected</w:t>
            </w:r>
          </w:p>
        </w:tc>
        <w:tc>
          <w:tcPr/>
          <w:p>
            <w:pPr>
              <w:pStyle w:val="Compact"/>
            </w:pPr>
            <w:r>
              <w:t xml:space="preserve">Base baseline re-run on identical</w:t>
            </w:r>
            <w:r>
              <w:t xml:space="preserve"> </w:t>
            </w:r>
            <w:r>
              <w:rPr>
                <w:rStyle w:val="VerbatimChar"/>
              </w:rPr>
              <w:t xml:space="preserve">mistralai/Mistral-7B-v0.1</w:t>
            </w:r>
            <w:r>
              <w:t xml:space="preserve"> </w:t>
            </w:r>
            <w:r>
              <w:t xml:space="preserve">(was</w:t>
            </w:r>
            <w:r>
              <w:t xml:space="preserve"> </w:t>
            </w:r>
            <w:r>
              <w:rPr>
                <w:rStyle w:val="VerbatimChar"/>
              </w:rPr>
              <w:t xml:space="preserve">unsloth/mistral-7b-v0.2</w:t>
            </w:r>
            <w:r>
              <w:t xml:space="preserve">); the original-backbone disclosure now also appears in the manuscript itself (Appendix B).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C14</w:t>
            </w:r>
          </w:p>
        </w:tc>
        <w:tc>
          <w:tcPr/>
          <w:p>
            <w:pPr>
              <w:pStyle w:val="Compact"/>
            </w:pPr>
            <w:r>
              <w:t xml:space="preserve">“No AI-assisted technology used in writing”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Corrected</w:t>
            </w:r>
          </w:p>
        </w:tc>
        <w:tc>
          <w:tcPr/>
          <w:p>
            <w:pPr>
              <w:pStyle w:val="Compact"/>
            </w:pPr>
            <w:r>
              <w:t xml:space="preserve">Truthful disclosure consistent with</w:t>
            </w:r>
            <w:r>
              <w:t xml:space="preserve"> </w:t>
            </w:r>
            <w:r>
              <w:rPr>
                <w:rStyle w:val="VerbatimChar"/>
              </w:rPr>
              <w:t xml:space="preserve">generate_docx.py</w:t>
            </w:r>
            <w:r>
              <w:t xml:space="preserve"> </w:t>
            </w:r>
            <w:r>
              <w:t xml:space="preserve">and drafting tools used.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25" w:name="reviewer-1"/>
    <w:p>
      <w:pPr>
        <w:pStyle w:val="Heading1"/>
      </w:pPr>
      <w:r>
        <w:t xml:space="preserve">Reviewer 1</w:t>
      </w:r>
    </w:p>
    <w:bookmarkStart w:id="12" w:name="r1.1-validate-the-extreme-99.56-accuracy"/>
    <w:p>
      <w:pPr>
        <w:pStyle w:val="Heading2"/>
      </w:pPr>
      <w:r>
        <w:t xml:space="preserve">R1.1 — Validate the extreme 99.56% accuracy</w:t>
      </w:r>
    </w:p>
    <w:p>
      <w:pPr>
        <w:pStyle w:val="FirstParagraph"/>
      </w:pPr>
      <w:r>
        <w:rPr>
          <w:b/>
          <w:bCs/>
        </w:rPr>
        <w:t xml:space="preserve">We acknowledge this concern and, on investigation, found that the reviewer’s suspicion was justified.</w:t>
      </w:r>
      <w:r>
        <w:t xml:space="preserve"> </w:t>
      </w:r>
      <w:r>
        <w:t xml:space="preserve">We performed a direct cross-match between the 2,259 unique</w:t>
      </w:r>
      <w:r>
        <w:t xml:space="preserve"> </w:t>
      </w:r>
      <w:r>
        <w:rPr>
          <w:rStyle w:val="VerbatimChar"/>
        </w:rPr>
        <w:t xml:space="preserve">sentences_allagree</w:t>
      </w:r>
      <w:r>
        <w:t xml:space="preserve"> </w:t>
      </w:r>
      <w:r>
        <w:t xml:space="preserve">evaluation sentences and the 76,772-row</w:t>
      </w:r>
      <w:r>
        <w:t xml:space="preserve"> </w:t>
      </w:r>
      <w:r>
        <w:rPr>
          <w:rStyle w:val="VerbatimChar"/>
        </w:rPr>
        <w:t xml:space="preserve">FinGPT/fingpt-sentiment-train</w:t>
      </w:r>
      <w:r>
        <w:t xml:space="preserve"> </w:t>
      </w:r>
      <w:r>
        <w:t xml:space="preserve">corpus on which the adapter was fine-tuned.</w:t>
      </w:r>
      <w:r>
        <w:t xml:space="preserve"> </w:t>
      </w:r>
      <w:r>
        <w:rPr>
          <w:b/>
          <w:bCs/>
        </w:rPr>
        <w:t xml:space="preserve">1,699 evaluation sentences (75.2%) appear verbatim in the training inputs, with the identical 3-class gold label in 100% of cases.</w:t>
      </w:r>
      <w:r>
        <w:t xml:space="preserve"> </w:t>
      </w:r>
      <w:r>
        <w:t xml:space="preserve">Reproducing the training script’s own</w:t>
      </w:r>
      <w:r>
        <w:t xml:space="preserve"> </w:t>
      </w:r>
      <w:r>
        <w:rPr>
          <w:rStyle w:val="VerbatimChar"/>
        </w:rPr>
        <w:t xml:space="preserve">train_test_split(test_size=0.05, seed=42)</w:t>
      </w:r>
      <w:r>
        <w:t xml:space="preserve">, ~1,614 of those leaked sentences fall in the 95% fine-tuning partition — i.e., the model was trained on the exact (sentence, label) pairs it was later scored on.</w:t>
      </w:r>
    </w:p>
    <w:p>
      <w:pPr>
        <w:pStyle w:val="BodyText"/>
      </w:pPr>
      <w:r>
        <w:t xml:space="preserve">The 99.56% is therefore not validated as a generalization result; it is invalidated as a contamination artifact.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we have (a) added a dedicated contamination section reporting these overlap statistics; (b) re-evaluated on the disjoint 560-sentence remainder never seen in training; (c) re-evaluated on external leakage-free datasets (below). We report those corrected numbers as the paper’s results and have removed the 99.56% SOTA framing from the abstract and title. We released</w:t>
      </w:r>
      <w:r>
        <w:t xml:space="preserve"> </w:t>
      </w:r>
      <w:r>
        <w:rPr>
          <w:rStyle w:val="VerbatimChar"/>
        </w:rPr>
        <w:t xml:space="preserve">leakage_analysis.py</w:t>
      </w:r>
      <w:r>
        <w:t xml:space="preserve"> </w:t>
      </w:r>
      <w:r>
        <w:t xml:space="preserve">so the overlap is independently reproducible.</w:t>
      </w:r>
    </w:p>
    <w:bookmarkEnd w:id="12"/>
    <w:bookmarkStart w:id="13" w:name="X94980a9ed8c5df02babd370ef5bf5b93b74bac8"/>
    <w:p>
      <w:pPr>
        <w:pStyle w:val="Heading2"/>
      </w:pPr>
      <w:r>
        <w:t xml:space="preserve">R1.2 — Implausibly low baselines; provide implementation details</w:t>
      </w:r>
    </w:p>
    <w:p>
      <w:pPr>
        <w:pStyle w:val="FirstParagraph"/>
      </w:pPr>
      <w:r>
        <w:rPr>
          <w:b/>
          <w:bCs/>
        </w:rPr>
        <w:t xml:space="preserve">Acknowledged; the baselines are not a fair measure of those models.</w:t>
      </w:r>
      <w:r>
        <w:t xml:space="preserve"> </w:t>
      </w:r>
      <w:r>
        <w:t xml:space="preserve">Inspecting the committed notebook outputs and reproducing the harness, the sub-majority-class scores (13–23%, below the 61.6% neutral floor) trace to concrete harness defects: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Right-padding on decoder-only models</w:t>
      </w:r>
      <w:r>
        <w:t xml:space="preserve"> </w:t>
      </w:r>
      <w:r>
        <w:t xml:space="preserve">— the output stream contains 566</w:t>
      </w:r>
      <w:r>
        <w:t xml:space="preserve"> </w:t>
      </w:r>
      <w:r>
        <w:rPr>
          <w:rStyle w:val="VerbatimChar"/>
        </w:rPr>
        <w:t xml:space="preserve">please set padding_side=left</w:t>
      </w:r>
      <w:r>
        <w:t xml:space="preserve"> </w:t>
      </w:r>
      <w:r>
        <w:t xml:space="preserve">warnings (Falcon/Llama-3/Bloom); generation is conditioned on trailing pad tokens.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generate(**tokens, max_length=512)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padding=True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max_length</w:t>
      </w:r>
      <w:r>
        <w:t xml:space="preserve"> </w:t>
      </w:r>
      <w:r>
        <w:t xml:space="preserve">is silently ignored; models ramble for hundreds of tokens (the base row took 5h31m at ~70s/it).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single Alpaca prompt</w:t>
      </w:r>
      <w:r>
        <w:t xml:space="preserve"> </w:t>
      </w:r>
      <w:r>
        <w:t xml:space="preserve">applied to every model, mismatched to each FinGPT adapter’s native</w:t>
      </w:r>
      <w:r>
        <w:t xml:space="preserve"> </w:t>
      </w:r>
      <w:r>
        <w:rPr>
          <w:rStyle w:val="VerbatimChar"/>
        </w:rPr>
        <w:t xml:space="preserve">Instruction/Input/Answer + Options</w:t>
      </w:r>
      <w:r>
        <w:t xml:space="preserve"> </w:t>
      </w:r>
      <w:r>
        <w:t xml:space="preserve">template (and to Finistral’s own</w:t>
      </w:r>
      <w:r>
        <w:t xml:space="preserve"> </w:t>
      </w:r>
      <w:r>
        <w:rPr>
          <w:rStyle w:val="VerbatimChar"/>
        </w:rPr>
        <w:t xml:space="preserve">[INST]</w:t>
      </w:r>
      <w:r>
        <w:t xml:space="preserve"> </w:t>
      </w:r>
      <w:r>
        <w:t xml:space="preserve">training template).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silently-dropped quantization config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bnb_8bit_*</w:t>
      </w:r>
      <w:r>
        <w:t xml:space="preserve"> </w:t>
      </w:r>
      <w:r>
        <w:t xml:space="preserve">kwargs are not valid</w:t>
      </w:r>
      <w:r>
        <w:t xml:space="preserve"> </w:t>
      </w:r>
      <w:r>
        <w:rPr>
          <w:rStyle w:val="VerbatimChar"/>
        </w:rPr>
        <w:t xml:space="preserve">BitsAndBytesConfig</w:t>
      </w:r>
      <w:r>
        <w:t xml:space="preserve"> </w:t>
      </w:r>
      <w:r>
        <w:t xml:space="preserve">parameters and resolve to plain int8.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neutral-defaulting parser</w:t>
      </w:r>
      <w:r>
        <w:t xml:space="preserve"> </w:t>
      </w:r>
      <w:r>
        <w:t xml:space="preserve">that scores corrupted generations as</w:t>
      </w:r>
      <w:r>
        <w:t xml:space="preserve"> </w:t>
      </w:r>
      <w:r>
        <w:rPr>
          <w:rStyle w:val="VerbatimChar"/>
        </w:rPr>
        <w:t xml:space="preserve">neu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Action:</w:t>
      </w:r>
      <w:r>
        <w:t xml:space="preserve"> </w:t>
      </w:r>
      <w:r>
        <w:t xml:space="preserve">we rebuilt the harness (</w:t>
      </w:r>
      <w:r>
        <w:rPr>
          <w:rStyle w:val="VerbatimChar"/>
        </w:rPr>
        <w:t xml:space="preserve">eval_harness_fixed.py</w:t>
      </w:r>
      <w:r>
        <w:t xml:space="preserve">):</w:t>
      </w:r>
      <w:r>
        <w:t xml:space="preserve"> </w:t>
      </w:r>
      <w:r>
        <w:rPr>
          <w:rStyle w:val="VerbatimChar"/>
        </w:rPr>
        <w:t xml:space="preserve">padding_side='left'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max_new_tokens=8</w:t>
      </w:r>
      <w:r>
        <w:t xml:space="preserve">, each baseline run under its own published inference procedure, a single consistent</w:t>
      </w:r>
      <w:r>
        <w:t xml:space="preserve"> </w:t>
      </w:r>
      <w:r>
        <w:rPr>
          <w:rStyle w:val="VerbatimChar"/>
        </w:rPr>
        <w:t xml:space="preserve">Mistral-7B-v0.1</w:t>
      </w:r>
      <w:r>
        <w:t xml:space="preserve"> </w:t>
      </w:r>
      <w:r>
        <w:t xml:space="preserve">backbone, and corrected quantization. Measured recovery under the corrected harness: the same adapters that scored 13–23% now score 89.5–98.6% on FPB-560 and 62–86% on the external sets — i.e., at or above their published ~0.84–0.86 range on in-style data — with full per-model configuration documented in the released registry.</w:t>
      </w:r>
    </w:p>
    <w:bookmarkEnd w:id="13"/>
    <w:bookmarkStart w:id="14" w:name="X443ea47c93ecb801e9aeee90e09de0cb1e1209f"/>
    <w:p>
      <w:pPr>
        <w:pStyle w:val="Heading2"/>
      </w:pPr>
      <w:r>
        <w:t xml:space="preserve">R1.3 — Possible data leakage; duplicate/near-duplicate analysis</w:t>
      </w:r>
    </w:p>
    <w:p>
      <w:pPr>
        <w:pStyle w:val="FirstParagraph"/>
      </w:pPr>
      <w:r>
        <w:rPr>
          <w:b/>
          <w:bCs/>
        </w:rPr>
        <w:t xml:space="preserve">Confirmed — this is the central finding.</w:t>
      </w:r>
      <w:r>
        <w:t xml:space="preserve"> </w:t>
      </w:r>
      <w:r>
        <w:rPr>
          <w:rStyle w:val="VerbatimChar"/>
        </w:rPr>
        <w:t xml:space="preserve">FinGPT/fingpt-sentiment-train</w:t>
      </w:r>
      <w:r>
        <w:t xml:space="preserve"> </w:t>
      </w:r>
      <w:r>
        <w:t xml:space="preserve">aggregates four sources, one of which is Financial PhraseBank itself; the FinGPT replication notes explicitly state that for FPB</w:t>
      </w:r>
      <w:r>
        <w:t xml:space="preserve"> </w:t>
      </w:r>
      <w:r>
        <w:t xml:space="preserve">“all data in the train part were used in finetuning.”</w:t>
      </w:r>
      <w:r>
        <w:t xml:space="preserve"> </w:t>
      </w:r>
      <w:r>
        <w:t xml:space="preserve">Our exact and normalized matching quantifies it: 1,699 verbatim of 2,259 unique (75.2%), 100% label-consistent, uniform across classes (pos 77.2% / neu 74.6% / neg 74.6%); 560 sentences remain after removal.</w:t>
      </w:r>
    </w:p>
    <w:p>
      <w:pPr>
        <w:pStyle w:val="BodyText"/>
      </w:pPr>
      <w:r>
        <w:rPr>
          <w:b/>
          <w:bCs/>
        </w:rPr>
        <w:t xml:space="preserve">Action:</w:t>
      </w:r>
      <w:r>
        <w:t xml:space="preserve"> </w:t>
      </w:r>
      <w:r>
        <w:t xml:space="preserve">the manuscript reports the exact + normalized overlap analysis (Sec. 5.5, Table 9)</w:t>
      </w:r>
      <w:r>
        <w:t xml:space="preserve"> </w:t>
      </w:r>
      <w:r>
        <w:rPr>
          <w:b/>
          <w:bCs/>
        </w:rPr>
        <w:t xml:space="preserve">and — addressing the near-duplicate half of this question directly — a token-set Jaccard near-duplicate audit of every retained evaluation sentence against all 30,209 unique training inputs</w:t>
      </w:r>
      <w:r>
        <w:t xml:space="preserve"> </w:t>
      </w:r>
      <w:r>
        <w:t xml:space="preserve">(new</w:t>
      </w:r>
      <w:r>
        <w:t xml:space="preserve"> </w:t>
      </w:r>
      <w:r>
        <w:t xml:space="preserve">“Near-duplicate audit”</w:t>
      </w:r>
      <w:r>
        <w:t xml:space="preserve"> </w:t>
      </w:r>
      <w:r>
        <w:t xml:space="preserve">paragraph, Sec. 5.5): on FPB-560, 22 sentences (3.9%) reach J ≥ 0.7 and only 3 (0.5%) J ≥ 0.9; FiQA 5/235 at J ≥ 0.7; TFNS 119/2,373. Even worst-case treating every J ≥ 0.7 sentence as memorized bounds the FPB-560 accuracy change at 3.9 points, so near-duplicate leakage cannot account for the corrected results. We accordingly describe the sets as</w:t>
      </w:r>
      <w:r>
        <w:t xml:space="preserve"> </w:t>
      </w:r>
      <w:r>
        <w:rPr>
          <w:i/>
          <w:iCs/>
        </w:rPr>
        <w:t xml:space="preserve">exact-match-decontaminated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“leakage-free”</w:t>
      </w:r>
      <w:r>
        <w:t xml:space="preserve"> </w:t>
      </w:r>
      <w:r>
        <w:t xml:space="preserve">throughout.</w:t>
      </w:r>
      <w:r>
        <w:t xml:space="preserve"> </w:t>
      </w:r>
      <w:r>
        <w:rPr>
          <w:rStyle w:val="VerbatimChar"/>
        </w:rPr>
        <w:t xml:space="preserve">leakage_analysis.py</w:t>
      </w:r>
      <w:r>
        <w:t xml:space="preserve"> </w:t>
      </w:r>
      <w:r>
        <w:t xml:space="preserve">(which additionally implements a MinHash/LSH fuzzy tier) and</w:t>
      </w:r>
      <w:r>
        <w:t xml:space="preserve"> </w:t>
      </w:r>
      <w:r>
        <w:rPr>
          <w:rStyle w:val="VerbatimChar"/>
        </w:rPr>
        <w:t xml:space="preserve">near_duplicate_audit.py</w:t>
      </w:r>
      <w:r>
        <w:t xml:space="preserve"> </w:t>
      </w:r>
      <w:r>
        <w:t xml:space="preserve">are both released.</w:t>
      </w:r>
    </w:p>
    <w:bookmarkEnd w:id="14"/>
    <w:bookmarkStart w:id="15" w:name="Xf2fd24e1a0ba9f871029e95a103cb8ad15c421b"/>
    <w:p>
      <w:pPr>
        <w:pStyle w:val="Heading2"/>
      </w:pPr>
      <w:r>
        <w:t xml:space="preserve">R1.4 — Limited novelty (LoRA on existing backbone)</w:t>
      </w:r>
    </w:p>
    <w:p>
      <w:pPr>
        <w:pStyle w:val="FirstParagraph"/>
      </w:pPr>
      <w:r>
        <w:rPr>
          <w:b/>
          <w:bCs/>
        </w:rPr>
        <w:t xml:space="preserve">We accept that the original framing over-claimed novelty.</w:t>
      </w:r>
      <w:r>
        <w:t xml:space="preserve"> </w:t>
      </w:r>
      <w:r>
        <w:t xml:space="preserve">With the SOTA claim withdrawn, we no longer position the work as a methodological breakthrough.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we reframe the contribution as (a) a</w:t>
      </w:r>
      <w:r>
        <w:t xml:space="preserve"> </w:t>
      </w:r>
      <w:r>
        <w:rPr>
          <w:i/>
          <w:iCs/>
        </w:rPr>
        <w:t xml:space="preserve">fully reproducible, efficient</w:t>
      </w:r>
      <w:r>
        <w:t xml:space="preserve"> </w:t>
      </w:r>
      <w:r>
        <w:t xml:space="preserve">LoRA recipe (~41.94M trainable params, ~0.58%, bf16, single-node) and (b) a</w:t>
      </w:r>
      <w:r>
        <w:t xml:space="preserve"> </w:t>
      </w:r>
      <w:r>
        <w:rPr>
          <w:i/>
          <w:iCs/>
        </w:rPr>
        <w:t xml:space="preserve">contamination-and-evaluation case study</w:t>
      </w:r>
      <w:r>
        <w:t xml:space="preserve"> </w:t>
      </w:r>
      <w:r>
        <w:t xml:space="preserve">demonstrating how FinGPT-train/FPB overlap and harness defects produce simultaneously inflated and deflated numbers across the financial-LLM literature. We position this honestly as a cautionary, reproducibility-focused contribution rather than a novel architecture.</w:t>
      </w:r>
    </w:p>
    <w:bookmarkEnd w:id="15"/>
    <w:bookmarkStart w:id="16" w:name="Xba48fb20e225df651541307b43a82990164e4c0"/>
    <w:p>
      <w:pPr>
        <w:pStyle w:val="Heading2"/>
      </w:pPr>
      <w:r>
        <w:t xml:space="preserve">R1.5 — No statistical validation; multi-seed mean+std+significance</w:t>
      </w:r>
    </w:p>
    <w:p>
      <w:pPr>
        <w:pStyle w:val="FirstParagraph"/>
      </w:pPr>
      <w:r>
        <w:rPr>
          <w:b/>
          <w:bCs/>
        </w:rPr>
        <w:t xml:space="preserve">Acknowledged; the original was a single run with no statistical treatment.</w:t>
      </w:r>
      <w:r>
        <w:t xml:space="preserve"> </w:t>
      </w:r>
      <w:r>
        <w:rPr>
          <w:b/>
          <w:bCs/>
        </w:rPr>
        <w:t xml:space="preserve">Action taken:</w:t>
      </w:r>
      <w:r>
        <w:t xml:space="preserve"> </w:t>
      </w:r>
      <w:r>
        <w:t xml:space="preserve">every comparison in the revised paper carries</w:t>
      </w:r>
      <w:r>
        <w:t xml:space="preserve"> </w:t>
      </w:r>
      <w:r>
        <w:rPr>
          <w:i/>
          <w:iCs/>
        </w:rPr>
        <w:t xml:space="preserve">per-example paired statistics</w:t>
      </w:r>
      <w:r>
        <w:t xml:space="preserve">: a McNemar test (exact binomial for small discordant counts, continuity-corrected chi-square otherwise) and a paired-bootstrap 95% confidence interval on the accuracy difference (10,000 resamples), computed from the released per-example prediction files (</w:t>
      </w:r>
      <w:r>
        <w:rPr>
          <w:rStyle w:val="VerbatimChar"/>
        </w:rPr>
        <w:t xml:space="preserve">stats_report.py</w:t>
      </w:r>
      <w:r>
        <w:t xml:space="preserve">). On evaluation-seed variance specifically: our corrected harness uses greedy decoding (</w:t>
      </w:r>
      <w:r>
        <w:rPr>
          <w:rStyle w:val="VerbatimChar"/>
        </w:rPr>
        <w:t xml:space="preserve">do_sample=False</w:t>
      </w:r>
      <w:r>
        <w:t xml:space="preserve">, single beam), which is deterministic — across seeds the generations are bit-identical, so a seed-variance table for</w:t>
      </w:r>
      <w:r>
        <w:t xml:space="preserve"> </w:t>
      </w:r>
      <w:r>
        <w:rPr>
          <w:i/>
          <w:iCs/>
        </w:rPr>
        <w:t xml:space="preserve">evaluation</w:t>
      </w:r>
      <w:r>
        <w:t xml:space="preserve"> </w:t>
      </w:r>
      <w:r>
        <w:t xml:space="preserve">would be a table of zeros; the paired per-example tests are the statistically stronger instrument for the comparisons the reviewer asks about, since they use the full per-sentence agreement structure rather than a single scalar per run.</w:t>
      </w:r>
      <w:r>
        <w:t xml:space="preserve"> </w:t>
      </w:r>
      <w:r>
        <w:rPr>
          <w:b/>
          <w:bCs/>
        </w:rPr>
        <w:t xml:space="preserve">Honestly deferred:</w:t>
      </w:r>
      <w:r>
        <w:t xml:space="preserve"> </w:t>
      </w:r>
      <w:r>
        <w:t xml:space="preserve">re-</w:t>
      </w:r>
      <w:r>
        <w:rPr>
          <w:i/>
          <w:iCs/>
        </w:rPr>
        <w:t xml:space="preserve">training</w:t>
      </w:r>
      <w:r>
        <w:t xml:space="preserve"> </w:t>
      </w:r>
      <w:r>
        <w:t xml:space="preserve">variance (5 independent fine-tuning runs) requires ~10 GPU-hours of retraining that we prioritized below the contamination remediation for this revision; the released</w:t>
      </w:r>
      <w:r>
        <w:t xml:space="preserve"> </w:t>
      </w:r>
      <w:r>
        <w:rPr>
          <w:rStyle w:val="VerbatimChar"/>
        </w:rPr>
        <w:t xml:space="preserve">ablation_and_seeds.py</w:t>
      </w:r>
      <w:r>
        <w:t xml:space="preserve"> </w:t>
      </w:r>
      <w:r>
        <w:t xml:space="preserve">implements the full multi-seed retraining protocol so this study is reproducible, and we note it as a limitation.</w:t>
      </w:r>
    </w:p>
    <w:bookmarkEnd w:id="16"/>
    <w:bookmarkStart w:id="17" w:name="X93ddf16b53c02ae3d407975e2e8a52c0c4fbae3"/>
    <w:p>
      <w:pPr>
        <w:pStyle w:val="Heading2"/>
      </w:pPr>
      <w:r>
        <w:t xml:space="preserve">R1.6 — Missing ablation (rank, alpha, prompt, epochs, PEFT configs)</w:t>
      </w:r>
    </w:p>
    <w:p>
      <w:pPr>
        <w:pStyle w:val="FirstParagraph"/>
      </w:pPr>
      <w:r>
        <w:rPr>
          <w:b/>
          <w:bCs/>
        </w:rPr>
        <w:t xml:space="preserve">Acknowledged.</w:t>
      </w:r>
      <w:r>
        <w:t xml:space="preserve"> </w:t>
      </w:r>
      <w:r>
        <w:rPr>
          <w:b/>
          <w:bCs/>
        </w:rPr>
        <w:t xml:space="preserve">Delivered in this revision:</w:t>
      </w:r>
      <w:r>
        <w:t xml:space="preserve"> </w:t>
      </w:r>
      <w:r>
        <w:t xml:space="preserve">an evaluation-time</w:t>
      </w:r>
      <w:r>
        <w:t xml:space="preserve"> </w:t>
      </w:r>
      <w:r>
        <w:rPr>
          <w:i/>
          <w:iCs/>
        </w:rPr>
        <w:t xml:space="preserve">prompt-template ablation</w:t>
      </w:r>
      <w:r>
        <w:t xml:space="preserve"> </w:t>
      </w:r>
      <w:r>
        <w:t xml:space="preserve">— the released adapter evaluated under its own training template (</w:t>
      </w:r>
      <w:r>
        <w:rPr>
          <w:rStyle w:val="VerbatimChar"/>
        </w:rPr>
        <w:t xml:space="preserve">[INST]…[/INST]</w:t>
      </w:r>
      <w:r>
        <w:t xml:space="preserve">) versus the Alpaca-style template the original notebooks mistakenly used — on all three leakage-free datasets, with McNemar significance. This directly quantifies the train/eval template-mismatch defect the corrected-claims table discloses (C10).</w:t>
      </w:r>
      <w:r>
        <w:t xml:space="preserve"> </w:t>
      </w:r>
      <w:r>
        <w:rPr>
          <w:b/>
          <w:bCs/>
        </w:rPr>
        <w:t xml:space="preserve">Honestly deferred:</w:t>
      </w:r>
      <w:r>
        <w:t xml:space="preserve"> </w:t>
      </w:r>
      <w:r>
        <w:t xml:space="preserve">the training-time grid (rank r ∈ {4,8,16,32,64} × alpha × dropout × target modules q/v-vs-all-linear × epochs) requires ~0.5–1 GPU-day of retraining; we prioritized the contamination remediation and corrected baseline comparison for this revision. The full grid is implemented and released in</w:t>
      </w:r>
      <w:r>
        <w:t xml:space="preserve"> </w:t>
      </w:r>
      <w:r>
        <w:rPr>
          <w:rStyle w:val="VerbatimChar"/>
        </w:rPr>
        <w:t xml:space="preserve">ablation_and_seeds.py</w:t>
      </w:r>
      <w:r>
        <w:t xml:space="preserve"> </w:t>
      </w:r>
      <w:r>
        <w:t xml:space="preserve">(resumable, decontaminated-eval-only by construction), so the ablation is independently runnable, and we flag it as future work in the manuscript rather than claiming it as done.</w:t>
      </w:r>
    </w:p>
    <w:bookmarkEnd w:id="17"/>
    <w:bookmarkStart w:id="18" w:name="r1.7-insufficient-error-analysis"/>
    <w:p>
      <w:pPr>
        <w:pStyle w:val="Heading2"/>
      </w:pPr>
      <w:r>
        <w:t xml:space="preserve">R1.7 — Insufficient error analysis</w:t>
      </w:r>
    </w:p>
    <w:p>
      <w:pPr>
        <w:pStyle w:val="FirstParagraph"/>
      </w:pPr>
      <w:r>
        <w:rPr>
          <w:b/>
          <w:bCs/>
        </w:rPr>
        <w:t xml:space="preserve">Acknowledged.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we added a per-category error breakdown and a table of misclassified examples (sentence, gold, predicted, model output) drawn from the decontaminated/external evaluations, with discussion of failure modes (negation, hedged guidance, mixed-signal sentences).</w:t>
      </w:r>
    </w:p>
    <w:bookmarkEnd w:id="18"/>
    <w:bookmarkStart w:id="19" w:name="X6d0325d5faaa6f50ebf42a8de794f0bc6b56ff3"/>
    <w:p>
      <w:pPr>
        <w:pStyle w:val="Heading2"/>
      </w:pPr>
      <w:r>
        <w:t xml:space="preserve">R1.8 — Limited benchmark; more financial datasets</w:t>
      </w:r>
    </w:p>
    <w:p>
      <w:pPr>
        <w:pStyle w:val="FirstParagraph"/>
      </w:pPr>
      <w:r>
        <w:rPr>
          <w:b/>
          <w:bCs/>
        </w:rPr>
        <w:t xml:space="preserve">Acknowledged, and essential given the contamination.</w:t>
      </w:r>
      <w:r>
        <w:t xml:space="preserve"> </w:t>
      </w:r>
      <w:r>
        <w:rPr>
          <w:b/>
          <w:bCs/>
        </w:rPr>
        <w:t xml:space="preserve">Action taken:</w:t>
      </w:r>
      <w:r>
        <w:t xml:space="preserve"> </w:t>
      </w:r>
      <w:r>
        <w:t xml:space="preserve">we evaluate on two external sets, each decontaminated</w:t>
      </w:r>
      <w:r>
        <w:t xml:space="preserve"> </w:t>
      </w:r>
      <w:r>
        <w:rPr>
          <w:i/>
          <w:iCs/>
        </w:rPr>
        <w:t xml:space="preserve">row-wise</w:t>
      </w:r>
      <w:r>
        <w:t xml:space="preserve"> </w:t>
      </w:r>
      <w:r>
        <w:t xml:space="preserve">against the FinGPT training inputs under the same normalization used for the FPB audit (both FiQA and TFNS are themselves constituent sources of the FinGPT corpus, so per-row removal is mandatory):</w:t>
      </w:r>
      <w:r>
        <w:t xml:space="preserve"> </w:t>
      </w:r>
      <w:r>
        <w:rPr>
          <w:b/>
          <w:bCs/>
        </w:rPr>
        <w:t xml:space="preserve">FiQA-SA</w:t>
      </w:r>
      <w:r>
        <w:t xml:space="preserve"> </w:t>
      </w:r>
      <w:r>
        <w:t xml:space="preserve">— all splits pooled and then decontaminated (n = 235; disclosed openly: the FiQA test split alone is 78% contaminated, leaving only 51 usable rows, so pooling the leakage-free rows across splits is the only way to obtain a usable FiQA evaluation) — and the</w:t>
      </w:r>
      <w:r>
        <w:t xml:space="preserve"> </w:t>
      </w:r>
      <w:r>
        <w:rPr>
          <w:b/>
          <w:bCs/>
        </w:rPr>
        <w:t xml:space="preserve">Twitter Financial News Sentiment</w:t>
      </w:r>
      <w:r>
        <w:t xml:space="preserve"> </w:t>
      </w:r>
      <w:r>
        <w:t xml:space="preserve">validation split (n = 2,373 after removing 15 leaked/duplicate rows). Dataset ids, label mappings, and dropped-row counts are released in</w:t>
      </w:r>
      <w:r>
        <w:t xml:space="preserve"> </w:t>
      </w:r>
      <w:r>
        <w:rPr>
          <w:rStyle w:val="VerbatimChar"/>
        </w:rPr>
        <w:t xml:space="preserve">data_eval/PROVENANCE.md</w:t>
      </w:r>
      <w:r>
        <w:t xml:space="preserve">.</w:t>
      </w:r>
      <w:r>
        <w:t xml:space="preserve"> </w:t>
      </w:r>
      <w:r>
        <w:rPr>
          <w:b/>
          <w:bCs/>
        </w:rPr>
        <w:t xml:space="preserve">Not delivered:</w:t>
      </w:r>
      <w:r>
        <w:t xml:space="preserve"> </w:t>
      </w:r>
      <w:r>
        <w:t xml:space="preserve">SemEval-2017 Task 5 (no maintained public loader; the original distribution requires registration) and the</w:t>
      </w:r>
      <w:r>
        <w:t xml:space="preserve"> </w:t>
      </w:r>
      <w:r>
        <w:t xml:space="preserve">“fresh hand-labeled set”</w:t>
      </w:r>
      <w:r>
        <w:t xml:space="preserve"> </w:t>
      </w:r>
      <w:r>
        <w:t xml:space="preserve">we had considered — we chose not to rush an under-documented annotation effort into this revision. The two decontaminated external sets are the primary generalization evidence.</w:t>
      </w:r>
    </w:p>
    <w:bookmarkEnd w:id="19"/>
    <w:bookmarkStart w:id="20" w:name="r1.9-languagegrammar"/>
    <w:p>
      <w:pPr>
        <w:pStyle w:val="Heading2"/>
      </w:pPr>
      <w:r>
        <w:t xml:space="preserve">R1.9 — Language/grammar</w:t>
      </w:r>
    </w:p>
    <w:p>
      <w:pPr>
        <w:pStyle w:val="FirstParagraph"/>
      </w:pPr>
      <w:r>
        <w:rPr>
          <w:b/>
          <w:bCs/>
        </w:rPr>
        <w:t xml:space="preserve">Acknowledged.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the manuscript has undergone a full language and consistency pass.</w:t>
      </w:r>
    </w:p>
    <w:bookmarkEnd w:id="20"/>
    <w:bookmarkStart w:id="21" w:name="X9bff36277ff300047a36317d1386fc5611257a3"/>
    <w:p>
      <w:pPr>
        <w:pStyle w:val="Heading2"/>
      </w:pPr>
      <w:r>
        <w:t xml:space="preserve">R1.10 — Replace GUI screenshots with learning/PR/ROC/ablation curves</w:t>
      </w:r>
    </w:p>
    <w:p>
      <w:pPr>
        <w:pStyle w:val="FirstParagraph"/>
      </w:pPr>
      <w:r>
        <w:rPr>
          <w:b/>
          <w:bCs/>
        </w:rPr>
        <w:t xml:space="preserve">Acknowledged.</w:t>
      </w:r>
      <w:r>
        <w:t xml:space="preserve"> </w:t>
      </w:r>
      <w:r>
        <w:rPr>
          <w:b/>
          <w:bCs/>
        </w:rPr>
        <w:t xml:space="preserve">Delivered in the manuscript:</w:t>
      </w:r>
      <w:r>
        <w:t xml:space="preserve"> </w:t>
      </w:r>
      <w:r>
        <w:t xml:space="preserve">the per-baseline confusion-matrix grid (Fig. 7), corrected comparison charts replacing the contaminated figure sources (Figs. 4–5), and the error-analysis section (Sec. 6.5).</w:t>
      </w:r>
      <w:r>
        <w:t xml:space="preserve"> </w:t>
      </w:r>
      <w:r>
        <w:rPr>
          <w:b/>
          <w:bCs/>
        </w:rPr>
        <w:t xml:space="preserve">Delivered in the released repository</w:t>
      </w:r>
      <w:r>
        <w:t xml:space="preserve"> </w:t>
      </w:r>
      <w:r>
        <w:t xml:space="preserve">(referenced from the paper): per-class precision/recall/F1 charts and one-vs-rest ROC and PR curves (from first-token class log-probabilities captured during the corrected evaluation), via</w:t>
      </w:r>
      <w:r>
        <w:t xml:space="preserve"> </w:t>
      </w:r>
      <w:r>
        <w:rPr>
          <w:rStyle w:val="VerbatimChar"/>
        </w:rPr>
        <w:t xml:space="preserve">analysis_and_figures.py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stats_report.py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make_comparison_charts.py</w:t>
      </w:r>
      <w:r>
        <w:t xml:space="preserve">.</w:t>
      </w:r>
      <w:r>
        <w:t xml:space="preserve"> </w:t>
      </w:r>
      <w:r>
        <w:rPr>
          <w:b/>
          <w:bCs/>
        </w:rPr>
        <w:t xml:space="preserve">One honest substitution:</w:t>
      </w:r>
      <w:r>
        <w:t xml:space="preserve"> </w:t>
      </w:r>
      <w:r>
        <w:t xml:space="preserve">training/validation</w:t>
      </w:r>
      <w:r>
        <w:t xml:space="preserve"> </w:t>
      </w:r>
      <w:r>
        <w:rPr>
          <w:i/>
          <w:iCs/>
        </w:rPr>
        <w:t xml:space="preserve">learning curves</w:t>
      </w:r>
      <w:r>
        <w:t xml:space="preserve"> </w:t>
      </w:r>
      <w:r>
        <w:t xml:space="preserve">cannot be faithfully regenerated — the original run’s</w:t>
      </w:r>
      <w:r>
        <w:t xml:space="preserve"> </w:t>
      </w:r>
      <w:r>
        <w:rPr>
          <w:rStyle w:val="VerbatimChar"/>
        </w:rPr>
        <w:t xml:space="preserve">trainer_state.json</w:t>
      </w:r>
      <w:r>
        <w:t xml:space="preserve"> </w:t>
      </w:r>
      <w:r>
        <w:t xml:space="preserve">was not retained, and re-plotting would require retraining; the manuscript’s validation-loss trajectory table (recorded at training time) stands in for them, and we say so rather than fabricating a curve. The Gradio screenshots are retained only as interface documentation with corrected, differentiated captions.</w:t>
      </w:r>
    </w:p>
    <w:bookmarkEnd w:id="21"/>
    <w:bookmarkStart w:id="22" w:name="Xf776f19e1fc3d07b82172bc26941a3529a383e3"/>
    <w:p>
      <w:pPr>
        <w:pStyle w:val="Heading2"/>
      </w:pPr>
      <w:r>
        <w:t xml:space="preserve">R1.11 — Deeper discussion of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outperforms</w:t>
      </w:r>
    </w:p>
    <w:p>
      <w:pPr>
        <w:pStyle w:val="FirstParagraph"/>
      </w:pPr>
      <w:r>
        <w:rPr>
          <w:b/>
          <w:bCs/>
        </w:rPr>
        <w:t xml:space="preserve">Acknowledged — and the honest answer reframes this entirely.</w:t>
      </w:r>
      <w:r>
        <w:t xml:space="preserve"> </w:t>
      </w:r>
      <w:r>
        <w:t xml:space="preserve">The original apparent outperformance was driven by (i) contamination inflating Finistral and (ii) a broken harness deflating baselines, not by genuine model superiority.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the discussion now explains these mechanisms directly. Any residual, statistically-significant advantage on the decontaminated/external sets is discussed in terms of task-matched instruction tuning, not SOTA accuracy.</w:t>
      </w:r>
    </w:p>
    <w:bookmarkEnd w:id="22"/>
    <w:bookmarkStart w:id="23" w:name="r1.12-recent-20242026-literature"/>
    <w:p>
      <w:pPr>
        <w:pStyle w:val="Heading2"/>
      </w:pPr>
      <w:r>
        <w:t xml:space="preserve">R1.12 — Recent 2024–2026 literature</w:t>
      </w:r>
    </w:p>
    <w:p>
      <w:pPr>
        <w:pStyle w:val="FirstParagraph"/>
      </w:pPr>
      <w:r>
        <w:rPr>
          <w:b/>
          <w:bCs/>
        </w:rPr>
        <w:t xml:space="preserve">Acknowledged.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we expanded related work with recent financial-LLM, reasoning-LLM, financial instruction-tuning, and PEFT references (e.g., FinLoRA, arXiv:2505.19819, and contemporaneous QLoRA/financial-sentiment benchmarks), and use their published FPB numbers as sanity checks for our corrected baselines.</w:t>
      </w:r>
    </w:p>
    <w:bookmarkEnd w:id="23"/>
    <w:bookmarkStart w:id="24" w:name="r1.13-release-training-eval-scripts"/>
    <w:p>
      <w:pPr>
        <w:pStyle w:val="Heading2"/>
      </w:pPr>
      <w:r>
        <w:t xml:space="preserve">R1.13 — Release training + eval scripts</w:t>
      </w:r>
    </w:p>
    <w:p>
      <w:pPr>
        <w:pStyle w:val="FirstParagraph"/>
      </w:pPr>
      <w:r>
        <w:rPr>
          <w:b/>
          <w:bCs/>
        </w:rPr>
        <w:t xml:space="preserve">Acknowledged and done.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the public repository (</w:t>
      </w:r>
      <w:r>
        <w:rPr>
          <w:rStyle w:val="VerbatimChar"/>
        </w:rPr>
        <w:t xml:space="preserve">github.com/ayansk11/FinistralAI_code</w:t>
      </w:r>
      <w:r>
        <w:t xml:space="preserve">) releases</w:t>
      </w:r>
      <w:r>
        <w:t xml:space="preserve"> </w:t>
      </w:r>
      <w:r>
        <w:rPr>
          <w:rStyle w:val="VerbatimChar"/>
        </w:rPr>
        <w:t xml:space="preserve">Finistral_Sentiment_analyst.py</w:t>
      </w:r>
      <w:r>
        <w:t xml:space="preserve"> </w:t>
      </w:r>
      <w:r>
        <w:t xml:space="preserve">(training, reconciled to the published adapter configuration),</w:t>
      </w:r>
      <w:r>
        <w:t xml:space="preserve"> </w:t>
      </w:r>
      <w:r>
        <w:rPr>
          <w:rStyle w:val="VerbatimChar"/>
        </w:rPr>
        <w:t xml:space="preserve">eval_harness_fixed.py</w:t>
      </w:r>
      <w:r>
        <w:t xml:space="preserve"> </w:t>
      </w:r>
      <w:r>
        <w:t xml:space="preserve">(corrected multi-dataset harness),</w:t>
      </w:r>
      <w:r>
        <w:t xml:space="preserve"> </w:t>
      </w:r>
      <w:r>
        <w:rPr>
          <w:rStyle w:val="VerbatimChar"/>
        </w:rPr>
        <w:t xml:space="preserve">leakage_analysis.py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measure_leakage_local.py</w:t>
      </w:r>
      <w:r>
        <w:t xml:space="preserve"> </w:t>
      </w:r>
      <w:r>
        <w:t xml:space="preserve">(contamination measurement),</w:t>
      </w:r>
      <w:r>
        <w:t xml:space="preserve"> </w:t>
      </w:r>
      <w:r>
        <w:rPr>
          <w:rStyle w:val="VerbatimChar"/>
        </w:rPr>
        <w:t xml:space="preserve">prepare_external_datasets.py</w:t>
      </w:r>
      <w:r>
        <w:t xml:space="preserve"> </w:t>
      </w:r>
      <w:r>
        <w:t xml:space="preserve">(external-set construction with provenance),</w:t>
      </w:r>
      <w:r>
        <w:t xml:space="preserve"> </w:t>
      </w:r>
      <w:r>
        <w:rPr>
          <w:rStyle w:val="VerbatimChar"/>
        </w:rPr>
        <w:t xml:space="preserve">stats_report.py</w:t>
      </w:r>
      <w:r>
        <w:t xml:space="preserve"> </w:t>
      </w:r>
      <w:r>
        <w:t xml:space="preserve">(McNemar/bootstrap statistics),</w:t>
      </w:r>
      <w:r>
        <w:t xml:space="preserve"> </w:t>
      </w:r>
      <w:r>
        <w:rPr>
          <w:rStyle w:val="VerbatimChar"/>
        </w:rPr>
        <w:t xml:space="preserve">analysis_and_figures.py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make_comparison_charts.py</w:t>
      </w:r>
      <w:r>
        <w:t xml:space="preserve"> </w:t>
      </w:r>
      <w:r>
        <w:t xml:space="preserve">(figures), the frozen evaluation sets (</w:t>
      </w:r>
      <w:r>
        <w:rPr>
          <w:rStyle w:val="VerbatimChar"/>
        </w:rPr>
        <w:t xml:space="preserve">data_eval/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PROVENANCE.md</w:t>
      </w:r>
      <w:r>
        <w:t xml:space="preserve">), cluster run scripts with environment pins and seeds, and the original (flawed) evaluation notebooks retained for transparency — so both the defects we report and the corrected results are independently reproducible end-to-end.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reviewer-2"/>
    <w:p>
      <w:pPr>
        <w:pStyle w:val="Heading1"/>
      </w:pPr>
      <w:r>
        <w:t xml:space="preserve">Reviewer 2</w:t>
      </w:r>
    </w:p>
    <w:bookmarkStart w:id="26" w:name="X3b5bbaf86182a2a79b1285e4170aef51e10d10e"/>
    <w:p>
      <w:pPr>
        <w:pStyle w:val="Heading2"/>
      </w:pPr>
      <w:r>
        <w:t xml:space="preserve">R2.1 — How was FinGPT-train / FPB overlap prevented?</w:t>
      </w:r>
    </w:p>
    <w:p>
      <w:pPr>
        <w:pStyle w:val="FirstParagraph"/>
      </w:pPr>
      <w:r>
        <w:rPr>
          <w:b/>
          <w:bCs/>
        </w:rPr>
        <w:t xml:space="preserve">Honestly: it was not.</w:t>
      </w:r>
      <w:r>
        <w:t xml:space="preserve"> </w:t>
      </w:r>
      <w:r>
        <w:t xml:space="preserve">No de-duplication was performed, and FPB is a constituent source of</w:t>
      </w:r>
      <w:r>
        <w:t xml:space="preserve"> </w:t>
      </w:r>
      <w:r>
        <w:rPr>
          <w:rStyle w:val="VerbatimChar"/>
        </w:rPr>
        <w:t xml:space="preserve">FinGPT/fingpt-sentiment-train</w:t>
      </w:r>
      <w:r>
        <w:t xml:space="preserve">. As reported under R1.3, 75.2% of the evaluation set leaked into training with identical labels.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we added the overlap analysis, decontaminated the test set, re-evaluated on the disjoint remainder and on external sets, and documented the procedure in</w:t>
      </w:r>
      <w:r>
        <w:t xml:space="preserve"> </w:t>
      </w:r>
      <w:r>
        <w:rPr>
          <w:rStyle w:val="VerbatimChar"/>
        </w:rPr>
        <w:t xml:space="preserve">leakage_analysis.py</w:t>
      </w:r>
      <w:r>
        <w:t xml:space="preserve">. We do not attempt to minimize this; it is the paper’s central correction.</w:t>
      </w:r>
    </w:p>
    <w:bookmarkEnd w:id="26"/>
    <w:bookmarkStart w:id="27" w:name="X73909dce21abab58e274ee30a1bdb620419fd97"/>
    <w:p>
      <w:pPr>
        <w:pStyle w:val="Heading2"/>
      </w:pPr>
      <w:r>
        <w:t xml:space="preserve">R2.2 — Why do FinGPT baselines do dramatically worse than published?</w:t>
      </w:r>
    </w:p>
    <w:p>
      <w:pPr>
        <w:pStyle w:val="FirstParagraph"/>
      </w:pPr>
      <w:r>
        <w:rPr>
          <w:b/>
          <w:bCs/>
        </w:rPr>
        <w:t xml:space="preserve">Because our harness was broken, not because the models are weak.</w:t>
      </w:r>
      <w:r>
        <w:t xml:space="preserve"> </w:t>
      </w:r>
      <w:r>
        <w:t xml:space="preserve">As detailed in R1.2, right-padding, the</w:t>
      </w:r>
      <w:r>
        <w:t xml:space="preserve"> </w:t>
      </w:r>
      <w:r>
        <w:rPr>
          <w:rStyle w:val="VerbatimChar"/>
        </w:rPr>
        <w:t xml:space="preserve">max_length</w:t>
      </w:r>
      <w:r>
        <w:t xml:space="preserve"> </w:t>
      </w:r>
      <w:r>
        <w:t xml:space="preserve">collision, a mismatched shared prompt, dropped quantization, and a neutral-default parser drove scores below the majority-class floor — an outcome no functioning model produces on FPB-AllAgree.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measured under the corrected harness, the FinGPT baselines recover to 89.5–98.6% on the decontaminated FPB set (meeting or exceeding their published ~0.84–0.86), and Finistral’s apparent margin shrinks accordingly — from the withdrawn</w:t>
      </w:r>
      <w:r>
        <w:t xml:space="preserve"> </w:t>
      </w:r>
      <w:r>
        <w:t xml:space="preserve">“+78 F1”</w:t>
      </w:r>
      <w:r>
        <w:t xml:space="preserve"> </w:t>
      </w:r>
      <w:r>
        <w:t xml:space="preserve">to statistical parity with the strongest baseline on FPB-560 (p=0.77) and modest, individually-tested margins externally (revised Table 8).</w:t>
      </w:r>
    </w:p>
    <w:bookmarkEnd w:id="27"/>
    <w:bookmarkStart w:id="28" w:name="X5934827d6a5797dcfc28e3f43261d8ee7b4e7be"/>
    <w:p>
      <w:pPr>
        <w:pStyle w:val="Heading2"/>
      </w:pPr>
      <w:r>
        <w:t xml:space="preserve">R2.3 — Were baselines evaluated per their original inference procedures?</w:t>
      </w:r>
    </w:p>
    <w:p>
      <w:pPr>
        <w:pStyle w:val="FirstParagraph"/>
      </w:pPr>
      <w:r>
        <w:rPr>
          <w:b/>
          <w:bCs/>
        </w:rPr>
        <w:t xml:space="preserve">No — and this was a methodological error.</w:t>
      </w:r>
      <w:r>
        <w:t xml:space="preserve"> </w:t>
      </w:r>
      <w:r>
        <w:t xml:space="preserve">All models were run with one shared Alpaca prompt rather than each adapter’s native template, and on an inconsistent backbone (</w:t>
      </w:r>
      <w:r>
        <w:rPr>
          <w:rStyle w:val="VerbatimChar"/>
        </w:rPr>
        <w:t xml:space="preserve">unsloth/mistral-7b-v0.2</w:t>
      </w:r>
      <w:r>
        <w:t xml:space="preserve"> </w:t>
      </w:r>
      <w:r>
        <w:t xml:space="preserve">for the</w:t>
      </w:r>
      <w:r>
        <w:t xml:space="preserve"> </w:t>
      </w:r>
      <w:r>
        <w:t xml:space="preserve">“base”</w:t>
      </w:r>
      <w:r>
        <w:t xml:space="preserve"> </w:t>
      </w:r>
      <w:r>
        <w:t xml:space="preserve">row vs</w:t>
      </w:r>
      <w:r>
        <w:t xml:space="preserve"> </w:t>
      </w:r>
      <w:r>
        <w:rPr>
          <w:rStyle w:val="VerbatimChar"/>
        </w:rPr>
        <w:t xml:space="preserve">mistralai/Mistral-7B-v0.1</w:t>
      </w:r>
      <w:r>
        <w:t xml:space="preserve"> </w:t>
      </w:r>
      <w:r>
        <w:t xml:space="preserve">for Finistral).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each baseline is now evaluated with its own official prompt/inference procedure and on the consistent</w:t>
      </w:r>
      <w:r>
        <w:t xml:space="preserve"> </w:t>
      </w:r>
      <w:r>
        <w:rPr>
          <w:rStyle w:val="VerbatimChar"/>
        </w:rPr>
        <w:t xml:space="preserve">Mistral-7B-v0.1</w:t>
      </w:r>
      <w:r>
        <w:t xml:space="preserve"> </w:t>
      </w:r>
      <w:r>
        <w:t xml:space="preserve">backbone, documented per model.</w:t>
      </w:r>
    </w:p>
    <w:bookmarkEnd w:id="28"/>
    <w:bookmarkStart w:id="29" w:name="X96e4e30d04f1c12388433a371fc9b91028d11ec"/>
    <w:p>
      <w:pPr>
        <w:pStyle w:val="Heading2"/>
      </w:pPr>
      <w:r>
        <w:t xml:space="preserve">R2.4 — Provide confusion matrices for all baselines</w:t>
      </w:r>
    </w:p>
    <w:p>
      <w:pPr>
        <w:pStyle w:val="FirstParagraph"/>
      </w:pPr>
      <w:r>
        <w:rPr>
          <w:b/>
          <w:bCs/>
        </w:rPr>
        <w:t xml:space="preserve">Acknowledged.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the manuscript now includes a row-normalised confusion-matrix grid for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evaluated model under the corrected harness (Fig. 7), with per-dataset and raw-count variants (plus PR/ROC) released via</w:t>
      </w:r>
      <w:r>
        <w:t xml:space="preserve"> </w:t>
      </w:r>
      <w:r>
        <w:rPr>
          <w:rStyle w:val="VerbatimChar"/>
        </w:rPr>
        <w:t xml:space="preserve">analysis_and_figures.py</w:t>
      </w:r>
      <w:r>
        <w:t xml:space="preserve"> </w:t>
      </w:r>
      <w:r>
        <w:t xml:space="preserve">— no longer only Finistral’s.</w:t>
      </w:r>
    </w:p>
    <w:bookmarkEnd w:id="29"/>
    <w:bookmarkStart w:id="30" w:name="Xe22e712cbeb0954e1d0cfb1d4426fd19800aa3b"/>
    <w:p>
      <w:pPr>
        <w:pStyle w:val="Heading2"/>
      </w:pPr>
      <w:r>
        <w:t xml:space="preserve">R2.5 — Replicate across seeds + test on external datasets</w:t>
      </w:r>
    </w:p>
    <w:p>
      <w:pPr>
        <w:pStyle w:val="FirstParagraph"/>
      </w:pPr>
      <w:r>
        <w:rPr>
          <w:b/>
          <w:bCs/>
        </w:rPr>
        <w:t xml:space="preserve">Acknowledged.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as detailed in R1.5 and R1.8 — evaluation is deterministic by construction (greedy decoding; identical across seeds), so replication rigor is provided by per-example McNemar tests and paired-bootstrap confidence intervals on every comparison; external generalization is evidenced on two row-wise-decontaminated sets, FiQA-SA (pooled, n = 235) and Twitter Financial News Sentiment (n = 2,373). Training-seed variance is honestly deferred (protocol released in</w:t>
      </w:r>
      <w:r>
        <w:t xml:space="preserve"> </w:t>
      </w:r>
      <w:r>
        <w:rPr>
          <w:rStyle w:val="VerbatimChar"/>
        </w:rPr>
        <w:t xml:space="preserve">ablation_and_seeds.py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0"/>
    <w:bookmarkStart w:id="31" w:name="closing"/>
    <w:p>
      <w:pPr>
        <w:pStyle w:val="Heading2"/>
      </w:pPr>
      <w:r>
        <w:t xml:space="preserve">Closing</w:t>
      </w:r>
    </w:p>
    <w:p>
      <w:pPr>
        <w:pStyle w:val="FirstParagraph"/>
      </w:pPr>
      <w:r>
        <w:t xml:space="preserve">We are grateful to both reviewers. Their scrutiny surfaced a contamination problem and a harness problem that, together, fully account for the implausible numbers in the original submission. The revised paper reports lower, honest, decontaminated results; reframes the contribution as an efficient and reproducible recipe plus an evaluation/contamination case study; corrects every text-vs-code discrepancy; and releases all scripts for independent verification. We hope this constitutes the kind of rigorous, transparent revision the reviewers’ comments called for.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All referenced code, data, and scripts are public at</w:t>
      </w:r>
      <w:r>
        <w:t xml:space="preserve"> </w:t>
      </w:r>
      <w:r>
        <w:rPr>
          <w:rStyle w:val="VerbatimChar"/>
        </w:rPr>
        <w:t xml:space="preserve">https://github.com/ayansk11/FinistralAI_code</w:t>
      </w:r>
      <w:r>
        <w:t xml:space="preserve"> </w:t>
      </w:r>
      <w:r>
        <w:t xml:space="preserve">(training script, corrected evaluation harness, leakage/decontamination analysis, external-dataset preparation with provenance, statistics pipeline, and figure generators) and the adapter at</w:t>
      </w:r>
      <w:r>
        <w:t xml:space="preserve"> </w:t>
      </w:r>
      <w:r>
        <w:rPr>
          <w:rStyle w:val="VerbatimChar"/>
        </w:rPr>
        <w:t xml:space="preserve">https://huggingface.co/Ayansk11/Finistral-7B_lora</w:t>
      </w:r>
      <w:r>
        <w:t xml:space="preserve">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2026-08-30T03:20:30Z</dcterms:created>
  <dcterms:modified xsi:type="dcterms:W3CDTF">2026-08-30T03:20:30Z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