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9.png" ContentType="image/png"/>
  <Override PartName="/word/media/rId33.jpg" ContentType="image/jpeg"/>
  <Override PartName="/word/media/rId37.jpg" ContentType="image/jpeg"/>
  <Override PartName="/word/media/rId53.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These figures are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p>
      <w:pPr>
        <w:pStyle w:val="CaptionedFigure"/>
      </w:pPr>
      <w:r>
        <w:drawing>
          <wp:inline>
            <wp:extent cx="5334000" cy="3658859"/>
            <wp:effectExtent b="0" l="0" r="0" t="0"/>
            <wp:docPr descr=""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3658859"/>
                    </a:xfrm>
                    <a:prstGeom prst="rect">
                      <a:avLst/>
                    </a:prstGeom>
                    <a:noFill/>
                    <a:ln w="9525">
                      <a:noFill/>
                      <a:headEnd/>
                      <a:tailEnd/>
                    </a:ln>
                  </pic:spPr>
                </pic:pic>
              </a:graphicData>
            </a:graphic>
          </wp:inline>
        </w:drawing>
      </w:r>
    </w:p>
    <w:p>
      <w:pPr>
        <w:pStyle w:val="ImageCaption"/>
      </w:pPr>
      <w:r>
        <w:t xml:space="preserve">Top: 75.2 % of the Financial PhraseBank evaluation set appears verbatim, with identical gold labels, in the fine-tuning corpus, so the originally claimed 99.56 % accuracy reflects memorisation. Bottom: the corrected evaluation on the exact-match-decontaminated remainder and two external datasets, with per-example significance tests (Section </w:t>
      </w:r>
      <w:hyperlink w:anchor="sec:contamination">
        <w:r>
          <w:rPr>
            <w:rStyle w:val="Hyperlink"/>
          </w:rPr>
          <w:t xml:space="preserve">5.5</w:t>
        </w:r>
      </w:hyperlink>
      <w:r>
        <w:t xml:space="preserve">).</w:t>
      </w:r>
    </w:p>
    <w:bookmarkStart w:id="15"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2"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2"/>
    <w:bookmarkStart w:id="13"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3"/>
    <w:bookmarkStart w:id="14"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4"/>
    <w:bookmarkEnd w:id="15"/>
    <w:bookmarkStart w:id="18"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which suits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6"/>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and can exceed,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the focus of our revised protocol,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sits at this intersection: we take the Mistral-7B backbone and the FinGPT sentiment corpus and apply LoRA for parameter-efficient adaptation.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18"/>
    <w:bookmarkStart w:id="25" w:name="problem-definition-and-dataset"/>
    <w:p>
      <w:pPr>
        <w:pStyle w:val="Heading1"/>
      </w:pPr>
      <w:r>
        <w:t xml:space="preserve">Problem Definition and Dataset</w:t>
      </w:r>
    </w:p>
    <w:bookmarkStart w:id="19"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19"/>
    <w:bookmarkStart w:id="22"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0">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1" w:name="tab:train-test-split"/>
    <w:p>
      <w:pPr>
        <w:pStyle w:val="TableCaption"/>
      </w:pPr>
      <w:r>
        <w:t xml:space="preserve">Training and validation split</w:t>
      </w:r>
    </w:p>
    <w:tbl>
      <w:tblPr>
        <w:tblStyle w:val="Table"/>
        <w:tblW w:type="auto" w:w="0"/>
        <w:tblLook w:firstRow="1" w:lastRow="0" w:firstColumn="0" w:lastColumn="0" w:noHBand="0" w:noVBand="0" w:val="0020"/>
        <w:tblCaption w:val="Training and validation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1"/>
    <w:bookmarkEnd w:id="22"/>
    <w:bookmarkStart w:id="24" w:name="preprocessing"/>
    <w:p>
      <w:pPr>
        <w:pStyle w:val="Heading2"/>
      </w:pPr>
      <w:r>
        <w:t xml:space="preserve">Preprocessing</w:t>
      </w:r>
    </w:p>
    <w:p>
      <w:pPr>
        <w:pStyle w:val="FirstParagraph"/>
      </w:pPr>
      <w:r>
        <w:rPr>
          <w:b/>
          <w:bCs/>
        </w:rPr>
        <w:t xml:space="preserve">Pipeline Cleaning</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3"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3"/>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4"/>
    <w:bookmarkEnd w:id="25"/>
    <w:bookmarkStart w:id="42"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6"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6"/>
    <w:bookmarkStart w:id="29"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7"/>
      </w:r>
    </w:p>
    <w:bookmarkStart w:id="28"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8"/>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for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29"/>
    <w:bookmarkStart w:id="32" w:name="training-procedure"/>
    <w:p>
      <w:pPr>
        <w:pStyle w:val="Heading2"/>
      </w:pPr>
      <w:r>
        <w:t xml:space="preserve">Training Procedure</w:t>
      </w:r>
    </w:p>
    <w:p>
      <w:pPr>
        <w:pStyle w:val="FirstParagraph"/>
      </w:pPr>
      <w:r>
        <w:t xml:space="preserve">We used the Hugging Face Trainer API with the following settings.</w:t>
      </w:r>
    </w:p>
    <w:bookmarkStart w:id="30"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0"/>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1" w:name="tab:loss-trajectory"/>
    <w:p>
      <w:pPr>
        <w:pStyle w:val="TableCaption"/>
      </w:pPr>
      <w:r>
        <w:t xml:space="preserve">Training result: validation-loss trajectory (best at epoch 2)</w:t>
      </w:r>
    </w:p>
    <w:tbl>
      <w:tblPr>
        <w:tblStyle w:val="Table"/>
        <w:tblW w:type="auto" w:w="0"/>
        <w:tblLook w:firstRow="1" w:lastRow="0" w:firstColumn="0" w:lastColumn="0" w:noHBand="0" w:noVBand="0" w:val="0020"/>
        <w:tblCaption w:val="Training result: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1"/>
    <w:bookmarkEnd w:id="32"/>
    <w:bookmarkStart w:id="41"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6" w:name="fig:gui1"/>
    <w:p>
      <w:pPr>
        <w:pStyle w:val="CaptionedFigure"/>
      </w:pPr>
      <w:r>
        <w:drawing>
          <wp:inline>
            <wp:extent cx="4000500" cy="2500312"/>
            <wp:effectExtent b="0" l="0" r="0" t="0"/>
            <wp:docPr descr="" title="" id="34" name="Picture"/>
            <a:graphic>
              <a:graphicData uri="http://schemas.openxmlformats.org/drawingml/2006/picture">
                <pic:pic>
                  <pic:nvPicPr>
                    <pic:cNvPr descr="figures/image1.jpeg" id="35" name="Picture"/>
                    <pic:cNvPicPr>
                      <a:picLocks noChangeArrowheads="1" noChangeAspect="1"/>
                    </pic:cNvPicPr>
                  </pic:nvPicPr>
                  <pic:blipFill>
                    <a:blip r:embed="rId33"/>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6"/>
    <w:bookmarkStart w:id="40" w:name="fig:gui2"/>
    <w:p>
      <w:pPr>
        <w:pStyle w:val="CaptionedFigure"/>
      </w:pPr>
      <w:r>
        <w:drawing>
          <wp:inline>
            <wp:extent cx="4000500" cy="2500312"/>
            <wp:effectExtent b="0" l="0" r="0" t="0"/>
            <wp:docPr descr="" title="" id="38" name="Picture"/>
            <a:graphic>
              <a:graphicData uri="http://schemas.openxmlformats.org/drawingml/2006/picture">
                <pic:pic>
                  <pic:nvPicPr>
                    <pic:cNvPr descr="figures/image2.jpeg" id="39" name="Picture"/>
                    <pic:cNvPicPr>
                      <a:picLocks noChangeArrowheads="1" noChangeAspect="1"/>
                    </pic:cNvPicPr>
                  </pic:nvPicPr>
                  <pic:blipFill>
                    <a:blip r:embed="rId37"/>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0"/>
    <w:bookmarkEnd w:id="41"/>
    <w:bookmarkEnd w:id="42"/>
    <w:bookmarkStart w:id="52"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4"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These defects drove several baselines below their majority-class floor (Section </w:t>
      </w:r>
      <w:hyperlink w:anchor="sec:contamination">
        <w:r>
          <w:rPr>
            <w:rStyle w:val="Hyperlink"/>
          </w:rPr>
          <w:t xml:space="preserve">5.5</w:t>
        </w:r>
      </w:hyperlink>
      <w:r>
        <w:t xml:space="preserve">).</w:t>
      </w:r>
    </w:p>
    <w:bookmarkStart w:id="43"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n/a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3"/>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4"/>
    <w:bookmarkStart w:id="45"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5"/>
    <w:bookmarkStart w:id="48"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6"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6"/>
    <w:p/>
    <w:bookmarkStart w:id="47"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(macro F1, unparseable rates, McNemar</w:t>
      </w:r>
      <w:r>
        <w:t xml:space="preserve"> </w:t>
      </w:r>
      <m:oMath>
        <m:r>
          <m:t>p</m:t>
        </m:r>
      </m:oMath>
      <w:r>
        <w:t xml:space="preserve">-values, and bootstrap confidence intervals for every comparison)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macro F1, unparseable rates, McNemar p-values, and bootstrap confidence intervals for every comparison)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7"/>
    <w:p>
      <w:pPr>
        <w:pStyle w:val="BodyText"/>
      </w:pPr>
      <w:r>
        <w:t xml:space="preserve">On the contaminated split only ten of 2,264 samples are misclassified,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8"/>
    <w:bookmarkStart w:id="49"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49"/>
    <w:bookmarkStart w:id="51"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which is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0"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0"/>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so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1"/>
    <w:bookmarkEnd w:id="52"/>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not the categorical superiority the original submission asserted.</w:t>
      </w:r>
    </w:p>
    <w:bookmarkStart w:id="56" w:name="fig:bar-comparison"/>
    <w:p>
      <w:pPr>
        <w:pStyle w:val="CaptionedFigure"/>
      </w:pPr>
      <w:r>
        <w:drawing>
          <wp:inline>
            <wp:extent cx="5334000" cy="6691745"/>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53"/>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5334000" cy="3804023"/>
            <wp:effectExtent b="0" l="0" r="0" t="0"/>
            <wp:docPr descr="" title="" id="58" name="Picture"/>
            <a:graphic>
              <a:graphicData uri="http://schemas.openxmlformats.org/drawingml/2006/picture">
                <pic:pic>
                  <pic:nvPicPr>
                    <pic:cNvPr descr="figures/dotplot_comparison.png" id="59" name="Picture"/>
                    <pic:cNvPicPr>
                      <a:picLocks noChangeArrowheads="1" noChangeAspect="1"/>
                    </pic:cNvPicPr>
                  </pic:nvPicPr>
                  <pic:blipFill>
                    <a:blip r:embed="rId57"/>
                    <a:stretch>
                      <a:fillRect/>
                    </a:stretch>
                  </pic:blipFill>
                  <pic:spPr bwMode="auto">
                    <a:xfrm>
                      <a:off x="0" y="0"/>
                      <a:ext cx="5334000" cy="3804023"/>
                    </a:xfrm>
                    <a:prstGeom prst="rect">
                      <a:avLst/>
                    </a:prstGeom>
                    <a:noFill/>
                    <a:ln w="9525">
                      <a:noFill/>
                      <a:headEnd/>
                      <a:tailEnd/>
                    </a:ln>
                  </pic:spPr>
                </pic:pic>
              </a:graphicData>
            </a:graphic>
          </wp:inline>
        </w:drawing>
      </w:r>
    </w:p>
    <w:p>
      <w:pPr>
        <w:pStyle w:val="ImageCaption"/>
      </w:pPr>
      <w:r>
        <w:t xml:space="preserve">Corrected accuracy (filled circles, with 95 % Wilson confidence intervals) and weighted F1 (open diamonds) for Finistral-7B-LoRA against all FinGPT adapter baselines and FinBERT on the exact-match-decontaminated sets; numeric labels give accuracy / weighted F1. Axes are zoomed per panel to resolve small differences; because value is encoded by position rather than bar length, the non-zero origin introduces no visual exaggeration. Overlapping accuracy intervals indicate differences that are not statistically distinguishable. Note the overlap with FinGPT-mt-Llama2 on FPB-560, FinGPT-Falcon on FiQA-SA, and FinGPT-Llama-3 on TFNS, matching the McNemar results in Appendix A. The two metrics do not always agree: on TFNS, FinGPT-Llama-3 attains a higher weighted F1 (0.821) than Finistral (0.796) despite lower accuracy, and on FiQA-SA FinGPT-Falcon leads on macro F1 (Appendix A). The unparseable-dominated zero-shot backbone is omitted here and shown in Figure </w:t>
      </w:r>
      <w:hyperlink w:anchor="fig:bar-comparison">
        <w:r>
          <w:rPr>
            <w:rStyle w:val="Hyperlink"/>
          </w:rPr>
          <w:t xml:space="preserve">3</w:t>
        </w:r>
      </w:hyperlink>
      <w:r>
        <w:t xml:space="preserve">.</w:t>
      </w:r>
    </w:p>
    <w:bookmarkEnd w:id="60"/>
    <w:bookmarkStart w:id="64" w:name="fig:confusion"/>
    <w:p>
      <w:pPr>
        <w:pStyle w:val="CaptionedFigure"/>
      </w:pPr>
      <w:r>
        <w:drawing>
          <wp:inline>
            <wp:extent cx="2773680" cy="2276299"/>
            <wp:effectExtent b="0" l="0" r="0" t="0"/>
            <wp:docPr descr="" title="" id="62" name="Picture"/>
            <a:graphic>
              <a:graphicData uri="http://schemas.openxmlformats.org/drawingml/2006/picture">
                <pic:pic>
                  <pic:nvPicPr>
                    <pic:cNvPr descr="figures/image5.png" id="63" name="Picture"/>
                    <pic:cNvPicPr>
                      <a:picLocks noChangeArrowheads="1" noChangeAspect="1"/>
                    </pic:cNvPicPr>
                  </pic:nvPicPr>
                  <pic:blipFill>
                    <a:blip r:embed="rId61"/>
                    <a:stretch>
                      <a:fillRect/>
                    </a:stretch>
                  </pic:blipFill>
                  <pic:spPr bwMode="auto">
                    <a:xfrm>
                      <a:off x="0" y="0"/>
                      <a:ext cx="2773680" cy="22762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4"/>
    <w:bookmarkStart w:id="68" w:name="fig:confusion-grid"/>
    <w:p>
      <w:pPr>
        <w:pStyle w:val="CaptionedFigure"/>
      </w:pPr>
      <w:r>
        <w:drawing>
          <wp:inline>
            <wp:extent cx="5334000" cy="8567393"/>
            <wp:effectExtent b="0" l="0" r="0" t="0"/>
            <wp:docPr descr="" title="" id="66" name="Picture"/>
            <a:graphic>
              <a:graphicData uri="http://schemas.openxmlformats.org/drawingml/2006/picture">
                <pic:pic>
                  <pic:nvPicPr>
                    <pic:cNvPr descr="figures_corrected/confusion_matrix_grid_normalized_page.png" id="67" name="Picture"/>
                    <pic:cNvPicPr>
                      <a:picLocks noChangeArrowheads="1" noChangeAspect="1"/>
                    </pic:cNvPicPr>
                  </pic:nvPicPr>
                  <pic:blipFill>
                    <a:blip r:embed="rId65"/>
                    <a:stretch>
                      <a:fillRect/>
                    </a:stretch>
                  </pic:blipFill>
                  <pic:spPr bwMode="auto">
                    <a:xfrm>
                      <a:off x="0" y="0"/>
                      <a:ext cx="5334000" cy="856739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 and evaluation stack, not parameter-count superiority.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mismatched to Finistral’s own</w:t>
      </w:r>
      <w:r>
        <w:t xml:space="preserve"> </w:t>
      </w:r>
      <w:r>
        <w:rPr>
          <w:rStyle w:val="VerbatimChar"/>
        </w:rPr>
        <w:t xml:space="preserve">[INST]</w:t>
      </w:r>
      <w:r>
        <w:t xml:space="preserve"> </w:t>
      </w:r>
      <w:r>
        <w:t xml:space="preserve">training template (Section 3.3),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modal constructions are read as realised outcomes. TFNS contributes most errors both because it is the largest set and because its informal, elliptical tweet register (tickers, retweet fragments, truncated URLs) is furthest from the fine-tuning corpus’s newswire style,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(and its labels)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with released tooling,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Models and datasets available at</w:t>
      </w:r>
      <w:r>
        <w:t xml:space="preserve"> </w:t>
      </w:r>
      <w:hyperlink r:id="rId17">
        <w:r>
          <w:rPr>
            <w:rStyle w:val="Hyperlink"/>
          </w:rPr>
          <w:t xml:space="preserve">https://huggingface.co/FinGPT</w:t>
        </w:r>
      </w:hyperlink>
    </w:p>
  </w:footnote>
  <w:footnote w:id="27">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2026-08-30T13:07:26Z</dcterms:created>
  <dcterms:modified xsi:type="dcterms:W3CDTF">2026-08-30T13:07:26Z</dcterms:modified>
</cp:coreProperties>
</file>

<file path=docProps/custom.xml><?xml version="1.0" encoding="utf-8"?>
<Properties xmlns="http://schemas.openxmlformats.org/officeDocument/2006/custom-properties" xmlns:vt="http://schemas.openxmlformats.org/officeDocument/2006/docPropsVTypes"/>
</file>