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jpg" ContentType="image/jpeg"/>
  <Override PartName="/word/media/rId37.jpg" ContentType="image/jpeg"/>
  <Override PartName="/word/media/rId53.png" ContentType="image/png"/>
  <Override PartName="/word/media/rId57.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1849752"/>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1849752"/>
                    </a:xfrm>
                    <a:prstGeom prst="rect">
                      <a:avLst/>
                    </a:prstGeom>
                    <a:noFill/>
                    <a:ln w="9525">
                      <a:noFill/>
                      <a:headEnd/>
                      <a:tailEnd/>
                    </a:ln>
                  </pic:spPr>
                </pic:pic>
              </a:graphicData>
            </a:graphic>
          </wp:inline>
        </w:drawing>
      </w:r>
    </w:p>
    <w:p>
      <w:pPr>
        <w:pStyle w:val="ImageCaption"/>
      </w:pPr>
      <w:r>
        <w:t xml:space="preserve">Left: 75.2 % of the Financial PhraseBank evaluation set appears verbatim, with identical gold labels, in the fine-tuning corpus — the originally claimed 99.56 % accuracy reflects memorisation. Right: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 well suited to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 and can exceed —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 macro F1, unparseable rates, McNemar</w:t>
      </w:r>
      <w:r>
        <w:t xml:space="preserve"> </w:t>
      </w:r>
      <m:oMath>
        <m:r>
          <m:t>p</m:t>
        </m:r>
      </m:oMath>
      <w:r>
        <w:t xml:space="preserve">-values, and bootstrap confidence intervals for every comparison —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 macro F1, unparseable rates, McNemar p-values, and bootstrap confidence intervals for every comparison —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6691745"/>
            <wp:effectExtent b="0" l="0" r="0" t="0"/>
            <wp:docPr descr="" title="" id="58" name="Picture"/>
            <a:graphic>
              <a:graphicData uri="http://schemas.openxmlformats.org/drawingml/2006/picture">
                <pic:pic>
                  <pic:nvPicPr>
                    <pic:cNvPr descr="figures/image4_corrected.png" id="59" name="Picture"/>
                    <pic:cNvPicPr>
                      <a:picLocks noChangeArrowheads="1" noChangeAspect="1"/>
                    </pic:cNvPicPr>
                  </pic:nvPicPr>
                  <pic:blipFill>
                    <a:blip r:embed="rId57"/>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(exact-match-decontaminated sets) of Finistral-7B-LoRA against all FinGPT adapter baselines and FinBERT, per evaluation set. Missing bars indicate accuracy/F1 near zero (the unparseable-dominated zero-shot backbone is omitted; see Table </w:t>
      </w:r>
      <w:hyperlink w:anchor="tab:corrected-results">
        <w:r>
          <w:rPr>
            <w:rStyle w:val="Hyperlink"/>
          </w:rPr>
          <w:t xml:space="preserve">8</w:t>
        </w:r>
      </w:hyperlink>
      <w:r>
        <w:t xml:space="preserve">).</w:t>
      </w:r>
    </w:p>
    <w:bookmarkEnd w:id="60"/>
    <w:bookmarkStart w:id="64" w:name="fig:confusion"/>
    <w:p>
      <w:pPr>
        <w:pStyle w:val="CaptionedFigure"/>
      </w:pPr>
      <w:r>
        <w:drawing>
          <wp:inline>
            <wp:extent cx="3840480" cy="31517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3840480" cy="31517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recipe–evaluation stack, not parameter-count superiority — and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(Section 3.3) —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2026-08-30T03:38:52Z</dcterms:created>
  <dcterms:modified xsi:type="dcterms:W3CDTF">2026-08-30T03:38:52Z</dcterms:modified>
</cp:coreProperties>
</file>

<file path=docProps/custom.xml><?xml version="1.0" encoding="utf-8"?>
<Properties xmlns="http://schemas.openxmlformats.org/officeDocument/2006/custom-properties" xmlns:vt="http://schemas.openxmlformats.org/officeDocument/2006/docPropsVTypes"/>
</file>