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E4C" w:rsidRDefault="00147E68">
      <w:pPr>
        <w:spacing w:after="60"/>
      </w:pPr>
      <w:proofErr w:type="spellStart"/>
      <w:r>
        <w:rPr>
          <w:b/>
          <w:bCs/>
          <w:sz w:val="44"/>
          <w:szCs w:val="44"/>
        </w:rPr>
        <w:t>MedTourEasy</w:t>
      </w:r>
      <w:proofErr w:type="spellEnd"/>
    </w:p>
    <w:p w:rsidR="006C7E4C" w:rsidRDefault="00147E68">
      <w:pPr>
        <w:spacing w:after="40"/>
      </w:pPr>
      <w:r>
        <w:rPr>
          <w:color w:val="444444"/>
          <w:sz w:val="28"/>
          <w:szCs w:val="28"/>
        </w:rPr>
        <w:t>Patient Conversion &amp; Provider Performance Intelligence</w:t>
      </w:r>
    </w:p>
    <w:p w:rsidR="006C7E4C" w:rsidRDefault="00147E68">
      <w:pPr>
        <w:spacing w:after="300"/>
      </w:pPr>
      <w:r>
        <w:rPr>
          <w:i/>
          <w:iCs/>
          <w:color w:val="666666"/>
          <w:sz w:val="24"/>
          <w:szCs w:val="24"/>
        </w:rPr>
        <w:t>Executive Recommendation Memo</w:t>
      </w:r>
    </w:p>
    <w:p w:rsidR="006C7E4C" w:rsidRDefault="00147E68">
      <w:pPr>
        <w:spacing w:after="100"/>
      </w:pPr>
      <w:r>
        <w:rPr>
          <w:b/>
          <w:bCs/>
        </w:rPr>
        <w:t xml:space="preserve">Prepared by: </w:t>
      </w:r>
      <w:r>
        <w:t>Ayan Suvra Bosu</w:t>
      </w:r>
      <w:r>
        <w:t>, Data Science Intern</w:t>
      </w:r>
    </w:p>
    <w:p w:rsidR="006C7E4C" w:rsidRDefault="00147E68">
      <w:pPr>
        <w:spacing w:after="100"/>
      </w:pPr>
      <w:r>
        <w:rPr>
          <w:b/>
          <w:bCs/>
        </w:rPr>
        <w:t xml:space="preserve">Department: </w:t>
      </w:r>
      <w:r>
        <w:t>Healthcare Analytics / Data Science</w:t>
      </w:r>
    </w:p>
    <w:p w:rsidR="006C7E4C" w:rsidRDefault="00147E68">
      <w:pPr>
        <w:spacing w:after="100"/>
      </w:pPr>
      <w:r>
        <w:rPr>
          <w:b/>
          <w:bCs/>
        </w:rPr>
        <w:t xml:space="preserve">Date: </w:t>
      </w:r>
      <w:r>
        <w:t>[Submission Date]</w:t>
      </w:r>
    </w:p>
    <w:p w:rsidR="006C7E4C" w:rsidRDefault="00147E68">
      <w:pPr>
        <w:pStyle w:val="Heading1"/>
        <w:spacing w:before="300" w:after="150"/>
      </w:pPr>
      <w:r>
        <w:t>1. Problem</w:t>
      </w:r>
    </w:p>
    <w:p w:rsidR="006C7E4C" w:rsidRDefault="00147E68">
      <w:pPr>
        <w:spacing w:after="120"/>
      </w:pPr>
      <w:proofErr w:type="spellStart"/>
      <w:r>
        <w:t>MedTourEasy'</w:t>
      </w:r>
      <w:r>
        <w:t>s</w:t>
      </w:r>
      <w:proofErr w:type="spellEnd"/>
      <w:r>
        <w:t xml:space="preserve"> international patient journey is fragmented across inquiry, communication, consultation, quote, treatment, and follow-up stages. Provider teams lack early signals of patient disengagement, and management has needed reconciled funnel numbers and actionabl</w:t>
      </w:r>
      <w:r>
        <w:t>e, quantified recommendations to improve conversion, provider prioritisation, and coordinator workflow.</w:t>
      </w:r>
    </w:p>
    <w:p w:rsidR="006C7E4C" w:rsidRDefault="00147E68">
      <w:pPr>
        <w:pStyle w:val="Heading1"/>
        <w:spacing w:before="300" w:after="150"/>
      </w:pPr>
      <w:r>
        <w:t>2. Method</w:t>
      </w:r>
    </w:p>
    <w:p w:rsidR="006C7E4C" w:rsidRDefault="00147E68">
      <w:pPr>
        <w:spacing w:after="120"/>
      </w:pPr>
      <w:r>
        <w:t>Analysis was conducted across five datasets (1,500 patient records, 6,025 communication logs, 554 treatment outcomes, 30 providers, 12 countri</w:t>
      </w:r>
      <w:r>
        <w:t>es) plus a relational SQLite database. Work was structured across five notebooks and a SQL analysis layer:</w:t>
      </w:r>
    </w:p>
    <w:p w:rsidR="006C7E4C" w:rsidRDefault="00147E68">
      <w:pPr>
        <w:pStyle w:val="ListParagraph"/>
        <w:numPr>
          <w:ilvl w:val="0"/>
          <w:numId w:val="1"/>
        </w:numPr>
        <w:spacing w:after="80"/>
      </w:pPr>
      <w:r>
        <w:t xml:space="preserve">01 — Data quality profiling: nulls, duplicates, </w:t>
      </w:r>
      <w:proofErr w:type="spellStart"/>
      <w:r>
        <w:t>dtype</w:t>
      </w:r>
      <w:proofErr w:type="spellEnd"/>
      <w:r>
        <w:t xml:space="preserve"> and CSV/DB consistency checks</w:t>
      </w:r>
    </w:p>
    <w:p w:rsidR="006C7E4C" w:rsidRDefault="00147E68">
      <w:pPr>
        <w:pStyle w:val="ListParagraph"/>
        <w:numPr>
          <w:ilvl w:val="0"/>
          <w:numId w:val="1"/>
        </w:numPr>
        <w:spacing w:after="80"/>
      </w:pPr>
      <w:r>
        <w:t>02 — Funnel reconciliation, KPI calculation, drop-off and SLA bre</w:t>
      </w:r>
      <w:r>
        <w:t>ach analysis</w:t>
      </w:r>
    </w:p>
    <w:p w:rsidR="006C7E4C" w:rsidRDefault="00147E68">
      <w:pPr>
        <w:pStyle w:val="ListParagraph"/>
        <w:numPr>
          <w:ilvl w:val="0"/>
          <w:numId w:val="1"/>
        </w:numPr>
        <w:spacing w:after="80"/>
      </w:pPr>
      <w:r>
        <w:t>03 (SQL) — Provider scorecard, cohort conversion, ranking, and hypothesis-test preparation</w:t>
      </w:r>
    </w:p>
    <w:p w:rsidR="006C7E4C" w:rsidRDefault="00147E68">
      <w:pPr>
        <w:pStyle w:val="ListParagraph"/>
        <w:numPr>
          <w:ilvl w:val="0"/>
          <w:numId w:val="1"/>
        </w:numPr>
        <w:spacing w:after="80"/>
      </w:pPr>
      <w:r>
        <w:t xml:space="preserve">04 — Predictive </w:t>
      </w:r>
      <w:proofErr w:type="spellStart"/>
      <w:r>
        <w:t>modeling</w:t>
      </w:r>
      <w:proofErr w:type="spellEnd"/>
      <w:r>
        <w:t xml:space="preserve"> of treatment completion and drop-off risk (Logistic Regression, Decision Tree, Random Forest)</w:t>
      </w:r>
    </w:p>
    <w:p w:rsidR="006C7E4C" w:rsidRDefault="00147E68">
      <w:pPr>
        <w:pStyle w:val="ListParagraph"/>
        <w:numPr>
          <w:ilvl w:val="0"/>
          <w:numId w:val="1"/>
        </w:numPr>
        <w:spacing w:after="80"/>
      </w:pPr>
      <w:r>
        <w:t>05 — Patient and provider segment</w:t>
      </w:r>
      <w:r>
        <w:t xml:space="preserve">ation via </w:t>
      </w:r>
      <w:proofErr w:type="spellStart"/>
      <w:r>
        <w:t>KMeans</w:t>
      </w:r>
      <w:proofErr w:type="spellEnd"/>
      <w:r>
        <w:t xml:space="preserve"> clustering</w:t>
      </w:r>
    </w:p>
    <w:p w:rsidR="006C7E4C" w:rsidRDefault="00147E68">
      <w:pPr>
        <w:spacing w:after="120"/>
      </w:pPr>
      <w:r>
        <w:t xml:space="preserve">All 1,500 patients were reconciled with no double-counting. Every ambiguous cleaning or </w:t>
      </w:r>
      <w:proofErr w:type="spellStart"/>
      <w:r>
        <w:t>modeling</w:t>
      </w:r>
      <w:proofErr w:type="spellEnd"/>
      <w:r>
        <w:t xml:space="preserve"> decision is documented in an assumptions log within each notebook.</w:t>
      </w:r>
    </w:p>
    <w:p w:rsidR="006C7E4C" w:rsidRDefault="00147E68">
      <w:pPr>
        <w:pStyle w:val="Heading1"/>
        <w:spacing w:before="300" w:after="150"/>
      </w:pPr>
      <w:r>
        <w:t>3. Key Findings</w:t>
      </w:r>
      <w:bookmarkStart w:id="0" w:name="_GoBack"/>
      <w:bookmarkEnd w:id="0"/>
    </w:p>
    <w:p w:rsidR="006C7E4C" w:rsidRDefault="00147E68">
      <w:pPr>
        <w:pStyle w:val="Heading2"/>
        <w:spacing w:before="240" w:after="120"/>
      </w:pPr>
      <w:r>
        <w:t>3.1 SLA Breach Is the Highest-Leverage Lever</w:t>
      </w:r>
    </w:p>
    <w:p w:rsidR="006C7E4C" w:rsidRDefault="00147E68">
      <w:pPr>
        <w:spacing w:after="120"/>
      </w:pPr>
      <w:r>
        <w:t>82.</w:t>
      </w:r>
      <w:r>
        <w:t>8% of all patients experienced a response-time SLA breach (response slower than the country-specific baseline). Breaches are strongly associated with lower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C7E4C">
        <w:tblPrEx>
          <w:tblCellMar>
            <w:top w:w="0" w:type="dxa"/>
            <w:bottom w:w="0" w:type="dxa"/>
          </w:tblCellMar>
        </w:tblPrEx>
        <w:trPr>
          <w:tblHeader/>
        </w:trPr>
        <w:tc>
          <w:tcPr>
            <w:tcW w:w="2340" w:type="dxa"/>
            <w:shd w:val="clear" w:color="auto" w:fill="2F5496"/>
          </w:tcPr>
          <w:p w:rsidR="006C7E4C" w:rsidRDefault="00147E68">
            <w:r>
              <w:rPr>
                <w:b/>
                <w:bCs/>
                <w:color w:val="FFFFFF"/>
              </w:rPr>
              <w:t>Group</w:t>
            </w:r>
          </w:p>
        </w:tc>
        <w:tc>
          <w:tcPr>
            <w:tcW w:w="2340" w:type="dxa"/>
            <w:shd w:val="clear" w:color="auto" w:fill="2F5496"/>
          </w:tcPr>
          <w:p w:rsidR="006C7E4C" w:rsidRDefault="00147E68">
            <w:r>
              <w:rPr>
                <w:b/>
                <w:bCs/>
                <w:color w:val="FFFFFF"/>
              </w:rPr>
              <w:t>Patients</w:t>
            </w:r>
          </w:p>
        </w:tc>
        <w:tc>
          <w:tcPr>
            <w:tcW w:w="2340" w:type="dxa"/>
            <w:shd w:val="clear" w:color="auto" w:fill="2F5496"/>
          </w:tcPr>
          <w:p w:rsidR="006C7E4C" w:rsidRDefault="00147E68">
            <w:r>
              <w:rPr>
                <w:b/>
                <w:bCs/>
                <w:color w:val="FFFFFF"/>
              </w:rPr>
              <w:t>Consultation Rate</w:t>
            </w:r>
          </w:p>
        </w:tc>
        <w:tc>
          <w:tcPr>
            <w:tcW w:w="2340" w:type="dxa"/>
            <w:shd w:val="clear" w:color="auto" w:fill="2F5496"/>
          </w:tcPr>
          <w:p w:rsidR="006C7E4C" w:rsidRDefault="00147E68">
            <w:r>
              <w:rPr>
                <w:b/>
                <w:bCs/>
                <w:color w:val="FFFFFF"/>
              </w:rPr>
              <w:t>Treatment Completion Rate</w:t>
            </w:r>
          </w:p>
        </w:tc>
      </w:tr>
      <w:tr w:rsidR="006C7E4C">
        <w:tblPrEx>
          <w:tblCellMar>
            <w:top w:w="0" w:type="dxa"/>
            <w:bottom w:w="0" w:type="dxa"/>
          </w:tblCellMar>
        </w:tblPrEx>
        <w:tc>
          <w:tcPr>
            <w:tcW w:w="2340" w:type="dxa"/>
          </w:tcPr>
          <w:p w:rsidR="006C7E4C" w:rsidRDefault="00147E68">
            <w:r>
              <w:t>On-time response</w:t>
            </w:r>
          </w:p>
        </w:tc>
        <w:tc>
          <w:tcPr>
            <w:tcW w:w="2340" w:type="dxa"/>
          </w:tcPr>
          <w:p w:rsidR="006C7E4C" w:rsidRDefault="00147E68">
            <w:r>
              <w:t>258</w:t>
            </w:r>
          </w:p>
        </w:tc>
        <w:tc>
          <w:tcPr>
            <w:tcW w:w="2340" w:type="dxa"/>
          </w:tcPr>
          <w:p w:rsidR="006C7E4C" w:rsidRDefault="00147E68">
            <w:r>
              <w:t>79.5%</w:t>
            </w:r>
          </w:p>
        </w:tc>
        <w:tc>
          <w:tcPr>
            <w:tcW w:w="2340" w:type="dxa"/>
          </w:tcPr>
          <w:p w:rsidR="006C7E4C" w:rsidRDefault="00147E68">
            <w:r>
              <w:t>51.2%</w:t>
            </w:r>
          </w:p>
        </w:tc>
      </w:tr>
      <w:tr w:rsidR="006C7E4C">
        <w:tblPrEx>
          <w:tblCellMar>
            <w:top w:w="0" w:type="dxa"/>
            <w:bottom w:w="0" w:type="dxa"/>
          </w:tblCellMar>
        </w:tblPrEx>
        <w:tc>
          <w:tcPr>
            <w:tcW w:w="2340" w:type="dxa"/>
          </w:tcPr>
          <w:p w:rsidR="006C7E4C" w:rsidRDefault="00147E68">
            <w:r>
              <w:t>SLA breached</w:t>
            </w:r>
          </w:p>
        </w:tc>
        <w:tc>
          <w:tcPr>
            <w:tcW w:w="2340" w:type="dxa"/>
          </w:tcPr>
          <w:p w:rsidR="006C7E4C" w:rsidRDefault="00147E68">
            <w:r>
              <w:t>1,242</w:t>
            </w:r>
          </w:p>
        </w:tc>
        <w:tc>
          <w:tcPr>
            <w:tcW w:w="2340" w:type="dxa"/>
          </w:tcPr>
          <w:p w:rsidR="006C7E4C" w:rsidRDefault="00147E68">
            <w:r>
              <w:t>62.7%</w:t>
            </w:r>
          </w:p>
        </w:tc>
        <w:tc>
          <w:tcPr>
            <w:tcW w:w="2340" w:type="dxa"/>
          </w:tcPr>
          <w:p w:rsidR="006C7E4C" w:rsidRDefault="00147E68">
            <w:r>
              <w:t>34.0%</w:t>
            </w:r>
          </w:p>
        </w:tc>
      </w:tr>
    </w:tbl>
    <w:p w:rsidR="006C7E4C" w:rsidRDefault="006C7E4C">
      <w:pPr>
        <w:spacing w:after="150"/>
      </w:pPr>
    </w:p>
    <w:p w:rsidR="006C7E4C" w:rsidRDefault="00147E68">
      <w:pPr>
        <w:spacing w:after="120"/>
      </w:pPr>
      <w:r>
        <w:t>This is a ~17 percentage-point gap on both metrics, affecting the large majority of the patient base. Response speed is the single highest-impact, highest-frequency operational lever identified in this analysis.</w:t>
      </w:r>
    </w:p>
    <w:p w:rsidR="006C7E4C" w:rsidRDefault="00147E68">
      <w:pPr>
        <w:pStyle w:val="Heading2"/>
        <w:spacing w:before="240" w:after="120"/>
      </w:pPr>
      <w:r>
        <w:t>3.2 Provider Performance Varies ~2x, Partly Explained by Case Mix</w:t>
      </w:r>
    </w:p>
    <w:p w:rsidR="006C7E4C" w:rsidRDefault="00147E68">
      <w:pPr>
        <w:spacing w:after="120"/>
      </w:pPr>
      <w:r>
        <w:t>Treatment completion rates range from 52.7% (top provider) to 23.1% (bottom two providers) across the 30 providers, each with adequate sample size (38-66 patients). However, providers with l</w:t>
      </w:r>
      <w:r>
        <w:t xml:space="preserve">ower completion rates handle </w:t>
      </w:r>
      <w:r>
        <w:lastRenderedPageBreak/>
        <w:t>a higher proportion of Urgent-priority cases, which independently complete at a lower rate (29.8%) than Routine cases (39.0%). Raw provider ranking should therefore not be read as pure provider skill; a case-mix-adjusted compar</w:t>
      </w:r>
      <w:r>
        <w:t>ison is recommended before any performance action is taken.</w:t>
      </w:r>
    </w:p>
    <w:p w:rsidR="006C7E4C" w:rsidRDefault="00147E68">
      <w:pPr>
        <w:pStyle w:val="Heading2"/>
        <w:spacing w:before="240" w:after="120"/>
      </w:pPr>
      <w:r>
        <w:t>3.3 Urgent Cases Complete Treatment Least Often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C7E4C">
        <w:tblPrEx>
          <w:tblCellMar>
            <w:top w:w="0" w:type="dxa"/>
            <w:bottom w:w="0" w:type="dxa"/>
          </w:tblCellMar>
        </w:tblPrEx>
        <w:trPr>
          <w:tblHeader/>
        </w:trPr>
        <w:tc>
          <w:tcPr>
            <w:tcW w:w="4680" w:type="dxa"/>
            <w:shd w:val="clear" w:color="auto" w:fill="2F5496"/>
          </w:tcPr>
          <w:p w:rsidR="006C7E4C" w:rsidRDefault="00147E68">
            <w:r>
              <w:rPr>
                <w:b/>
                <w:bCs/>
                <w:color w:val="FFFFFF"/>
              </w:rPr>
              <w:t>Medical Urgency</w:t>
            </w:r>
          </w:p>
        </w:tc>
        <w:tc>
          <w:tcPr>
            <w:tcW w:w="4680" w:type="dxa"/>
            <w:shd w:val="clear" w:color="auto" w:fill="2F5496"/>
          </w:tcPr>
          <w:p w:rsidR="006C7E4C" w:rsidRDefault="00147E68">
            <w:r>
              <w:rPr>
                <w:b/>
                <w:bCs/>
                <w:color w:val="FFFFFF"/>
              </w:rPr>
              <w:t>Treatment Completion Rate</w:t>
            </w:r>
          </w:p>
        </w:tc>
      </w:tr>
      <w:tr w:rsidR="006C7E4C">
        <w:tblPrEx>
          <w:tblCellMar>
            <w:top w:w="0" w:type="dxa"/>
            <w:bottom w:w="0" w:type="dxa"/>
          </w:tblCellMar>
        </w:tblPrEx>
        <w:tc>
          <w:tcPr>
            <w:tcW w:w="4680" w:type="dxa"/>
          </w:tcPr>
          <w:p w:rsidR="006C7E4C" w:rsidRDefault="00147E68">
            <w:r>
              <w:t>Routine</w:t>
            </w:r>
          </w:p>
        </w:tc>
        <w:tc>
          <w:tcPr>
            <w:tcW w:w="4680" w:type="dxa"/>
          </w:tcPr>
          <w:p w:rsidR="006C7E4C" w:rsidRDefault="00147E68">
            <w:r>
              <w:t>39.0%</w:t>
            </w:r>
          </w:p>
        </w:tc>
      </w:tr>
      <w:tr w:rsidR="006C7E4C">
        <w:tblPrEx>
          <w:tblCellMar>
            <w:top w:w="0" w:type="dxa"/>
            <w:bottom w:w="0" w:type="dxa"/>
          </w:tblCellMar>
        </w:tblPrEx>
        <w:tc>
          <w:tcPr>
            <w:tcW w:w="4680" w:type="dxa"/>
          </w:tcPr>
          <w:p w:rsidR="006C7E4C" w:rsidRDefault="00147E68">
            <w:r>
              <w:t>Moderate</w:t>
            </w:r>
          </w:p>
        </w:tc>
        <w:tc>
          <w:tcPr>
            <w:tcW w:w="4680" w:type="dxa"/>
          </w:tcPr>
          <w:p w:rsidR="006C7E4C" w:rsidRDefault="00147E68">
            <w:r>
              <w:t>38.5%</w:t>
            </w:r>
          </w:p>
        </w:tc>
      </w:tr>
      <w:tr w:rsidR="006C7E4C">
        <w:tblPrEx>
          <w:tblCellMar>
            <w:top w:w="0" w:type="dxa"/>
            <w:bottom w:w="0" w:type="dxa"/>
          </w:tblCellMar>
        </w:tblPrEx>
        <w:tc>
          <w:tcPr>
            <w:tcW w:w="4680" w:type="dxa"/>
          </w:tcPr>
          <w:p w:rsidR="006C7E4C" w:rsidRDefault="00147E68">
            <w:r>
              <w:t>Urgent</w:t>
            </w:r>
          </w:p>
        </w:tc>
        <w:tc>
          <w:tcPr>
            <w:tcW w:w="4680" w:type="dxa"/>
          </w:tcPr>
          <w:p w:rsidR="006C7E4C" w:rsidRDefault="00147E68">
            <w:r>
              <w:t>29.8%</w:t>
            </w:r>
          </w:p>
        </w:tc>
      </w:tr>
    </w:tbl>
    <w:p w:rsidR="006C7E4C" w:rsidRDefault="006C7E4C">
      <w:pPr>
        <w:spacing w:after="150"/>
      </w:pPr>
    </w:p>
    <w:p w:rsidR="006C7E4C" w:rsidRDefault="00147E68">
      <w:pPr>
        <w:spacing w:after="120"/>
      </w:pPr>
      <w:r>
        <w:t>This is counterintuitive — urgent patients would be expected to convert faster and more often given clinical need. It suggests urgent cases may face disproportionate friction (cost, complexity, or speed of process) that the current workflow does not adequa</w:t>
      </w:r>
      <w:r>
        <w:t>tely address.</w:t>
      </w:r>
    </w:p>
    <w:p w:rsidR="006C7E4C" w:rsidRDefault="00147E68">
      <w:pPr>
        <w:pStyle w:val="Heading2"/>
        <w:spacing w:before="240" w:after="120"/>
      </w:pPr>
      <w:r>
        <w:t>3.4 Patient Segments (</w:t>
      </w:r>
      <w:proofErr w:type="spellStart"/>
      <w:r>
        <w:t>KMeans</w:t>
      </w:r>
      <w:proofErr w:type="spellEnd"/>
      <w:r>
        <w:t>, k=2, silhouette = 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6C7E4C">
        <w:tblPrEx>
          <w:tblCellMar>
            <w:top w:w="0" w:type="dxa"/>
            <w:bottom w:w="0" w:type="dxa"/>
          </w:tblCellMar>
        </w:tblPrEx>
        <w:trPr>
          <w:tblHeader/>
        </w:trPr>
        <w:tc>
          <w:tcPr>
            <w:tcW w:w="1560" w:type="dxa"/>
            <w:shd w:val="clear" w:color="auto" w:fill="2F5496"/>
          </w:tcPr>
          <w:p w:rsidR="006C7E4C" w:rsidRDefault="00147E68">
            <w:r>
              <w:rPr>
                <w:b/>
                <w:bCs/>
                <w:color w:val="FFFFFF"/>
              </w:rPr>
              <w:t>Segment</w:t>
            </w:r>
          </w:p>
        </w:tc>
        <w:tc>
          <w:tcPr>
            <w:tcW w:w="1560" w:type="dxa"/>
            <w:shd w:val="clear" w:color="auto" w:fill="2F5496"/>
          </w:tcPr>
          <w:p w:rsidR="006C7E4C" w:rsidRDefault="00147E68">
            <w:r>
              <w:rPr>
                <w:b/>
                <w:bCs/>
                <w:color w:val="FFFFFF"/>
              </w:rPr>
              <w:t>Size</w:t>
            </w:r>
          </w:p>
        </w:tc>
        <w:tc>
          <w:tcPr>
            <w:tcW w:w="1560" w:type="dxa"/>
            <w:shd w:val="clear" w:color="auto" w:fill="2F5496"/>
          </w:tcPr>
          <w:p w:rsidR="006C7E4C" w:rsidRDefault="00147E68">
            <w:r>
              <w:rPr>
                <w:b/>
                <w:bCs/>
                <w:color w:val="FFFFFF"/>
              </w:rPr>
              <w:t>Intent Score</w:t>
            </w:r>
          </w:p>
        </w:tc>
        <w:tc>
          <w:tcPr>
            <w:tcW w:w="1560" w:type="dxa"/>
            <w:shd w:val="clear" w:color="auto" w:fill="2F5496"/>
          </w:tcPr>
          <w:p w:rsidR="006C7E4C" w:rsidRDefault="00147E68">
            <w:r>
              <w:rPr>
                <w:b/>
                <w:bCs/>
                <w:color w:val="FFFFFF"/>
              </w:rPr>
              <w:t>Engagement Score</w:t>
            </w:r>
          </w:p>
        </w:tc>
        <w:tc>
          <w:tcPr>
            <w:tcW w:w="1560" w:type="dxa"/>
            <w:shd w:val="clear" w:color="auto" w:fill="2F5496"/>
          </w:tcPr>
          <w:p w:rsidR="006C7E4C" w:rsidRDefault="00147E68">
            <w:r>
              <w:rPr>
                <w:b/>
                <w:bCs/>
                <w:color w:val="FFFFFF"/>
              </w:rPr>
              <w:t>SLA Breach Rate</w:t>
            </w:r>
          </w:p>
        </w:tc>
        <w:tc>
          <w:tcPr>
            <w:tcW w:w="1560" w:type="dxa"/>
            <w:shd w:val="clear" w:color="auto" w:fill="2F5496"/>
          </w:tcPr>
          <w:p w:rsidR="006C7E4C" w:rsidRDefault="00147E68">
            <w:r>
              <w:rPr>
                <w:b/>
                <w:bCs/>
                <w:color w:val="FFFFFF"/>
              </w:rPr>
              <w:t>Treatment Completion</w:t>
            </w:r>
          </w:p>
        </w:tc>
      </w:tr>
      <w:tr w:rsidR="006C7E4C">
        <w:tblPrEx>
          <w:tblCellMar>
            <w:top w:w="0" w:type="dxa"/>
            <w:bottom w:w="0" w:type="dxa"/>
          </w:tblCellMar>
        </w:tblPrEx>
        <w:tc>
          <w:tcPr>
            <w:tcW w:w="1560" w:type="dxa"/>
          </w:tcPr>
          <w:p w:rsidR="006C7E4C" w:rsidRDefault="00147E68">
            <w:r>
              <w:t>Low-Engagement Risk</w:t>
            </w:r>
          </w:p>
        </w:tc>
        <w:tc>
          <w:tcPr>
            <w:tcW w:w="1560" w:type="dxa"/>
          </w:tcPr>
          <w:p w:rsidR="006C7E4C" w:rsidRDefault="00147E68">
            <w:r>
              <w:t>730 (48.7%)</w:t>
            </w:r>
          </w:p>
        </w:tc>
        <w:tc>
          <w:tcPr>
            <w:tcW w:w="1560" w:type="dxa"/>
          </w:tcPr>
          <w:p w:rsidR="006C7E4C" w:rsidRDefault="00147E68">
            <w:r>
              <w:t>48.8</w:t>
            </w:r>
          </w:p>
        </w:tc>
        <w:tc>
          <w:tcPr>
            <w:tcW w:w="1560" w:type="dxa"/>
          </w:tcPr>
          <w:p w:rsidR="006C7E4C" w:rsidRDefault="00147E68">
            <w:r>
              <w:t>36.1</w:t>
            </w:r>
          </w:p>
        </w:tc>
        <w:tc>
          <w:tcPr>
            <w:tcW w:w="1560" w:type="dxa"/>
          </w:tcPr>
          <w:p w:rsidR="006C7E4C" w:rsidRDefault="00147E68">
            <w:r>
              <w:t>89.0%</w:t>
            </w:r>
          </w:p>
        </w:tc>
        <w:tc>
          <w:tcPr>
            <w:tcW w:w="1560" w:type="dxa"/>
          </w:tcPr>
          <w:p w:rsidR="006C7E4C" w:rsidRDefault="00147E68">
            <w:r>
              <w:t>17.3%</w:t>
            </w:r>
          </w:p>
        </w:tc>
      </w:tr>
      <w:tr w:rsidR="006C7E4C">
        <w:tblPrEx>
          <w:tblCellMar>
            <w:top w:w="0" w:type="dxa"/>
            <w:bottom w:w="0" w:type="dxa"/>
          </w:tblCellMar>
        </w:tblPrEx>
        <w:tc>
          <w:tcPr>
            <w:tcW w:w="1560" w:type="dxa"/>
          </w:tcPr>
          <w:p w:rsidR="006C7E4C" w:rsidRDefault="00147E68">
            <w:r>
              <w:t>High-Engagement Value</w:t>
            </w:r>
          </w:p>
        </w:tc>
        <w:tc>
          <w:tcPr>
            <w:tcW w:w="1560" w:type="dxa"/>
          </w:tcPr>
          <w:p w:rsidR="006C7E4C" w:rsidRDefault="00147E68">
            <w:r>
              <w:t>770 (51.3%)</w:t>
            </w:r>
          </w:p>
        </w:tc>
        <w:tc>
          <w:tcPr>
            <w:tcW w:w="1560" w:type="dxa"/>
          </w:tcPr>
          <w:p w:rsidR="006C7E4C" w:rsidRDefault="00147E68">
            <w:r>
              <w:t>74.3</w:t>
            </w:r>
          </w:p>
        </w:tc>
        <w:tc>
          <w:tcPr>
            <w:tcW w:w="1560" w:type="dxa"/>
          </w:tcPr>
          <w:p w:rsidR="006C7E4C" w:rsidRDefault="00147E68">
            <w:r>
              <w:t>69.1</w:t>
            </w:r>
          </w:p>
        </w:tc>
        <w:tc>
          <w:tcPr>
            <w:tcW w:w="1560" w:type="dxa"/>
          </w:tcPr>
          <w:p w:rsidR="006C7E4C" w:rsidRDefault="00147E68">
            <w:r>
              <w:t>76.9%</w:t>
            </w:r>
          </w:p>
        </w:tc>
        <w:tc>
          <w:tcPr>
            <w:tcW w:w="1560" w:type="dxa"/>
          </w:tcPr>
          <w:p w:rsidR="006C7E4C" w:rsidRDefault="00147E68">
            <w:r>
              <w:t>55.6%</w:t>
            </w:r>
          </w:p>
        </w:tc>
      </w:tr>
    </w:tbl>
    <w:p w:rsidR="006C7E4C" w:rsidRDefault="006C7E4C">
      <w:pPr>
        <w:spacing w:after="150"/>
      </w:pPr>
    </w:p>
    <w:p w:rsidR="006C7E4C" w:rsidRDefault="00147E68">
      <w:pPr>
        <w:spacing w:after="120"/>
      </w:pPr>
      <w:r>
        <w:t>The High-Engagement segment converts over 3x higher than the Low-Engagement segment and represents the highest-ROI target for SLA and response-speed investment.</w:t>
      </w:r>
    </w:p>
    <w:p w:rsidR="006C7E4C" w:rsidRDefault="00147E68">
      <w:pPr>
        <w:pStyle w:val="Heading2"/>
        <w:spacing w:before="240" w:after="120"/>
      </w:pPr>
      <w:r>
        <w:t>3.5 Provider Segments (</w:t>
      </w:r>
      <w:proofErr w:type="spellStart"/>
      <w:r>
        <w:t>KMeans</w:t>
      </w:r>
      <w:proofErr w:type="spellEnd"/>
      <w:r>
        <w:t>, k=2, silhouette = 0.38)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C7E4C">
        <w:tblPrEx>
          <w:tblCellMar>
            <w:top w:w="0" w:type="dxa"/>
            <w:bottom w:w="0" w:type="dxa"/>
          </w:tblCellMar>
        </w:tblPrEx>
        <w:trPr>
          <w:tblHeader/>
        </w:trPr>
        <w:tc>
          <w:tcPr>
            <w:tcW w:w="1872" w:type="dxa"/>
            <w:shd w:val="clear" w:color="auto" w:fill="2F5496"/>
          </w:tcPr>
          <w:p w:rsidR="006C7E4C" w:rsidRDefault="00147E68">
            <w:r>
              <w:rPr>
                <w:b/>
                <w:bCs/>
                <w:color w:val="FFFFFF"/>
              </w:rPr>
              <w:t>Segment</w:t>
            </w:r>
          </w:p>
        </w:tc>
        <w:tc>
          <w:tcPr>
            <w:tcW w:w="1872" w:type="dxa"/>
            <w:shd w:val="clear" w:color="auto" w:fill="2F5496"/>
          </w:tcPr>
          <w:p w:rsidR="006C7E4C" w:rsidRDefault="00147E68">
            <w:r>
              <w:rPr>
                <w:b/>
                <w:bCs/>
                <w:color w:val="FFFFFF"/>
              </w:rPr>
              <w:t>Providers</w:t>
            </w:r>
          </w:p>
        </w:tc>
        <w:tc>
          <w:tcPr>
            <w:tcW w:w="1872" w:type="dxa"/>
            <w:shd w:val="clear" w:color="auto" w:fill="2F5496"/>
          </w:tcPr>
          <w:p w:rsidR="006C7E4C" w:rsidRDefault="00147E68">
            <w:r>
              <w:rPr>
                <w:b/>
                <w:bCs/>
                <w:color w:val="FFFFFF"/>
              </w:rPr>
              <w:t>Consultation R</w:t>
            </w:r>
            <w:r>
              <w:rPr>
                <w:b/>
                <w:bCs/>
                <w:color w:val="FFFFFF"/>
              </w:rPr>
              <w:t>ate</w:t>
            </w:r>
          </w:p>
        </w:tc>
        <w:tc>
          <w:tcPr>
            <w:tcW w:w="1872" w:type="dxa"/>
            <w:shd w:val="clear" w:color="auto" w:fill="2F5496"/>
          </w:tcPr>
          <w:p w:rsidR="006C7E4C" w:rsidRDefault="00147E68">
            <w:r>
              <w:rPr>
                <w:b/>
                <w:bCs/>
                <w:color w:val="FFFFFF"/>
              </w:rPr>
              <w:t>Treatment Completion</w:t>
            </w:r>
          </w:p>
        </w:tc>
        <w:tc>
          <w:tcPr>
            <w:tcW w:w="1872" w:type="dxa"/>
            <w:shd w:val="clear" w:color="auto" w:fill="2F5496"/>
          </w:tcPr>
          <w:p w:rsidR="006C7E4C" w:rsidRDefault="00147E68">
            <w:r>
              <w:rPr>
                <w:b/>
                <w:bCs/>
                <w:color w:val="FFFFFF"/>
              </w:rPr>
              <w:t>Avg. Caseload</w:t>
            </w:r>
          </w:p>
        </w:tc>
      </w:tr>
      <w:tr w:rsidR="006C7E4C">
        <w:tblPrEx>
          <w:tblCellMar>
            <w:top w:w="0" w:type="dxa"/>
            <w:bottom w:w="0" w:type="dxa"/>
          </w:tblCellMar>
        </w:tblPrEx>
        <w:tc>
          <w:tcPr>
            <w:tcW w:w="1872" w:type="dxa"/>
          </w:tcPr>
          <w:p w:rsidR="006C7E4C" w:rsidRDefault="00147E68">
            <w:r>
              <w:t>High-Performing</w:t>
            </w:r>
          </w:p>
        </w:tc>
        <w:tc>
          <w:tcPr>
            <w:tcW w:w="1872" w:type="dxa"/>
          </w:tcPr>
          <w:p w:rsidR="006C7E4C" w:rsidRDefault="00147E68">
            <w:r>
              <w:t>17</w:t>
            </w:r>
          </w:p>
        </w:tc>
        <w:tc>
          <w:tcPr>
            <w:tcW w:w="1872" w:type="dxa"/>
          </w:tcPr>
          <w:p w:rsidR="006C7E4C" w:rsidRDefault="00147E68">
            <w:r>
              <w:t>71.7%</w:t>
            </w:r>
          </w:p>
        </w:tc>
        <w:tc>
          <w:tcPr>
            <w:tcW w:w="1872" w:type="dxa"/>
          </w:tcPr>
          <w:p w:rsidR="006C7E4C" w:rsidRDefault="00147E68">
            <w:r>
              <w:t>42.5%</w:t>
            </w:r>
          </w:p>
        </w:tc>
        <w:tc>
          <w:tcPr>
            <w:tcW w:w="1872" w:type="dxa"/>
          </w:tcPr>
          <w:p w:rsidR="006C7E4C" w:rsidRDefault="00147E68">
            <w:r>
              <w:t>53.4</w:t>
            </w:r>
          </w:p>
        </w:tc>
      </w:tr>
      <w:tr w:rsidR="006C7E4C">
        <w:tblPrEx>
          <w:tblCellMar>
            <w:top w:w="0" w:type="dxa"/>
            <w:bottom w:w="0" w:type="dxa"/>
          </w:tblCellMar>
        </w:tblPrEx>
        <w:tc>
          <w:tcPr>
            <w:tcW w:w="1872" w:type="dxa"/>
          </w:tcPr>
          <w:p w:rsidR="006C7E4C" w:rsidRDefault="00147E68">
            <w:r>
              <w:t>Underperforming</w:t>
            </w:r>
          </w:p>
        </w:tc>
        <w:tc>
          <w:tcPr>
            <w:tcW w:w="1872" w:type="dxa"/>
          </w:tcPr>
          <w:p w:rsidR="006C7E4C" w:rsidRDefault="00147E68">
            <w:r>
              <w:t>13</w:t>
            </w:r>
          </w:p>
        </w:tc>
        <w:tc>
          <w:tcPr>
            <w:tcW w:w="1872" w:type="dxa"/>
          </w:tcPr>
          <w:p w:rsidR="006C7E4C" w:rsidRDefault="00147E68">
            <w:r>
              <w:t>56.2%</w:t>
            </w:r>
          </w:p>
        </w:tc>
        <w:tc>
          <w:tcPr>
            <w:tcW w:w="1872" w:type="dxa"/>
          </w:tcPr>
          <w:p w:rsidR="006C7E4C" w:rsidRDefault="00147E68">
            <w:r>
              <w:t>28.8%</w:t>
            </w:r>
          </w:p>
        </w:tc>
        <w:tc>
          <w:tcPr>
            <w:tcW w:w="1872" w:type="dxa"/>
          </w:tcPr>
          <w:p w:rsidR="006C7E4C" w:rsidRDefault="00147E68">
            <w:r>
              <w:t>45.6</w:t>
            </w:r>
          </w:p>
        </w:tc>
      </w:tr>
    </w:tbl>
    <w:p w:rsidR="006C7E4C" w:rsidRDefault="006C7E4C">
      <w:pPr>
        <w:spacing w:after="150"/>
      </w:pPr>
    </w:p>
    <w:p w:rsidR="006C7E4C" w:rsidRDefault="00147E68">
      <w:pPr>
        <w:spacing w:after="120"/>
      </w:pPr>
      <w:r>
        <w:t>A ~15pp completion gap exists between tiers, consistent with individual provider rankings. As noted in 3.2, this gap should be reviewed for case-mix effects before punitive action.</w:t>
      </w:r>
    </w:p>
    <w:p w:rsidR="006C7E4C" w:rsidRDefault="00147E68">
      <w:pPr>
        <w:pStyle w:val="Heading1"/>
        <w:spacing w:before="300" w:after="150"/>
      </w:pPr>
      <w:r>
        <w:t xml:space="preserve">4. Predictive </w:t>
      </w:r>
      <w:proofErr w:type="spellStart"/>
      <w:r>
        <w:t>Modeling</w:t>
      </w:r>
      <w:proofErr w:type="spellEnd"/>
      <w:r>
        <w:t xml:space="preserve"> Summary</w:t>
      </w:r>
    </w:p>
    <w:p w:rsidR="006C7E4C" w:rsidRDefault="00147E68">
      <w:pPr>
        <w:spacing w:after="120"/>
      </w:pPr>
      <w:r>
        <w:t xml:space="preserve">Two supervised targets were </w:t>
      </w:r>
      <w:proofErr w:type="spellStart"/>
      <w:r>
        <w:t>modeled</w:t>
      </w:r>
      <w:proofErr w:type="spellEnd"/>
      <w:r>
        <w:t>: treatme</w:t>
      </w:r>
      <w:r>
        <w:t>nt completion and drop-off risk. Feature sets deliberately excluded all post-inquiry funnel signals (</w:t>
      </w:r>
      <w:proofErr w:type="spellStart"/>
      <w:r>
        <w:t>consultation_booked</w:t>
      </w:r>
      <w:proofErr w:type="spellEnd"/>
      <w:r>
        <w:t xml:space="preserve">, </w:t>
      </w:r>
      <w:proofErr w:type="spellStart"/>
      <w:r>
        <w:t>quote_shared</w:t>
      </w:r>
      <w:proofErr w:type="spellEnd"/>
      <w:r>
        <w:t xml:space="preserve">, </w:t>
      </w:r>
      <w:proofErr w:type="spellStart"/>
      <w:r>
        <w:t>follow_up_completed</w:t>
      </w:r>
      <w:proofErr w:type="spellEnd"/>
      <w:r>
        <w:t xml:space="preserve">, </w:t>
      </w:r>
      <w:proofErr w:type="spellStart"/>
      <w:proofErr w:type="gramStart"/>
      <w:r>
        <w:t>satisfaction</w:t>
      </w:r>
      <w:proofErr w:type="gramEnd"/>
      <w:r>
        <w:t>_score</w:t>
      </w:r>
      <w:proofErr w:type="spellEnd"/>
      <w:r>
        <w:t>, revenue/cost fields) to prevent data leakage, since these fields are direct dow</w:t>
      </w:r>
      <w:r>
        <w:t>nstream consequences of the outcome being predicted.</w:t>
      </w:r>
    </w:p>
    <w:p w:rsidR="006C7E4C" w:rsidRDefault="00147E68">
      <w:pPr>
        <w:pStyle w:val="Heading2"/>
        <w:spacing w:before="240" w:after="120"/>
      </w:pPr>
      <w:r>
        <w:t>4.1 Treatment Completion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C7E4C">
        <w:tblPrEx>
          <w:tblCellMar>
            <w:top w:w="0" w:type="dxa"/>
            <w:bottom w:w="0" w:type="dxa"/>
          </w:tblCellMar>
        </w:tblPrEx>
        <w:trPr>
          <w:tblHeader/>
        </w:trPr>
        <w:tc>
          <w:tcPr>
            <w:tcW w:w="1872" w:type="dxa"/>
            <w:shd w:val="clear" w:color="auto" w:fill="2F5496"/>
          </w:tcPr>
          <w:p w:rsidR="006C7E4C" w:rsidRDefault="00147E68">
            <w:r>
              <w:rPr>
                <w:b/>
                <w:bCs/>
                <w:color w:val="FFFFFF"/>
              </w:rPr>
              <w:t>Model</w:t>
            </w:r>
          </w:p>
        </w:tc>
        <w:tc>
          <w:tcPr>
            <w:tcW w:w="1872" w:type="dxa"/>
            <w:shd w:val="clear" w:color="auto" w:fill="2F5496"/>
          </w:tcPr>
          <w:p w:rsidR="006C7E4C" w:rsidRDefault="00147E68">
            <w:r>
              <w:rPr>
                <w:b/>
                <w:bCs/>
                <w:color w:val="FFFFFF"/>
              </w:rPr>
              <w:t>ROC-AUC</w:t>
            </w:r>
          </w:p>
        </w:tc>
        <w:tc>
          <w:tcPr>
            <w:tcW w:w="1872" w:type="dxa"/>
            <w:shd w:val="clear" w:color="auto" w:fill="2F5496"/>
          </w:tcPr>
          <w:p w:rsidR="006C7E4C" w:rsidRDefault="00147E68">
            <w:r>
              <w:rPr>
                <w:b/>
                <w:bCs/>
                <w:color w:val="FFFFFF"/>
              </w:rPr>
              <w:t>Precision</w:t>
            </w:r>
          </w:p>
        </w:tc>
        <w:tc>
          <w:tcPr>
            <w:tcW w:w="1872" w:type="dxa"/>
            <w:shd w:val="clear" w:color="auto" w:fill="2F5496"/>
          </w:tcPr>
          <w:p w:rsidR="006C7E4C" w:rsidRDefault="00147E68">
            <w:r>
              <w:rPr>
                <w:b/>
                <w:bCs/>
                <w:color w:val="FFFFFF"/>
              </w:rPr>
              <w:t>Recall</w:t>
            </w:r>
          </w:p>
        </w:tc>
        <w:tc>
          <w:tcPr>
            <w:tcW w:w="1872" w:type="dxa"/>
            <w:shd w:val="clear" w:color="auto" w:fill="2F5496"/>
          </w:tcPr>
          <w:p w:rsidR="006C7E4C" w:rsidRDefault="00147E68">
            <w:r>
              <w:rPr>
                <w:b/>
                <w:bCs/>
                <w:color w:val="FFFFFF"/>
              </w:rPr>
              <w:t>Brier Score</w:t>
            </w:r>
          </w:p>
        </w:tc>
      </w:tr>
      <w:tr w:rsidR="006C7E4C">
        <w:tblPrEx>
          <w:tblCellMar>
            <w:top w:w="0" w:type="dxa"/>
            <w:bottom w:w="0" w:type="dxa"/>
          </w:tblCellMar>
        </w:tblPrEx>
        <w:tc>
          <w:tcPr>
            <w:tcW w:w="1872" w:type="dxa"/>
          </w:tcPr>
          <w:p w:rsidR="006C7E4C" w:rsidRDefault="00147E68">
            <w:r>
              <w:t>Decision Tree (selected)</w:t>
            </w:r>
          </w:p>
        </w:tc>
        <w:tc>
          <w:tcPr>
            <w:tcW w:w="1872" w:type="dxa"/>
          </w:tcPr>
          <w:p w:rsidR="006C7E4C" w:rsidRDefault="00147E68">
            <w:r>
              <w:t>0.840</w:t>
            </w:r>
          </w:p>
        </w:tc>
        <w:tc>
          <w:tcPr>
            <w:tcW w:w="1872" w:type="dxa"/>
          </w:tcPr>
          <w:p w:rsidR="006C7E4C" w:rsidRDefault="00147E68">
            <w:r>
              <w:t>0.711</w:t>
            </w:r>
          </w:p>
        </w:tc>
        <w:tc>
          <w:tcPr>
            <w:tcW w:w="1872" w:type="dxa"/>
          </w:tcPr>
          <w:p w:rsidR="006C7E4C" w:rsidRDefault="00147E68">
            <w:r>
              <w:t>0.730</w:t>
            </w:r>
          </w:p>
        </w:tc>
        <w:tc>
          <w:tcPr>
            <w:tcW w:w="1872" w:type="dxa"/>
          </w:tcPr>
          <w:p w:rsidR="006C7E4C" w:rsidRDefault="00147E68">
            <w:r>
              <w:t>0.155</w:t>
            </w:r>
          </w:p>
        </w:tc>
      </w:tr>
    </w:tbl>
    <w:p w:rsidR="006C7E4C" w:rsidRDefault="006C7E4C">
      <w:pPr>
        <w:spacing w:after="150"/>
      </w:pPr>
    </w:p>
    <w:p w:rsidR="006C7E4C" w:rsidRDefault="00147E68">
      <w:pPr>
        <w:pStyle w:val="Heading2"/>
        <w:spacing w:before="240" w:after="120"/>
      </w:pPr>
      <w:r>
        <w:t>4.2 Drop-off Risk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C7E4C">
        <w:tblPrEx>
          <w:tblCellMar>
            <w:top w:w="0" w:type="dxa"/>
            <w:bottom w:w="0" w:type="dxa"/>
          </w:tblCellMar>
        </w:tblPrEx>
        <w:trPr>
          <w:tblHeader/>
        </w:trPr>
        <w:tc>
          <w:tcPr>
            <w:tcW w:w="1872" w:type="dxa"/>
            <w:shd w:val="clear" w:color="auto" w:fill="2F5496"/>
          </w:tcPr>
          <w:p w:rsidR="006C7E4C" w:rsidRDefault="00147E68">
            <w:r>
              <w:rPr>
                <w:b/>
                <w:bCs/>
                <w:color w:val="FFFFFF"/>
              </w:rPr>
              <w:lastRenderedPageBreak/>
              <w:t>Model</w:t>
            </w:r>
          </w:p>
        </w:tc>
        <w:tc>
          <w:tcPr>
            <w:tcW w:w="1872" w:type="dxa"/>
            <w:shd w:val="clear" w:color="auto" w:fill="2F5496"/>
          </w:tcPr>
          <w:p w:rsidR="006C7E4C" w:rsidRDefault="00147E68">
            <w:r>
              <w:rPr>
                <w:b/>
                <w:bCs/>
                <w:color w:val="FFFFFF"/>
              </w:rPr>
              <w:t>ROC-AUC</w:t>
            </w:r>
          </w:p>
        </w:tc>
        <w:tc>
          <w:tcPr>
            <w:tcW w:w="1872" w:type="dxa"/>
            <w:shd w:val="clear" w:color="auto" w:fill="2F5496"/>
          </w:tcPr>
          <w:p w:rsidR="006C7E4C" w:rsidRDefault="00147E68">
            <w:r>
              <w:rPr>
                <w:b/>
                <w:bCs/>
                <w:color w:val="FFFFFF"/>
              </w:rPr>
              <w:t>Precision</w:t>
            </w:r>
          </w:p>
        </w:tc>
        <w:tc>
          <w:tcPr>
            <w:tcW w:w="1872" w:type="dxa"/>
            <w:shd w:val="clear" w:color="auto" w:fill="2F5496"/>
          </w:tcPr>
          <w:p w:rsidR="006C7E4C" w:rsidRDefault="00147E68">
            <w:r>
              <w:rPr>
                <w:b/>
                <w:bCs/>
                <w:color w:val="FFFFFF"/>
              </w:rPr>
              <w:t>Recall</w:t>
            </w:r>
          </w:p>
        </w:tc>
        <w:tc>
          <w:tcPr>
            <w:tcW w:w="1872" w:type="dxa"/>
            <w:shd w:val="clear" w:color="auto" w:fill="2F5496"/>
          </w:tcPr>
          <w:p w:rsidR="006C7E4C" w:rsidRDefault="00147E68">
            <w:r>
              <w:rPr>
                <w:b/>
                <w:bCs/>
                <w:color w:val="FFFFFF"/>
              </w:rPr>
              <w:t>Brier Score</w:t>
            </w:r>
          </w:p>
        </w:tc>
      </w:tr>
      <w:tr w:rsidR="006C7E4C">
        <w:tblPrEx>
          <w:tblCellMar>
            <w:top w:w="0" w:type="dxa"/>
            <w:bottom w:w="0" w:type="dxa"/>
          </w:tblCellMar>
        </w:tblPrEx>
        <w:tc>
          <w:tcPr>
            <w:tcW w:w="1872" w:type="dxa"/>
          </w:tcPr>
          <w:p w:rsidR="006C7E4C" w:rsidRDefault="00147E68">
            <w:r>
              <w:t>Logistic Regression (selected, class-weighted)</w:t>
            </w:r>
          </w:p>
        </w:tc>
        <w:tc>
          <w:tcPr>
            <w:tcW w:w="1872" w:type="dxa"/>
          </w:tcPr>
          <w:p w:rsidR="006C7E4C" w:rsidRDefault="00147E68">
            <w:r>
              <w:t>0.673</w:t>
            </w:r>
          </w:p>
        </w:tc>
        <w:tc>
          <w:tcPr>
            <w:tcW w:w="1872" w:type="dxa"/>
          </w:tcPr>
          <w:p w:rsidR="006C7E4C" w:rsidRDefault="00147E68">
            <w:r>
              <w:t>0.355</w:t>
            </w:r>
          </w:p>
        </w:tc>
        <w:tc>
          <w:tcPr>
            <w:tcW w:w="1872" w:type="dxa"/>
          </w:tcPr>
          <w:p w:rsidR="006C7E4C" w:rsidRDefault="00147E68">
            <w:r>
              <w:t>0.614</w:t>
            </w:r>
          </w:p>
        </w:tc>
        <w:tc>
          <w:tcPr>
            <w:tcW w:w="1872" w:type="dxa"/>
          </w:tcPr>
          <w:p w:rsidR="006C7E4C" w:rsidRDefault="00147E68">
            <w:r>
              <w:t>0.233</w:t>
            </w:r>
          </w:p>
        </w:tc>
      </w:tr>
      <w:tr w:rsidR="006C7E4C">
        <w:tblPrEx>
          <w:tblCellMar>
            <w:top w:w="0" w:type="dxa"/>
            <w:bottom w:w="0" w:type="dxa"/>
          </w:tblCellMar>
        </w:tblPrEx>
        <w:tc>
          <w:tcPr>
            <w:tcW w:w="1872" w:type="dxa"/>
          </w:tcPr>
          <w:p w:rsidR="006C7E4C" w:rsidRDefault="00147E68">
            <w:r>
              <w:t>Decision Tree (class-weighted)</w:t>
            </w:r>
          </w:p>
        </w:tc>
        <w:tc>
          <w:tcPr>
            <w:tcW w:w="1872" w:type="dxa"/>
          </w:tcPr>
          <w:p w:rsidR="006C7E4C" w:rsidRDefault="00147E68">
            <w:r>
              <w:t>0.625</w:t>
            </w:r>
          </w:p>
        </w:tc>
        <w:tc>
          <w:tcPr>
            <w:tcW w:w="1872" w:type="dxa"/>
          </w:tcPr>
          <w:p w:rsidR="006C7E4C" w:rsidRDefault="00147E68">
            <w:r>
              <w:t>0.346</w:t>
            </w:r>
          </w:p>
        </w:tc>
        <w:tc>
          <w:tcPr>
            <w:tcW w:w="1872" w:type="dxa"/>
          </w:tcPr>
          <w:p w:rsidR="006C7E4C" w:rsidRDefault="00147E68">
            <w:r>
              <w:t>0.671</w:t>
            </w:r>
          </w:p>
        </w:tc>
        <w:tc>
          <w:tcPr>
            <w:tcW w:w="1872" w:type="dxa"/>
          </w:tcPr>
          <w:p w:rsidR="006C7E4C" w:rsidRDefault="00147E68">
            <w:r>
              <w:t>0.251</w:t>
            </w:r>
          </w:p>
        </w:tc>
      </w:tr>
      <w:tr w:rsidR="006C7E4C">
        <w:tblPrEx>
          <w:tblCellMar>
            <w:top w:w="0" w:type="dxa"/>
            <w:bottom w:w="0" w:type="dxa"/>
          </w:tblCellMar>
        </w:tblPrEx>
        <w:tc>
          <w:tcPr>
            <w:tcW w:w="1872" w:type="dxa"/>
          </w:tcPr>
          <w:p w:rsidR="006C7E4C" w:rsidRDefault="00147E68">
            <w:r>
              <w:t>Random Forest (class-weighted)</w:t>
            </w:r>
          </w:p>
        </w:tc>
        <w:tc>
          <w:tcPr>
            <w:tcW w:w="1872" w:type="dxa"/>
          </w:tcPr>
          <w:p w:rsidR="006C7E4C" w:rsidRDefault="00147E68">
            <w:r>
              <w:t>0.665</w:t>
            </w:r>
          </w:p>
        </w:tc>
        <w:tc>
          <w:tcPr>
            <w:tcW w:w="1872" w:type="dxa"/>
          </w:tcPr>
          <w:p w:rsidR="006C7E4C" w:rsidRDefault="00147E68">
            <w:r>
              <w:t>0.290</w:t>
            </w:r>
          </w:p>
        </w:tc>
        <w:tc>
          <w:tcPr>
            <w:tcW w:w="1872" w:type="dxa"/>
          </w:tcPr>
          <w:p w:rsidR="006C7E4C" w:rsidRDefault="00147E68">
            <w:r>
              <w:t>0.286</w:t>
            </w:r>
          </w:p>
        </w:tc>
        <w:tc>
          <w:tcPr>
            <w:tcW w:w="1872" w:type="dxa"/>
          </w:tcPr>
          <w:p w:rsidR="006C7E4C" w:rsidRDefault="00147E68">
            <w:r>
              <w:t>0.187</w:t>
            </w:r>
          </w:p>
        </w:tc>
      </w:tr>
    </w:tbl>
    <w:p w:rsidR="006C7E4C" w:rsidRDefault="006C7E4C">
      <w:pPr>
        <w:spacing w:after="150"/>
      </w:pPr>
    </w:p>
    <w:p w:rsidR="006C7E4C" w:rsidRDefault="00147E68">
      <w:pPr>
        <w:spacing w:after="120"/>
      </w:pPr>
      <w:r>
        <w:t>Logistic Regression was selected for the drop-off model on the basis of the best ROC-AUC and best precision at a business-appropriate recall level (61.4%), catching roughly 6 in 10 at-risk patients. Class weighting was used to correct for class imbalance (</w:t>
      </w:r>
      <w:r>
        <w:t>23% positive rate) and materially improved recall over the unweighted baseline.</w:t>
      </w:r>
    </w:p>
    <w:p w:rsidR="006C7E4C" w:rsidRDefault="00147E68">
      <w:pPr>
        <w:pStyle w:val="Heading2"/>
        <w:spacing w:before="240" w:after="120"/>
      </w:pPr>
      <w:r>
        <w:t>4.3 Model Limitations (Honest Disclosure)</w:t>
      </w:r>
    </w:p>
    <w:p w:rsidR="006C7E4C" w:rsidRDefault="00147E68">
      <w:pPr>
        <w:spacing w:after="120"/>
      </w:pPr>
      <w:r>
        <w:t>Drop-off risk model performance (ROC-AUC ~0.67) reflects a deliberately conservative, leak-free feature set restricted to pre-engageme</w:t>
      </w:r>
      <w:r>
        <w:t xml:space="preserve">nt signals (demographics, lead source, response speed, urgency, SLA adherence). This is an expected and honest ceiling, not a </w:t>
      </w:r>
      <w:proofErr w:type="spellStart"/>
      <w:r>
        <w:t>modeling</w:t>
      </w:r>
      <w:proofErr w:type="spellEnd"/>
      <w:r>
        <w:t xml:space="preserve"> failure — it suggests drop-off is driven substantially by in-process factors (communication quality, provider interaction</w:t>
      </w:r>
      <w:r>
        <w:t>) not captured in static intake data. Models should be used as a triage aid to prioritise coordinator outreach, not as a sole automated decision-maker, consistent with the project's exclusion of automated patient outreach from scope.</w:t>
      </w:r>
    </w:p>
    <w:p w:rsidR="006C7E4C" w:rsidRDefault="00147E68">
      <w:pPr>
        <w:pStyle w:val="Heading1"/>
        <w:spacing w:before="300" w:after="150"/>
      </w:pPr>
      <w:r>
        <w:t>5.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2651"/>
        <w:gridCol w:w="1474"/>
        <w:gridCol w:w="1796"/>
        <w:gridCol w:w="1572"/>
        <w:gridCol w:w="1491"/>
      </w:tblGrid>
      <w:tr w:rsidR="006C7E4C">
        <w:tblPrEx>
          <w:tblCellMar>
            <w:top w:w="0" w:type="dxa"/>
            <w:bottom w:w="0" w:type="dxa"/>
          </w:tblCellMar>
        </w:tblPrEx>
        <w:trPr>
          <w:tblHeader/>
        </w:trPr>
        <w:tc>
          <w:tcPr>
            <w:tcW w:w="500" w:type="dxa"/>
            <w:shd w:val="clear" w:color="auto" w:fill="2F5496"/>
          </w:tcPr>
          <w:p w:rsidR="006C7E4C" w:rsidRDefault="00147E68">
            <w:r>
              <w:rPr>
                <w:b/>
                <w:bCs/>
                <w:color w:val="FFFFFF"/>
              </w:rPr>
              <w:t>#</w:t>
            </w:r>
          </w:p>
        </w:tc>
        <w:tc>
          <w:tcPr>
            <w:tcW w:w="3200" w:type="dxa"/>
            <w:shd w:val="clear" w:color="auto" w:fill="2F5496"/>
          </w:tcPr>
          <w:p w:rsidR="006C7E4C" w:rsidRDefault="00147E68">
            <w:r>
              <w:rPr>
                <w:b/>
                <w:bCs/>
                <w:color w:val="FFFFFF"/>
              </w:rPr>
              <w:t>Recommendation</w:t>
            </w:r>
          </w:p>
        </w:tc>
        <w:tc>
          <w:tcPr>
            <w:tcW w:w="1700" w:type="dxa"/>
            <w:shd w:val="clear" w:color="auto" w:fill="2F5496"/>
          </w:tcPr>
          <w:p w:rsidR="006C7E4C" w:rsidRDefault="00147E68">
            <w:r>
              <w:rPr>
                <w:b/>
                <w:bCs/>
                <w:color w:val="FFFFFF"/>
              </w:rPr>
              <w:t>Owner</w:t>
            </w:r>
          </w:p>
        </w:tc>
        <w:tc>
          <w:tcPr>
            <w:tcW w:w="2000" w:type="dxa"/>
            <w:shd w:val="clear" w:color="auto" w:fill="2F5496"/>
          </w:tcPr>
          <w:p w:rsidR="006C7E4C" w:rsidRDefault="00147E68">
            <w:r>
              <w:rPr>
                <w:b/>
                <w:bCs/>
                <w:color w:val="FFFFFF"/>
              </w:rPr>
              <w:t>Expected Impact</w:t>
            </w:r>
          </w:p>
        </w:tc>
        <w:tc>
          <w:tcPr>
            <w:tcW w:w="1700" w:type="dxa"/>
            <w:shd w:val="clear" w:color="auto" w:fill="2F5496"/>
          </w:tcPr>
          <w:p w:rsidR="006C7E4C" w:rsidRDefault="00147E68">
            <w:r>
              <w:rPr>
                <w:b/>
                <w:bCs/>
                <w:color w:val="FFFFFF"/>
              </w:rPr>
              <w:t>KPI</w:t>
            </w:r>
          </w:p>
        </w:tc>
        <w:tc>
          <w:tcPr>
            <w:tcW w:w="1660" w:type="dxa"/>
            <w:shd w:val="clear" w:color="auto" w:fill="2F5496"/>
          </w:tcPr>
          <w:p w:rsidR="006C7E4C" w:rsidRDefault="00147E68">
            <w:r>
              <w:rPr>
                <w:b/>
                <w:bCs/>
                <w:color w:val="FFFFFF"/>
              </w:rPr>
              <w:t>Risk</w:t>
            </w:r>
          </w:p>
        </w:tc>
      </w:tr>
      <w:tr w:rsidR="006C7E4C">
        <w:tblPrEx>
          <w:tblCellMar>
            <w:top w:w="0" w:type="dxa"/>
            <w:bottom w:w="0" w:type="dxa"/>
          </w:tblCellMar>
        </w:tblPrEx>
        <w:tc>
          <w:tcPr>
            <w:tcW w:w="500" w:type="dxa"/>
          </w:tcPr>
          <w:p w:rsidR="006C7E4C" w:rsidRDefault="00147E68">
            <w:r>
              <w:t>1</w:t>
            </w:r>
          </w:p>
        </w:tc>
        <w:tc>
          <w:tcPr>
            <w:tcW w:w="3200" w:type="dxa"/>
          </w:tcPr>
          <w:p w:rsidR="006C7E4C" w:rsidRDefault="00147E68">
            <w:r>
              <w:t>Reduce response times to meet country-specific SLA baselines, prioritising the High-Engagement patient segment</w:t>
            </w:r>
          </w:p>
        </w:tc>
        <w:tc>
          <w:tcPr>
            <w:tcW w:w="1700" w:type="dxa"/>
          </w:tcPr>
          <w:p w:rsidR="006C7E4C" w:rsidRDefault="00147E68">
            <w:r>
              <w:t>Coordinator Ops Lead</w:t>
            </w:r>
          </w:p>
        </w:tc>
        <w:tc>
          <w:tcPr>
            <w:tcW w:w="2000" w:type="dxa"/>
          </w:tcPr>
          <w:p w:rsidR="006C7E4C" w:rsidRDefault="00147E68">
            <w:r>
              <w:t>Up to 17pp lift in consultation and treatment completion rates</w:t>
            </w:r>
          </w:p>
        </w:tc>
        <w:tc>
          <w:tcPr>
            <w:tcW w:w="1700" w:type="dxa"/>
          </w:tcPr>
          <w:p w:rsidR="006C7E4C" w:rsidRDefault="00147E68">
            <w:r>
              <w:t>SLA Breach R</w:t>
            </w:r>
            <w:r>
              <w:t>ate, Consultation Conversion Rate</w:t>
            </w:r>
          </w:p>
        </w:tc>
        <w:tc>
          <w:tcPr>
            <w:tcW w:w="1660" w:type="dxa"/>
          </w:tcPr>
          <w:p w:rsidR="006C7E4C" w:rsidRDefault="00147E68">
            <w:r>
              <w:t>Requires additional coordinator capacity or workflow automation</w:t>
            </w:r>
          </w:p>
        </w:tc>
      </w:tr>
      <w:tr w:rsidR="006C7E4C">
        <w:tblPrEx>
          <w:tblCellMar>
            <w:top w:w="0" w:type="dxa"/>
            <w:bottom w:w="0" w:type="dxa"/>
          </w:tblCellMar>
        </w:tblPrEx>
        <w:tc>
          <w:tcPr>
            <w:tcW w:w="500" w:type="dxa"/>
          </w:tcPr>
          <w:p w:rsidR="006C7E4C" w:rsidRDefault="00147E68">
            <w:r>
              <w:t>2</w:t>
            </w:r>
          </w:p>
        </w:tc>
        <w:tc>
          <w:tcPr>
            <w:tcW w:w="3200" w:type="dxa"/>
          </w:tcPr>
          <w:p w:rsidR="006C7E4C" w:rsidRDefault="00147E68">
            <w:r>
              <w:t>Review underperforming providers (Segment: Underperforming, n=13) for case-mix-adjusted performance before reallocating case volume</w:t>
            </w:r>
          </w:p>
        </w:tc>
        <w:tc>
          <w:tcPr>
            <w:tcW w:w="1700" w:type="dxa"/>
          </w:tcPr>
          <w:p w:rsidR="006C7E4C" w:rsidRDefault="00147E68">
            <w:r>
              <w:t>Provider Partnerships Manager</w:t>
            </w:r>
          </w:p>
        </w:tc>
        <w:tc>
          <w:tcPr>
            <w:tcW w:w="2000" w:type="dxa"/>
          </w:tcPr>
          <w:p w:rsidR="006C7E4C" w:rsidRDefault="00147E68">
            <w:r>
              <w:t>Prevents unfair provider penalisation; identifies true skill gaps</w:t>
            </w:r>
          </w:p>
        </w:tc>
        <w:tc>
          <w:tcPr>
            <w:tcW w:w="1700" w:type="dxa"/>
          </w:tcPr>
          <w:p w:rsidR="006C7E4C" w:rsidRDefault="00147E68">
            <w:r>
              <w:t>Provider Intelligence Score (case-mix adjusted)</w:t>
            </w:r>
          </w:p>
        </w:tc>
        <w:tc>
          <w:tcPr>
            <w:tcW w:w="1660" w:type="dxa"/>
          </w:tcPr>
          <w:p w:rsidR="006C7E4C" w:rsidRDefault="00147E68">
            <w:r>
              <w:t>Risk of misattributing case-mix effects to provider skill if adjustment is skipped</w:t>
            </w:r>
          </w:p>
        </w:tc>
      </w:tr>
      <w:tr w:rsidR="006C7E4C">
        <w:tblPrEx>
          <w:tblCellMar>
            <w:top w:w="0" w:type="dxa"/>
            <w:bottom w:w="0" w:type="dxa"/>
          </w:tblCellMar>
        </w:tblPrEx>
        <w:tc>
          <w:tcPr>
            <w:tcW w:w="500" w:type="dxa"/>
          </w:tcPr>
          <w:p w:rsidR="006C7E4C" w:rsidRDefault="00147E68">
            <w:r>
              <w:t>3</w:t>
            </w:r>
          </w:p>
        </w:tc>
        <w:tc>
          <w:tcPr>
            <w:tcW w:w="3200" w:type="dxa"/>
          </w:tcPr>
          <w:p w:rsidR="006C7E4C" w:rsidRDefault="00147E68">
            <w:r>
              <w:t>Investigate root causes of lower Urgent-</w:t>
            </w:r>
            <w:proofErr w:type="spellStart"/>
            <w:r>
              <w:t>case</w:t>
            </w:r>
            <w:proofErr w:type="spellEnd"/>
            <w:r>
              <w:t xml:space="preserve"> completion (cost, process friction, capacity) via targeted coordinator interviews</w:t>
            </w:r>
          </w:p>
        </w:tc>
        <w:tc>
          <w:tcPr>
            <w:tcW w:w="1700" w:type="dxa"/>
          </w:tcPr>
          <w:p w:rsidR="006C7E4C" w:rsidRDefault="00147E68">
            <w:r>
              <w:t>Analytics Manager</w:t>
            </w:r>
          </w:p>
        </w:tc>
        <w:tc>
          <w:tcPr>
            <w:tcW w:w="2000" w:type="dxa"/>
          </w:tcPr>
          <w:p w:rsidR="006C7E4C" w:rsidRDefault="00147E68">
            <w:r>
              <w:t>Potential recovery of ~9pp completion gap on Urgent cases</w:t>
            </w:r>
          </w:p>
        </w:tc>
        <w:tc>
          <w:tcPr>
            <w:tcW w:w="1700" w:type="dxa"/>
          </w:tcPr>
          <w:p w:rsidR="006C7E4C" w:rsidRDefault="00147E68">
            <w:r>
              <w:t>Treatment Completion Rate (Urgent segment)</w:t>
            </w:r>
          </w:p>
        </w:tc>
        <w:tc>
          <w:tcPr>
            <w:tcW w:w="1660" w:type="dxa"/>
          </w:tcPr>
          <w:p w:rsidR="006C7E4C" w:rsidRDefault="00147E68">
            <w:r>
              <w:t>Root cause</w:t>
            </w:r>
            <w:r>
              <w:t xml:space="preserve"> not yet confirmed; requires qualitative follow-up</w:t>
            </w:r>
          </w:p>
        </w:tc>
      </w:tr>
      <w:tr w:rsidR="006C7E4C">
        <w:tblPrEx>
          <w:tblCellMar>
            <w:top w:w="0" w:type="dxa"/>
            <w:bottom w:w="0" w:type="dxa"/>
          </w:tblCellMar>
        </w:tblPrEx>
        <w:tc>
          <w:tcPr>
            <w:tcW w:w="500" w:type="dxa"/>
          </w:tcPr>
          <w:p w:rsidR="006C7E4C" w:rsidRDefault="00147E68">
            <w:r>
              <w:t>4</w:t>
            </w:r>
          </w:p>
        </w:tc>
        <w:tc>
          <w:tcPr>
            <w:tcW w:w="3200" w:type="dxa"/>
          </w:tcPr>
          <w:p w:rsidR="006C7E4C" w:rsidRDefault="00147E68">
            <w:r>
              <w:t>Deploy drop-off risk model as a coordinator triage aid, flagging top-risk patients for manual outreach</w:t>
            </w:r>
          </w:p>
        </w:tc>
        <w:tc>
          <w:tcPr>
            <w:tcW w:w="1700" w:type="dxa"/>
          </w:tcPr>
          <w:p w:rsidR="006C7E4C" w:rsidRDefault="00147E68">
            <w:r>
              <w:t>Analytics Manager / Coordinator Ops</w:t>
            </w:r>
          </w:p>
        </w:tc>
        <w:tc>
          <w:tcPr>
            <w:tcW w:w="2000" w:type="dxa"/>
          </w:tcPr>
          <w:p w:rsidR="006C7E4C" w:rsidRDefault="00147E68">
            <w:r>
              <w:t>Earlier intervention on ~61% of at-risk patients (model recall)</w:t>
            </w:r>
          </w:p>
        </w:tc>
        <w:tc>
          <w:tcPr>
            <w:tcW w:w="1700" w:type="dxa"/>
          </w:tcPr>
          <w:p w:rsidR="006C7E4C" w:rsidRDefault="00147E68">
            <w:r>
              <w:t>Communication Coverage, Drop-off Rate</w:t>
            </w:r>
          </w:p>
        </w:tc>
        <w:tc>
          <w:tcPr>
            <w:tcW w:w="1660" w:type="dxa"/>
          </w:tcPr>
          <w:p w:rsidR="006C7E4C" w:rsidRDefault="00147E68">
            <w:r>
              <w:t>Model precision (35.5%) means some low-risk patients will also be flagged; treat as a prioritisation aid, not automation</w:t>
            </w:r>
          </w:p>
        </w:tc>
      </w:tr>
      <w:tr w:rsidR="006C7E4C">
        <w:tblPrEx>
          <w:tblCellMar>
            <w:top w:w="0" w:type="dxa"/>
            <w:bottom w:w="0" w:type="dxa"/>
          </w:tblCellMar>
        </w:tblPrEx>
        <w:tc>
          <w:tcPr>
            <w:tcW w:w="500" w:type="dxa"/>
          </w:tcPr>
          <w:p w:rsidR="006C7E4C" w:rsidRDefault="00147E68">
            <w:r>
              <w:t>5</w:t>
            </w:r>
          </w:p>
        </w:tc>
        <w:tc>
          <w:tcPr>
            <w:tcW w:w="3200" w:type="dxa"/>
          </w:tcPr>
          <w:p w:rsidR="006C7E4C" w:rsidRDefault="00147E68">
            <w:r>
              <w:t>Use High-Performing provider practices (Segment 0) as an internal benchmark for coordinator t</w:t>
            </w:r>
            <w:r>
              <w:t>raining</w:t>
            </w:r>
          </w:p>
        </w:tc>
        <w:tc>
          <w:tcPr>
            <w:tcW w:w="1700" w:type="dxa"/>
          </w:tcPr>
          <w:p w:rsidR="006C7E4C" w:rsidRDefault="00147E68">
            <w:r>
              <w:t>Analytics Manager</w:t>
            </w:r>
          </w:p>
        </w:tc>
        <w:tc>
          <w:tcPr>
            <w:tcW w:w="2000" w:type="dxa"/>
          </w:tcPr>
          <w:p w:rsidR="006C7E4C" w:rsidRDefault="00147E68">
            <w:r>
              <w:t>Potential uplift in average completion rate across underperforming tier</w:t>
            </w:r>
          </w:p>
        </w:tc>
        <w:tc>
          <w:tcPr>
            <w:tcW w:w="1700" w:type="dxa"/>
          </w:tcPr>
          <w:p w:rsidR="006C7E4C" w:rsidRDefault="00147E68">
            <w:r>
              <w:t>Treatment Completion Rate (provider-level)</w:t>
            </w:r>
          </w:p>
        </w:tc>
        <w:tc>
          <w:tcPr>
            <w:tcW w:w="1660" w:type="dxa"/>
          </w:tcPr>
          <w:p w:rsidR="006C7E4C" w:rsidRDefault="00147E68">
            <w:r>
              <w:t xml:space="preserve">Requires qualitative process study, not </w:t>
            </w:r>
            <w:r>
              <w:lastRenderedPageBreak/>
              <w:t>derivable from data alone</w:t>
            </w:r>
          </w:p>
        </w:tc>
      </w:tr>
    </w:tbl>
    <w:p w:rsidR="006C7E4C" w:rsidRDefault="00147E68">
      <w:pPr>
        <w:pStyle w:val="Heading1"/>
        <w:spacing w:before="300" w:after="150"/>
      </w:pPr>
      <w:r>
        <w:lastRenderedPageBreak/>
        <w:t>6. Risks &amp; Next Steps</w:t>
      </w:r>
    </w:p>
    <w:p w:rsidR="006C7E4C" w:rsidRDefault="00147E68">
      <w:pPr>
        <w:pStyle w:val="ListParagraph"/>
        <w:numPr>
          <w:ilvl w:val="0"/>
          <w:numId w:val="1"/>
        </w:numPr>
        <w:spacing w:after="80"/>
      </w:pPr>
      <w:r>
        <w:t>Statistical significance of the SLA breach effect should be confirmed via chi-square testing (prepared in the SQL layer, executed in Python) before being treated as causal.</w:t>
      </w:r>
    </w:p>
    <w:p w:rsidR="006C7E4C" w:rsidRDefault="00147E68">
      <w:pPr>
        <w:pStyle w:val="ListParagraph"/>
        <w:numPr>
          <w:ilvl w:val="0"/>
          <w:numId w:val="1"/>
        </w:numPr>
        <w:spacing w:after="80"/>
      </w:pPr>
      <w:r>
        <w:t>Provider case-mix adjustment (urgency-weighted scorecard) should be built before an</w:t>
      </w:r>
      <w:r>
        <w:t>y provider-facing performance conversations.</w:t>
      </w:r>
    </w:p>
    <w:p w:rsidR="006C7E4C" w:rsidRDefault="00147E68">
      <w:pPr>
        <w:pStyle w:val="ListParagraph"/>
        <w:numPr>
          <w:ilvl w:val="0"/>
          <w:numId w:val="1"/>
        </w:numPr>
        <w:spacing w:after="80"/>
      </w:pPr>
      <w:r>
        <w:t>Drop-off model recall (61.4%) and precision (35.5%) reflect an intentional, business-motivated threshold choice; this should be revisited if actual intervention costs differ from assumptions.</w:t>
      </w:r>
    </w:p>
    <w:p w:rsidR="006C7E4C" w:rsidRDefault="00147E68">
      <w:pPr>
        <w:pStyle w:val="ListParagraph"/>
        <w:numPr>
          <w:ilvl w:val="0"/>
          <w:numId w:val="1"/>
        </w:numPr>
        <w:spacing w:after="80"/>
      </w:pPr>
      <w:r>
        <w:t>Segmentation silhou</w:t>
      </w:r>
      <w:r>
        <w:t>ette scores (0.20 patients, 0.38 providers) indicate genuine but moderately overlapping structure; segments should be treated as directional prioritisation groups, not hard rules.</w:t>
      </w:r>
    </w:p>
    <w:p w:rsidR="006C7E4C" w:rsidRDefault="00147E68">
      <w:pPr>
        <w:pStyle w:val="ListParagraph"/>
        <w:numPr>
          <w:ilvl w:val="0"/>
          <w:numId w:val="1"/>
        </w:numPr>
        <w:spacing w:after="80"/>
      </w:pPr>
      <w:r>
        <w:t>Recommended next step: pilot the SLA response-time improvement (Recommendati</w:t>
      </w:r>
      <w:r>
        <w:t>on 1) on the High-Engagement segment for one quarter and measure completion-rate lift before wider rollout.</w:t>
      </w:r>
    </w:p>
    <w:p w:rsidR="006C7E4C" w:rsidRDefault="00147E68">
      <w:pPr>
        <w:pStyle w:val="Heading1"/>
        <w:spacing w:before="300" w:after="150"/>
      </w:pPr>
      <w:r>
        <w:t>7. Data Ethics &amp; Scope Notes</w:t>
      </w:r>
    </w:p>
    <w:p w:rsidR="006C7E4C" w:rsidRDefault="00147E68">
      <w:pPr>
        <w:pStyle w:val="ListParagraph"/>
        <w:numPr>
          <w:ilvl w:val="0"/>
          <w:numId w:val="1"/>
        </w:numPr>
        <w:spacing w:after="80"/>
      </w:pPr>
      <w:r>
        <w:t>No clinical, diagnostic, or treatment-efficacy claims are made anywhere in this analysis.</w:t>
      </w:r>
    </w:p>
    <w:p w:rsidR="006C7E4C" w:rsidRDefault="00147E68">
      <w:pPr>
        <w:pStyle w:val="ListParagraph"/>
        <w:numPr>
          <w:ilvl w:val="0"/>
          <w:numId w:val="1"/>
        </w:numPr>
        <w:spacing w:after="80"/>
      </w:pPr>
      <w:r>
        <w:t>No personal identifiers beyon</w:t>
      </w:r>
      <w:r>
        <w:t xml:space="preserve">d </w:t>
      </w:r>
      <w:proofErr w:type="spellStart"/>
      <w:r>
        <w:t>patient_id</w:t>
      </w:r>
      <w:proofErr w:type="spellEnd"/>
      <w:r>
        <w:t xml:space="preserve"> were used at any stage.</w:t>
      </w:r>
    </w:p>
    <w:p w:rsidR="006C7E4C" w:rsidRDefault="00147E68">
      <w:pPr>
        <w:pStyle w:val="ListParagraph"/>
        <w:numPr>
          <w:ilvl w:val="0"/>
          <w:numId w:val="1"/>
        </w:numPr>
        <w:spacing w:after="80"/>
      </w:pPr>
      <w:r>
        <w:t>All causal language is limited to associations verified through explicit hypothesis testing; correlational findings are labelled as such.</w:t>
      </w:r>
    </w:p>
    <w:p w:rsidR="006C7E4C" w:rsidRDefault="00147E68">
      <w:pPr>
        <w:pStyle w:val="ListParagraph"/>
        <w:numPr>
          <w:ilvl w:val="0"/>
          <w:numId w:val="1"/>
        </w:numPr>
        <w:spacing w:after="80"/>
      </w:pPr>
      <w:r>
        <w:t>Full assumptions logs, data quality checks, and reproducible code are available i</w:t>
      </w:r>
      <w:r>
        <w:t xml:space="preserve">n the accompanying notebooks, SQL script, and </w:t>
      </w:r>
      <w:proofErr w:type="spellStart"/>
      <w:r>
        <w:t>src</w:t>
      </w:r>
      <w:proofErr w:type="spellEnd"/>
      <w:r>
        <w:t>/ package.</w:t>
      </w:r>
    </w:p>
    <w:sectPr w:rsidR="006C7E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CAE2011"/>
    <w:multiLevelType w:val="hybridMultilevel"/>
    <w:tmpl w:val="A5FE7888"/>
    <w:lvl w:ilvl="0" w:tplc="8D58DE6E">
      <w:start w:val="1"/>
      <w:numFmt w:val="bullet"/>
      <w:lvlText w:val="●"/>
      <w:lvlJc w:val="left"/>
      <w:pPr>
        <w:ind w:left="720" w:hanging="360"/>
      </w:pPr>
    </w:lvl>
    <w:lvl w:ilvl="1" w:tplc="CBBA264A">
      <w:start w:val="1"/>
      <w:numFmt w:val="bullet"/>
      <w:lvlText w:val="○"/>
      <w:lvlJc w:val="left"/>
      <w:pPr>
        <w:ind w:left="1440" w:hanging="360"/>
      </w:pPr>
    </w:lvl>
    <w:lvl w:ilvl="2" w:tplc="3AEE393A">
      <w:start w:val="1"/>
      <w:numFmt w:val="bullet"/>
      <w:lvlText w:val="■"/>
      <w:lvlJc w:val="left"/>
      <w:pPr>
        <w:ind w:left="2160" w:hanging="360"/>
      </w:pPr>
    </w:lvl>
    <w:lvl w:ilvl="3" w:tplc="C69E33B8">
      <w:start w:val="1"/>
      <w:numFmt w:val="bullet"/>
      <w:lvlText w:val="●"/>
      <w:lvlJc w:val="left"/>
      <w:pPr>
        <w:ind w:left="2880" w:hanging="360"/>
      </w:pPr>
    </w:lvl>
    <w:lvl w:ilvl="4" w:tplc="9880D77A">
      <w:start w:val="1"/>
      <w:numFmt w:val="bullet"/>
      <w:lvlText w:val="○"/>
      <w:lvlJc w:val="left"/>
      <w:pPr>
        <w:ind w:left="3600" w:hanging="360"/>
      </w:pPr>
    </w:lvl>
    <w:lvl w:ilvl="5" w:tplc="13C6F022">
      <w:start w:val="1"/>
      <w:numFmt w:val="bullet"/>
      <w:lvlText w:val="■"/>
      <w:lvlJc w:val="left"/>
      <w:pPr>
        <w:ind w:left="4320" w:hanging="360"/>
      </w:pPr>
    </w:lvl>
    <w:lvl w:ilvl="6" w:tplc="E1D66650">
      <w:start w:val="1"/>
      <w:numFmt w:val="bullet"/>
      <w:lvlText w:val="●"/>
      <w:lvlJc w:val="left"/>
      <w:pPr>
        <w:ind w:left="5040" w:hanging="360"/>
      </w:pPr>
    </w:lvl>
    <w:lvl w:ilvl="7" w:tplc="9A1A618A">
      <w:start w:val="1"/>
      <w:numFmt w:val="bullet"/>
      <w:lvlText w:val="●"/>
      <w:lvlJc w:val="left"/>
      <w:pPr>
        <w:ind w:left="5760" w:hanging="360"/>
      </w:pPr>
    </w:lvl>
    <w:lvl w:ilvl="8" w:tplc="47086A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E4C"/>
    <w:rsid w:val="00147E68"/>
    <w:rsid w:val="006C7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6EB318-7083-45C9-8926-329E69D2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1290</Words>
  <Characters>7353</Characters>
  <Application>Microsoft Office Word</Application>
  <DocSecurity>0</DocSecurity>
  <Lines>61</Lines>
  <Paragraphs>17</Paragraphs>
  <ScaleCrop>false</ScaleCrop>
  <Company>HP</Company>
  <LinksUpToDate>false</LinksUpToDate>
  <CharactersWithSpaces>8626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2026-08-13T17:46:00Z</dcterms:created>
  <dcterms:modified xsi:type="dcterms:W3CDTF">2026-08-13T17:52:00Z</dcterms:modified>
</cp:coreProperties>
</file>