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Transcription: </w:t>
      </w:r>
      <w:r w:rsidDel="00000000" w:rsidR="00000000" w:rsidRPr="00000000">
        <w:rPr>
          <w:rFonts w:ascii="Google Sans" w:cs="Google Sans" w:eastAsia="Google Sans" w:hAnsi="Google Sans"/>
          <w:b w:val="1"/>
          <w:bCs w:val="1"/>
          <w:i w:val="1"/>
          <w:iCs w:val="1"/>
          <w:color w:val="1f1f1f"/>
          <w:sz w:val="36"/>
          <w:szCs w:val="36"/>
          <w:rtl w:val="0"/>
        </w:rPr>
        <w:t xml:space="preserve">Fixing the unyts Directed Graph Manual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Today’s critique explores the user manual for </w:t>
      </w:r>
      <w:r w:rsidDel="00000000" w:rsidR="00000000" w:rsidRPr="00000000">
        <w:rPr>
          <w:rFonts w:ascii="Google Sans" w:cs="Google Sans" w:eastAsia="Google Sans" w:hAnsi="Google Sans"/>
          <w:b w:val="1"/>
          <w:bCs w:val="1"/>
          <w:color w:val="1f1f1f"/>
          <w:rtl w:val="0"/>
        </w:rPr>
        <w:t xml:space="preserve">unyts</w:t>
      </w:r>
      <w:r w:rsidDel="00000000" w:rsidR="00000000" w:rsidRPr="00000000">
        <w:rPr>
          <w:rFonts w:ascii="Google Sans" w:cs="Google Sans" w:eastAsia="Google Sans" w:hAnsi="Google Sans"/>
          <w:color w:val="1f1f1f"/>
          <w:rtl w:val="0"/>
        </w:rPr>
        <w:t xml:space="preserve">, a Python package that revolutionizes unit conversion by replacing traditional lookup tables with </w:t>
      </w:r>
      <w:r w:rsidDel="00000000" w:rsidR="00000000" w:rsidRPr="00000000">
        <w:rPr>
          <w:rFonts w:ascii="Google Sans" w:cs="Google Sans" w:eastAsia="Google Sans" w:hAnsi="Google Sans"/>
          <w:b w:val="1"/>
          <w:bCs w:val="1"/>
          <w:color w:val="1f1f1f"/>
          <w:rtl w:val="0"/>
        </w:rPr>
        <w:t xml:space="preserve">directed graph networks</w:t>
      </w:r>
      <w:r w:rsidDel="00000000" w:rsidR="00000000" w:rsidRPr="00000000">
        <w:rPr>
          <w:rFonts w:ascii="Google Sans" w:cs="Google Sans" w:eastAsia="Google Sans" w:hAnsi="Google Sans"/>
          <w:color w:val="1f1f1f"/>
          <w:rtl w:val="0"/>
        </w:rPr>
        <w:t xml:space="preserve"> and advanced search algorithms.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Yeah, it’s a—it’s a fascinating approach to the problem.</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The current document structure inadvertently delays the user’s time to value by prioritizing deep algorithmic theory over practical installation and basic usage.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Because right now, um, the manual places highly technical explanations of graph theory, like </w:t>
      </w:r>
      <w:r w:rsidDel="00000000" w:rsidR="00000000" w:rsidRPr="00000000">
        <w:rPr>
          <w:rFonts w:ascii="Google Sans" w:cs="Google Sans" w:eastAsia="Google Sans" w:hAnsi="Google Sans"/>
          <w:b w:val="1"/>
          <w:bCs w:val="1"/>
          <w:color w:val="1f1f1f"/>
          <w:rtl w:val="0"/>
        </w:rPr>
        <w:t xml:space="preserve">breadth-first search</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network pruning</w:t>
      </w:r>
      <w:r w:rsidDel="00000000" w:rsidR="00000000" w:rsidRPr="00000000">
        <w:rPr>
          <w:rFonts w:ascii="Google Sans" w:cs="Google Sans" w:eastAsia="Google Sans" w:hAnsi="Google Sans"/>
          <w:color w:val="1f1f1f"/>
          <w:rtl w:val="0"/>
        </w:rPr>
        <w:t xml:space="preserve">, right up front in chapters two and three.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And—and that effectively buries the essential stuff, right?.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The installation and quick-start guides are pushed all the way back to chapters five and six.</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Wow.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Yeah. So by assuming the user needs to, uh, understand </w:t>
      </w:r>
      <w:r w:rsidDel="00000000" w:rsidR="00000000" w:rsidRPr="00000000">
        <w:rPr>
          <w:rFonts w:ascii="Google Sans" w:cs="Google Sans" w:eastAsia="Google Sans" w:hAnsi="Google Sans"/>
          <w:b w:val="1"/>
          <w:bCs w:val="1"/>
          <w:color w:val="1f1f1f"/>
          <w:rtl w:val="0"/>
        </w:rPr>
        <w:t xml:space="preserve">bidirectional edges</w:t>
      </w:r>
      <w:r w:rsidDel="00000000" w:rsidR="00000000" w:rsidRPr="00000000">
        <w:rPr>
          <w:rFonts w:ascii="Google Sans" w:cs="Google Sans" w:eastAsia="Google Sans" w:hAnsi="Google Sans"/>
          <w:color w:val="1f1f1f"/>
          <w:rtl w:val="0"/>
        </w:rPr>
        <w:t xml:space="preserve"> and the udigraph class before they can simply convert 10 feet to meters, the document just creates unnecessary friction for users who just want to get the tool up and running.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I—I wonder though, uh, if we’ve considered the target audience here. Like what their baseline expectations might be.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How do you mean?.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Well, if this is a Python package explicitly replacing traditional, well-understood lookup tables with a—a highly complex directed graph network....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Mm-hm.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...wouldn’t a data scientist or a systems engineer actually want to see the mathematical proof up front? I mean, if I’m evaluating a new dependency that claims to completely revolutionize how my application handles unit conversion, I might not trust a black box.</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That’s fair.</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 might actually want to see those bidirectional edges and understand the udigraph class before I let it anywhere near my production environment.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 hear ya. That’s a fair point, and—and establishing trust is definitely critical for adoption. But we have to think about the cognitive load and—and just the reality of how developers evaluate software in the wild.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Yeah, the "Friday afternoon scenario".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We’ve all been there. You’re staring at a massive documentation PDF at 4:00 in the afternoon on a Friday, just looking for the quick-start block so you can test if the library even compiles in your environment.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Oh yeah.</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When an engineer opens this manual, their immediate, primary goal is validation. They want to know: "Does this install smoothly, and can it solve my immediate problem?".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The classic "just let me pip install it" moment.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I know that feeling intimately. You have about, what, 30 seconds to hook a user before they close the tab and look for an alternative package on PyPI.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Exactly. And right now, when they open this document, they skip past the brief introduction and are immediately confronted with the mathematical formulations of a directed graph where $V$ equals a set of vertices and $E$ is a subset of $V \times V$.</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That is intense for page two.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It creates a massive cognitive barrier. It asks the reader to invest heavily in understanding the under-the-hood engine mechanics before they’re even allowed to turn the key in the ignition.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So even if the underlying architecture is brilliant, leading with it inadvertently makes the package look incredibly complicated to use.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You’re saying the structural pacing actually works against the author’s own intent?.</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Completely. Because the author has built this incredibly sophisticated system that automatically discovers conversion paths without needing thousands of hard-coded lookup tables.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which is amazing.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the actual user-facing API is beautifully simple. But by putting the spotlight entirely on the internal class structures—like the unode class with its slots and hashing methods—right there in chapter two, the manual completely hides that simplicity.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It’s a really common trap when documenting complex software. The creator is so deeply immersed in the brilliance of the architecture that they just lead with the architecture.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Makes sense.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But if we want to improve this reading experience, we really should be looking at a </w:t>
      </w:r>
      <w:r w:rsidDel="00000000" w:rsidR="00000000" w:rsidRPr="00000000">
        <w:rPr>
          <w:rFonts w:ascii="Google Sans" w:cs="Google Sans" w:eastAsia="Google Sans" w:hAnsi="Google Sans"/>
          <w:b w:val="1"/>
          <w:bCs w:val="1"/>
          <w:color w:val="1f1f1f"/>
          <w:rtl w:val="0"/>
        </w:rPr>
        <w:t xml:space="preserve">progressive disclosure model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Okay.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 immediate practical application has to precede the theoretical mechanics.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So, how would you suggest we flip the script on this to achieve that progressive disclosure?.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We just need to give the user an immediate win.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Okay.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We should take chapter five—the installation guide—and chapter six—the quick-start guide—and move them right to the front. Make them chapter two and chapter three, immediately following the intro.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Oh, that immediately changes the entire onboarding experience. It completely transforms the narrative flow.</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Because this simple structural flip allows a user to read the brief intro, immediately run the install command in their terminal, and then execute a basic NumPy array conversion using the core functions.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They get to experience the magic of the tool firsthand within two minutes of opening the manual. They get that hit of dopamine that comes from seeing the code actually work on their machine.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Exactly! Now, once we’ve secured that immediate user buy-in with the quick start, what happens to those deep architectural dives?.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because we don’t want to lose the mathematical rigor that proves the tool’s worth, especially given the point about engineers needing to verify the methodology.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We don’t lose it at all; we just shift the timing of when we present it to the reader. We can relegate those detailed explanations of the algorithms—the </w:t>
      </w:r>
      <w:r w:rsidDel="00000000" w:rsidR="00000000" w:rsidRPr="00000000">
        <w:rPr>
          <w:rFonts w:ascii="Google Sans" w:cs="Google Sans" w:eastAsia="Google Sans" w:hAnsi="Google Sans"/>
          <w:b w:val="1"/>
          <w:bCs w:val="1"/>
          <w:color w:val="1f1f1f"/>
          <w:rtl w:val="0"/>
        </w:rPr>
        <w:t xml:space="preserve">lean breadth-first search</w:t>
      </w:r>
      <w:r w:rsidDel="00000000" w:rsidR="00000000" w:rsidRPr="00000000">
        <w:rPr>
          <w:rFonts w:ascii="Google Sans" w:cs="Google Sans" w:eastAsia="Google Sans" w:hAnsi="Google Sans"/>
          <w:color w:val="1f1f1f"/>
          <w:rtl w:val="0"/>
        </w:rPr>
        <w:t xml:space="preserve">, the parallel hybrid execution, and the node-edge dictionaries—to a later section.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Like an "Advanced Architecture" chapter?.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Or "Under the Hood." That way, the user decides when they are ready to read about the multi-generation search depth strategy. They aren’t forced to wade through pages of theory just to figure out how to import the library into their script.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Precisely. Give them the summary, let them install it, let them see it work, and then invite them to look at the engine. It honors both the casual user who just needs a quick conversion and the advanced user who wants to thoroughly verify the directed graph methodology before deploying it at scale.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That’s a huge structural win.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It is. Now, moving deeper into the theory section itself: the architectural explanation of the directed graph effectively highlights valid path discovery but neglects to detail the explicit mechanisms for halting invalid queries between incompatible dimensions.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That’s an interesting angle to take. Why is that?.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Because when I was reviewing chapter three, I thought it did a really thorough job outlining how algorithms like the lean breadth-first search find the shortest path between connected nodes. Are you saying that focusing on the successful "happy path" is actually a detriment here?.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It leaves a glaring blind spot regarding failure states. I mean, the text beautifully explains how to get from point A to point B.</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Yeah.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...but it fails to adequately explain what happens programmatically when a user mistakenly tries to convert fundamentally incompatible units—like a length unit to a mass unit—without setting a density bridge to connect those two worlds.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Is that really a common enough scenario to warrant a whole section in the theory chapters, though?.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 think so. Because if a user asks the system to convert meters to kilograms, obviously it’s going to fail. Doesn’t it just throw an error eventually?.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 word "eventually" is the exact problem we need to address here.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Oh, okay.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Think about the reality of everyday engineering and data science workflows. Users make typos all the time.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Guilty.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They accidentally try to convert a dynamic rate—like kilograms per second—into a static volume—like liters.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Yeah, that happens.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Now, in a massive graph network with thousands of unit nodes, a naive search algorithm could waste significant compute cycles and memory spinning its wheels in a completely disconnected subgraph, desperately looking for a path that simply doesn’t exist.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Ah, I see what you’re getting at now. If the algorithm is testing increasing depths—zero, one, two, three, five, seven, all the way up to a maximum generation depth of 25—an exhaustive search for an impossible conversion could theoretically hang an application.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It would just keep searching further and further out into the network.</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...and the text briefly mentions a "no conversion found" error way down in the troubleshooting chapter, almost as an afterthought.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Right.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But the theoretical chapters lack a thorough explanation of how the graph efficiently prunes or rejects these impossible dimensional traversals. It treats the failure state as an appendix-level troubleshooting issue....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...instead of highlighting it as a feature!.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It needs to highlight the system’s robust error-handling architecture as a core, computationally defensive feature.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That makes a lot of sense. Good documentation doesn’t just show how the software behaves when everything goes right; it reassures the user that the software won’t crash their system when things go wrong.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Absolutely.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So we should expand the theoretical chapters to explicitly detail the package’s "fail-fast" mechanisms and dimensional validation boundaries during the search phase.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Yes. Let’s look closely at the section discussing the lean breadth-first search. The manual explains that this optimized search computes the descendants of the start node up to a certain depth and simultaneously computes the descendants of the end node.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then finds the intersection of those two sets to build a slimmed-down network path.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So, instead of just showing how that intersection builds a successful path, the author could add a dedicated subsection explicitly explaining how the algorithm handles completely disconnected subgraphs.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Oh, this is a fantastic opportunity to show off the mathematical elegance of the intersection logic.</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We can detail whether the get_descendants function immediately recognizes that the intersection of the descendants of a mass node—like a kilogram—and the descendants of a length node—like a meter—is a fundamentally empty set.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if it realizes it’s an empty set right out of the gate, they need to explain exactly how that triggers a failure in $O(1)$ 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Meaning it happens instantly?.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Instantly. In constant time, regardless of the size of the network. It just stops, rather than forcing the algorithm to uselessly exhaust that maximum generation depth of 25.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That’s huge! Because this isn’t just about documenting an error code; it’s about proving to the reader that the architecture is highly optimized even when it’s handed bad input.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 It completely shifts the perception of the tool. You go from "here’s how my code works when you use it perfectly" to "here’s how my code protects your system’s memory and CPU when you make a mistake." Showing how elegantly it handles an impossible request proves its maturity.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And another way to tackle this visually would be to include a diagram. They already use some great node and edge diagrams for the successful search paths.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Yeah, the diagrams are good.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They could include one showing a "severed bridge" between the mass network and the volume network. By explicitly demonstrating how the absence of a set density constant acts as a dimensional firewall, they make the abstract math of an empty set intersection immediately concrete for the reader.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Visualizing that firewall would be incredibly helpful.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Definitely. Now, looking at the examples they use to demonstrate these concepts throughout the text: the manual relies heavily on simplistic examples that fail to adequately showcase the system’s unique capability to parse and resolve highly complex, industry-specific compound units.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You’re talking about the core example used to demonstrate the graph search in chapter four, right? The walkthrough of converting 100 centimeters to inches?.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Yeah, that’s the 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 actually thought that was pretty accessible for a baseline demonstration. Is there a risk that starting with a highly complex compound unit might alienate a beginner who is just trying to grasp the basics of graph traversal?.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Accessibility is important, I agree. But relying on a trivial example like centimeters to inches actively undermines the manual’s central thesis from chapter one.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How so?.</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Well, the whole argument for building this package is that a graph-based approach is strictly necessary to prevent the exponential explosion of lookup tables for complex ratios.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Right.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If you’re trying to prove you’ve built a revolutionary directed graph network, doing a math problem that I can do in my head completely undersells the tech.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It’s like bringing a supercomputer to a spelling bee.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They spend pages outlining this groundbreaking network, detailing canonical paths, bidirectional edges, and modular structures....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then the grand payoff is a linear conversion that any basic lookup table or just a simple hard-coded multiplier could easily solve.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 reader is left looking at the page thinking, "Why do I need to import a multi-threaded parallel search algorithm just to multiply a number by 0.3937?".</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Yeah, that is a bit of a letdown.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The manual mentions in the introduction that ratios like standard barrels per day per psi cause lookup tables to explode into millions of rows, but then it completely abandons that compelling use case in the actual walkthroughs.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Which is a shame.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By leaning so heavily on a trivial conversion, it actually invites skepticism about the necessity of the entire package.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You’re right. The document creates a massive buildup for a very small payoff. We really need to see the engine redlining, not just idling in the driveway.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 love that analogy. What if the author integrated a highly complex, multi-dimensional running case study that spans the theoretical, API, and graphical chapters?.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That is exactly what’s needed to truly prove the necessity and superiority of the graph architecture. Let’s talk about how they could weave this complex case study throughout the fabric of the manual to tell a better story.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So if they want to fix this, they could swap out—or at least heavily supplement—that centimeter-to-inch walkthrough with the standard-barrels-per-day-per-psi example.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 Because that ratio that was only briefly teased in the introduction is a fantastic, meaty, real-world engineering problem.</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Let’s break down what that would actually look like on the page for the reader. The author should walk the reader step-by-step through exactly how the graph systematically separates the numerator and the denominator of that compound unit.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Right! Show the specific mechanics of it. They could detail how the algorithm isolates the numerator and finds the path for standard barrels—which is a surface volume—to reservoir barrels—which is a downhole volume.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And to make that jump, the system requires using the formation volume factor, or the FVF.</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Yes, that critical FVF variable that translates surface conditions to downhole conditions. They need to show how the system handles injecting that external variable into the graph....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...while it’s simultaneously traversing the entirely separate time hierarchy tree to convert days to seconds in the middle of the same operation!.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then it still has to handle the pressure conversions for the side denominator.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Exactly! The walkthrough needs to explicitly map out how the algorithm navigates these three entirely separate subgraphs—volume, time, and pressure—without losing track of the math.</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then finally, how it recombines this complex, multi-layered unit into a single conversion factor.</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And don’t forget the caching aspect, which is a massive selling point for the performance of the package. They should show how the system caches that final fractional result.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Oh, right! Because once it does all that heavy lifting to traverse three different subgraphs, the next time the user asks for that exact same complex conversion, the system retrieves it in constant time.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Right! The real power of a running case study like this is the narrative arc it creates across the whole document. You can carry that exact same complex example into the later chapters to build familiarity.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So when the manual gets to chapter seven for the graphical user interface, they shouldn’t just show a generic screenshot of the app’s home screen.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No! They should show a screenshot of a petroleum engineer actually executing that exact conversion in the GUI, checking the specific box to set the FVF constant in the options menu.</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And when you get to the Python API reference in chapter eight, show the code snippet for that exact same conversion being broadcast across a massive NumPy array.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By using a heavy-duty, domain-specific example from start to finish, you validate the core thesis of the package at every single touchpoint. It transforms the manual from a simple, disconnected reference sheet into a compelling proof of concept.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Exactly! And obviously, the author doesn’t have to use petroleum engineering; they might choose a different complex unit from aerospace—like specific impulse—or something from thermodynamics.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Sure. But the fundamental strategy of showcasing a multi-dimensional traversal remains the same. You have to show the tool doing something that a simple lookup table fundamentally cannot do.</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Well said. To recap: the manual can be significantly strengthened by moving the quick-start and installation chapters to the front for immediate user value.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Detail the graph’s fail-fast mechanisms for disconnected dimensions.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Right. And use a complex compound unit as a running example to prove the graph network’s superiority.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2:</w:t>
      </w:r>
      <w:r w:rsidDel="00000000" w:rsidR="00000000" w:rsidRPr="00000000">
        <w:rPr>
          <w:rFonts w:ascii="Google Sans" w:cs="Google Sans" w:eastAsia="Google Sans" w:hAnsi="Google Sans"/>
          <w:color w:val="1f1f1f"/>
          <w:rtl w:val="0"/>
        </w:rPr>
        <w:t xml:space="preserve"> Implementing these steps will really align the documentation with the brilliance of the underlying code, turning it into a seamless onboarding experience that builds trust from the very first page.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Speaker 1:</w:t>
      </w:r>
      <w:r w:rsidDel="00000000" w:rsidR="00000000" w:rsidRPr="00000000">
        <w:rPr>
          <w:rFonts w:ascii="Google Sans" w:cs="Google Sans" w:eastAsia="Google Sans" w:hAnsi="Google Sans"/>
          <w:color w:val="1f1f1f"/>
          <w:rtl w:val="0"/>
        </w:rPr>
        <w:t xml:space="preserve"> We invite the author to implement these revisions and submit the updated manual back for another critique.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create a summary of the recommended structural changes for this manual?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