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1D05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Skills</w:t>
      </w:r>
    </w:p>
    <w:p w14:paraId="380F3909">
      <w:pPr>
        <w:spacing w:line="360" w:lineRule="auto"/>
        <w:rPr>
          <w:rFonts w:hint="default" w:ascii="Times New Roman" w:hAnsi="Times New Roman" w:cs="Times New Roman"/>
          <w:sz w:val="24"/>
          <w:szCs w:val="24"/>
          <w:lang w:val="ru-RU"/>
        </w:rPr>
      </w:pPr>
      <w:r>
        <w:rPr>
          <w:rFonts w:hint="default" w:ascii="Times New Roman" w:hAnsi="Times New Roman" w:eastAsia="SimSun" w:cs="Times New Roman"/>
          <w:sz w:val="24"/>
          <w:szCs w:val="24"/>
        </w:rPr>
        <w:t>During the Investment Decision Analysis project, quantitative and statistical skills were demonstrated, including the calculation of stock returns, mean and median, standard deviation, mean absolute deviation (MAD), range, and overall growth using Excel. Correlation analysis was conducted to assess diversification potential, and price charts were created to</w:t>
      </w:r>
      <w:bookmarkStart w:id="0" w:name="_GoBack"/>
      <w:bookmarkEnd w:id="0"/>
      <w:r>
        <w:rPr>
          <w:rFonts w:hint="default" w:ascii="Times New Roman" w:hAnsi="Times New Roman" w:eastAsia="SimSun" w:cs="Times New Roman"/>
          <w:sz w:val="24"/>
          <w:szCs w:val="24"/>
        </w:rPr>
        <w:t xml:space="preserve"> visualize investment performance. A structured data analysis workflow was also developed, showcasing proficiency in data cleaning, computations, and presenting results to support investment decisions. This work helped further develop my skills in Excel, Google Sheets, and statistical analysis.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75BAF"/>
    <w:rsid w:val="22675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2026-03-10T18:47:00Z</dcterms:created>
  <dc:creator>77079</dc:creator>
  <cp:lastModifiedBy>77079</cp:lastModifiedBy>
  <dcterms:modified xsi:type="dcterms:W3CDTF">2026-03-10T19:19:56Z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6DDB6256C79842E197CE8D4DDC1D0B72_11</vt:lpwstr>
  </property>
</Properties>
</file>