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Muhamamd Ayaz Hasan </w:t>
        <w:tab/>
        <w:t xml:space="preserve">   [20k-1044]</w:t>
        <w:br w:type="textWrapping"/>
        <w:t xml:space="preserve">Mohammad Ahmed Bawany  [20k-0343]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Pankaj Kumar </w:t>
        <w:tab/>
        <w:tab/>
        <w:t xml:space="preserve">   [20k-1607]</w:t>
        <w:br w:type="textWrapping"/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420"/>
        <w:gridCol w:w="1575"/>
        <w:gridCol w:w="3705"/>
        <w:tblGridChange w:id="0">
          <w:tblGrid>
            <w:gridCol w:w="1620"/>
            <w:gridCol w:w="3420"/>
            <w:gridCol w:w="157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SCALE(0-5)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Certain changes in government or trading regulations and policy for construction material.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Political instability can affect the in availability of contractors/client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 updated on regulatory changes.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Diversify contractor and client base across regions to counteract political instability, and provide incentives or benefits to encourage continued participation in affected 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 service demand is dependent on economic stability.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Fluctuations in exchange rates could impact the cost of materials.</w:t>
              <w:br w:type="textWrapping"/>
              <w:br w:type="textWrapping"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Inflation or Tax rates can affect the overall cost of construction projects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strategy involves providing clients with flexible pricing and financing options during economic downturns, as well as resources and support to contractors to maintain demand and business sustainability.</w:t>
              <w:br w:type="textWrapping"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involves monitoring exchange rate trends, adjusting pricing models.</w:t>
              <w:br w:type="textWrapping"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enhancing transparency in cost estimates and contracts, allowing for adjustments in inflation or tax rates, and providing resources to help clients and contractors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Changing lifestyle preferences may impact the types of construction projects.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Cultural differences may affect communication and interaction between clients and contractors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research is needed to identify emerging lifestyle preferences in construction projects, and to tailor platform's.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multi language  communication tools and features to facilitate cross-cultural understanding and collaboration for contractors and clients using a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technological innovation in construction could drive adoption of our platform by contractors.</w:t>
              <w:br w:type="textWrapping"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Automation in construction processes could impact the types of services offered or supported by our platform.</w:t>
              <w:br w:type="textWrapping"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technological awareness among contractors and clients could affect the usability of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investing in research and development to integrate advanced construction technologies into the platform.</w:t>
              <w:br w:type="textWrapping"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automation technologies to streamline administrative tasks and enhance efficiency for contractors using the platform.</w:t>
              <w:br w:type="textWrapping"/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platform should be designed with user-friendly interfaces, offer comprehensive training, and seek user feedback to continuously improve its usability.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Climate conditions may impact construction schedules and material availability.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Environmental regulations may influence the types of construction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building projects during weather interruptions, have backup plans and scheduling flexibility. </w:t>
              <w:br w:type="textWrapping"/>
              <w:br w:type="textWrapping"/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Collaborate with suppliers and contractors to identify environmentally friendly construction materials and practices,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Intellectual property laws may affect the use of images or designs uploaded by contractors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Anti-discrimination laws may impact how contractors are selected or rated on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robust intellectual property policies to ensure copyright and patent laws compliance, and provide guidance to contractors for licensing or obtaining permission to use images and designs on the platform.</w:t>
              <w:br w:type="textWrapping"/>
              <w:br w:type="textWrapping"/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fair, transparent rating systems, promote diversity and inclusion, and provide contractor training to create a culture of equality and non-discrimination in client interactions.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