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both"/>
        <w:rPr>
          <w:rFonts w:ascii="Times Roman" w:cs="Times Roman" w:hAnsi="Times Roman" w:eastAsia="Times Roman"/>
          <w:b w:val="0"/>
          <w:bCs w:val="0"/>
          <w:rtl w:val="0"/>
        </w:rPr>
      </w:pPr>
      <w:r>
        <w:rPr>
          <w:rFonts w:ascii="Times Roman" w:hAnsi="Times Roman"/>
          <w:b w:val="1"/>
          <w:bCs w:val="1"/>
          <w:rtl w:val="0"/>
          <w:lang w:val="en-US"/>
        </w:rPr>
        <w:t>Assignment of conventional LBD helix identities across human nuclear receptors</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rtl w:val="0"/>
          <w:lang w:val="en-US"/>
        </w:rPr>
        <w:t>We assembled a reference annotation of ligand-binding domain (LBD) helices for human nuclear receptors, using conventional nuclear-receptor helix identities rather than numbering helical segments sequentially. This distinction preserves the correspondence between equivalent elements across receptors: an absent, interrupted or additional helix does not change the names of subsequent helices. Receptor-specific elements, including H3n, H2</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nl-NL"/>
        </w:rPr>
        <w:t>and H11</w:t>
      </w:r>
      <w:r>
        <w:rPr>
          <w:rFonts w:ascii="Arial Unicode MS" w:cs="Arial Unicode MS" w:hAnsi="Arial Unicode MS" w:eastAsia="Arial Unicode MS" w:hint="default"/>
          <w:b w:val="0"/>
          <w:bCs w:val="0"/>
          <w:i w:val="0"/>
          <w:iCs w:val="0"/>
          <w:rtl w:val="0"/>
        </w:rPr>
        <w:t>′</w:t>
      </w:r>
      <w:r>
        <w:rPr>
          <w:rFonts w:ascii="Times Roman" w:hAnsi="Times Roman"/>
          <w:rtl w:val="0"/>
          <w:lang w:val="en-US"/>
        </w:rPr>
        <w:t>, were retained where supported by the available evidence.</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b w:val="1"/>
          <w:bCs w:val="1"/>
          <w:rtl w:val="0"/>
          <w:lang w:val="en-US"/>
        </w:rPr>
        <w:t>Reference structures and residue numbering.</w:t>
      </w:r>
      <w:r>
        <w:rPr>
          <w:rFonts w:ascii="Times Roman" w:hAnsi="Times Roman"/>
          <w:rtl w:val="0"/>
          <w:lang w:val="en-US"/>
        </w:rPr>
        <w:t xml:space="preserve"> One experimental LBD structure was selected per receptor using the previously described assessment of backbone completeness and experimental resolution. Qualifying structures were identified for 42 of the 48 human nuclear receptors in the downloaded dataset. ROR</w:t>
      </w:r>
      <w:r>
        <w:rPr>
          <w:rFonts w:ascii="Times Roman" w:hAnsi="Times Roman" w:hint="default"/>
          <w:rtl w:val="0"/>
        </w:rPr>
        <w:t>β</w:t>
      </w:r>
      <w:r>
        <w:rPr>
          <w:rFonts w:ascii="Times Roman" w:hAnsi="Times Roman"/>
          <w:rtl w:val="0"/>
          <w:lang w:val="en-US"/>
        </w:rPr>
        <w:t>, TR2, COUP-TFI, GCNF, DAX-1 and SHP lacked a qualifying reference in this dataset and were not assigned structural helix boundaries. These exclusions describe the available reference set, rather than establishing that no suitable structure exists elsewhere. The NOR-1 reference was an NMR structure; it was used for structural annotation but not as a source of crystallographic B-factors.</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rtl w:val="0"/>
          <w:lang w:val="en-US"/>
        </w:rPr>
        <w:t>Residues in each selected chain were mapped to the corresponding UniProt sequence by sequence alignment. All reported boundaries use inclusive UniProt residue numbering, with the sequence accession recorded explicitly. Isoform differences were considered when defining the reference sequence. In particular, TR</w:t>
      </w:r>
      <w:r>
        <w:rPr>
          <w:rFonts w:ascii="Times Roman" w:hAnsi="Times Roman" w:hint="default"/>
          <w:rtl w:val="0"/>
        </w:rPr>
        <w:t xml:space="preserve">α </w:t>
      </w:r>
      <w:r>
        <w:rPr>
          <w:rFonts w:ascii="Times Roman" w:hAnsi="Times Roman"/>
          <w:rtl w:val="0"/>
          <w:lang w:val="en-US"/>
        </w:rPr>
        <w:t>was mapped to TR</w:t>
      </w:r>
      <w:r>
        <w:rPr>
          <w:rFonts w:ascii="Times Roman" w:hAnsi="Times Roman" w:hint="default"/>
          <w:rtl w:val="0"/>
        </w:rPr>
        <w:t>α</w:t>
      </w:r>
      <w:r>
        <w:rPr>
          <w:rFonts w:ascii="Times Roman" w:hAnsi="Times Roman"/>
          <w:rtl w:val="0"/>
          <w:lang w:val="en-US"/>
        </w:rPr>
        <w:t>1, UniProt P10827-2, rather than to the canonical TR</w:t>
      </w:r>
      <w:r>
        <w:rPr>
          <w:rFonts w:ascii="Times Roman" w:hAnsi="Times Roman" w:hint="default"/>
          <w:rtl w:val="0"/>
        </w:rPr>
        <w:t>α</w:t>
      </w:r>
      <w:r>
        <w:rPr>
          <w:rFonts w:ascii="Times Roman" w:hAnsi="Times Roman"/>
          <w:rtl w:val="0"/>
          <w:lang w:val="en-US"/>
        </w:rPr>
        <w:t>2 sequence, which has a different C-terminal region.</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b w:val="1"/>
          <w:bCs w:val="1"/>
          <w:rtl w:val="0"/>
          <w:lang w:val="en-US"/>
        </w:rPr>
        <w:t>Helix identities and boundaries.</w:t>
      </w:r>
      <w:r>
        <w:rPr>
          <w:rFonts w:ascii="Times Roman" w:hAnsi="Times Roman"/>
          <w:rtl w:val="0"/>
          <w:lang w:val="en-US"/>
        </w:rPr>
        <w:t xml:space="preserve"> Published receptor-specific annotations supplied the conventional VDR helix map used for structural transfer and the explicit ROR</w:t>
      </w:r>
      <w:r>
        <w:rPr>
          <w:rFonts w:ascii="Times Roman" w:hAnsi="Times Roman" w:hint="default"/>
          <w:rtl w:val="0"/>
        </w:rPr>
        <w:t xml:space="preserve">α </w:t>
      </w:r>
      <w:r>
        <w:rPr>
          <w:rFonts w:ascii="Times Roman" w:hAnsi="Times Roman"/>
          <w:rtl w:val="0"/>
          <w:lang w:val="en-US"/>
        </w:rPr>
        <w:t>intervals used for that receptor. An additional published interval was used for PXR H6, for which global structural alignment gave a misleading correspondence. Source-specific naming conventions were retained and documented, including differences in the subdivision of adjacent helices.</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rtl w:val="0"/>
          <w:lang w:val="en-US"/>
        </w:rPr>
        <w:t>For the remaining assignments, C</w:t>
      </w:r>
      <w:r>
        <w:rPr>
          <w:rFonts w:ascii="Times Roman" w:hAnsi="Times Roman" w:hint="default"/>
          <w:rtl w:val="0"/>
        </w:rPr>
        <w:t xml:space="preserve">α </w:t>
      </w:r>
      <w:r>
        <w:rPr>
          <w:rFonts w:ascii="Times Roman" w:hAnsi="Times Roman"/>
          <w:rtl w:val="0"/>
          <w:lang w:val="en-US"/>
        </w:rPr>
        <w:t xml:space="preserve">coordinates from each reference were superposed on the annotated VDR LBD using US-align. Aligned residue pairs separated by no more than 5 </w:t>
      </w:r>
      <w:r>
        <w:rPr>
          <w:rFonts w:ascii="Times Roman" w:hAnsi="Times Roman" w:hint="default"/>
          <w:rtl w:val="0"/>
        </w:rPr>
        <w:t xml:space="preserve">Å </w:t>
      </w:r>
      <w:r>
        <w:rPr>
          <w:rFonts w:ascii="Times Roman" w:hAnsi="Times Roman"/>
          <w:rtl w:val="0"/>
          <w:lang w:val="en-US"/>
        </w:rPr>
        <w:t>after superposition contributed support for transferring a conventional helix identity. Where this correspondence was supported, helix boundaries were taken from the selected structure</w:t>
      </w:r>
      <w:r>
        <w:rPr>
          <w:rFonts w:ascii="Times Roman" w:hAnsi="Times Roman" w:hint="default"/>
          <w:rtl w:val="1"/>
        </w:rPr>
        <w:t>’</w:t>
      </w:r>
      <w:r>
        <w:rPr>
          <w:rFonts w:ascii="Times Roman" w:hAnsi="Times Roman"/>
          <w:rtl w:val="0"/>
          <w:lang w:val="en-US"/>
        </w:rPr>
        <w:t>s deposited mmCIF secondary-structure annotations. Published intervals and boundaries observed in the selected reference were distinguished in the output because they need not coincide exactly.</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rtl w:val="0"/>
          <w:lang w:val="en-US"/>
        </w:rPr>
        <w:t>Adjacent deposited segments assigned to the same conventional helix were combined only when separated by at most one intervening residue. H10/H11 was retained as a combined region unless a receptor-specific published subdivision was available. Short regions inferred from alignment but lacking a supporting deposited helix annotation were recorded as proposals requiring review. They were not treated as confirmed helices in the selected conformation.</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rtl w:val="0"/>
          <w:lang w:val="en-US"/>
        </w:rPr>
        <w:t>Family-specific insertions and displaced activation-function helices were considered separately where global superposition provided insufficient support. In particular, terminal position alone was not considered sufficient to assign H12. Unmatched segments remained unassigned rather than receiving new sequential helix numbers.</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b w:val="1"/>
          <w:bCs w:val="1"/>
          <w:rtl w:val="0"/>
          <w:lang w:val="en-US"/>
        </w:rPr>
        <w:t>Quality control and uncertainty.</w:t>
      </w:r>
      <w:r>
        <w:rPr>
          <w:rFonts w:ascii="Times Roman" w:hAnsi="Times Roman"/>
          <w:rtl w:val="0"/>
          <w:lang w:val="en-US"/>
        </w:rPr>
        <w:t xml:space="preserve"> Each interval was classified according to its evidence: a published receptor-specific boundary, a structural-homology assignment with reference-specific endpoints, or a proposal requiring further review. Review flags identified weak alignment support, uncertain family-specific assignments, displaced H12 regions, projected intervals without a deposited helix annotation, and overlapping boundaries assigned to different helices.</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rtl w:val="0"/>
          <w:lang w:val="en-US"/>
        </w:rPr>
        <w:t>Missing assignments were recorded separately from established biological absences and absences in a particular reference structure. For example, H12 was not assigned to REV-ERB receptors, and an alignment-derived H1 proposal was removed from TR4 because the publication describing the selected structure identifies an extended loop in that region. Neither an unresolved assignment nor a gap in structural annotation was automatically interpreted as a loop.</w:t>
      </w:r>
    </w:p>
    <w:p>
      <w:pPr>
        <w:pStyle w:val="Default"/>
        <w:bidi w:val="0"/>
        <w:spacing w:before="0" w:after="240" w:line="240" w:lineRule="auto"/>
        <w:ind w:left="0" w:right="0" w:firstLine="0"/>
        <w:jc w:val="both"/>
        <w:rPr>
          <w:rFonts w:ascii="Times Roman" w:cs="Times Roman" w:hAnsi="Times Roman" w:eastAsia="Times Roman"/>
          <w:rtl w:val="0"/>
        </w:rPr>
      </w:pPr>
      <w:r>
        <w:rPr>
          <w:rFonts w:ascii="Times Roman" w:hAnsi="Times Roman"/>
          <w:b w:val="1"/>
          <w:bCs w:val="1"/>
          <w:rtl w:val="0"/>
          <w:lang w:val="en-US"/>
        </w:rPr>
        <w:t>Annotation output and use in B-factor plots.</w:t>
      </w:r>
      <w:r>
        <w:rPr>
          <w:rFonts w:ascii="Times Roman" w:hAnsi="Times Roman"/>
          <w:rtl w:val="0"/>
          <w:lang w:val="en-US"/>
        </w:rPr>
        <w:t xml:space="preserve"> The current working table contains 434 interval records across 42 receptors: 27 with published boundaries, 354 assigned by structural homology and 53 requiring further review. Each record includes the receptor name, NR code, sequence accession, conventional helix identity, inclusive residue boundaries, reference PDB identifier and chain, assignment status, evidence source and explanatory notes. Alignment-support counts and distances are included where applicable. Missing assignments and conflicting boundaries are supplied in separate tables.</w:t>
      </w:r>
    </w:p>
    <w:p>
      <w:pPr>
        <w:pStyle w:val="Default"/>
        <w:bidi w:val="0"/>
        <w:spacing w:before="0" w:after="240" w:line="240" w:lineRule="auto"/>
        <w:ind w:left="0" w:right="0" w:firstLine="0"/>
        <w:jc w:val="both"/>
        <w:rPr>
          <w:rtl w:val="0"/>
        </w:rPr>
      </w:pPr>
      <w:r>
        <w:rPr>
          <w:rFonts w:ascii="Times Roman" w:hAnsi="Times Roman"/>
          <w:rtl w:val="0"/>
          <w:lang w:val="en-US"/>
        </w:rPr>
        <w:t>These annotations describe selected reference structures and should not be interpreted as a secondary-structure consensus across all structures of a receptor. For plotting, the stored intervals can be placed beneath independently calculated per-residue B-factor profiles after confirming that both datasets use the same sequence and residue numbering. The plotting notebook marks proposed intervals as uncertain and withholds their helix labels by default. The coordinate files are not required to display the stored boundaries. The current annotation remains a working resource pending resolution of the flagged assignments.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