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00"/>
              <w:left w:type="dxa" w:w="560"/>
              <w:bottom w:type="dxa" w:w="600"/>
              <w:right w:type="dxa" w:w="560"/>
            </w:tcMar>
          </w:tcPr>
          <w:p>
            <w:pPr>
              <w:jc w:val="center"/>
            </w:pPr>
            <w:r>
              <w:rPr>
                <w:rFonts w:ascii="Arial" w:cs="Arial" w:eastAsia="Arial" w:hAnsi="Arial"/>
                <w:color w:val="BFDBFE"/>
                <w:sz w:val="72"/>
                <w:szCs w:val="72"/>
              </w:rPr>
              <w:t xml:space="preserve">⚖</w:t>
            </w:r>
          </w:p>
          <w:p>
            <w:pPr>
              <w:spacing w:before="0" w:after="80"/>
            </w:pPr>
            <w:r>
              <w:t xml:space="preserve"/>
            </w:r>
          </w:p>
          <w:p>
            <w:pPr>
              <w:jc w:val="center"/>
            </w:pPr>
            <w:r>
              <w:rPr>
                <w:rFonts w:ascii="Arial" w:cs="Arial" w:eastAsia="Arial" w:hAnsi="Arial"/>
                <w:b/>
                <w:bCs/>
                <w:color w:val="FFFFFF"/>
                <w:sz w:val="56"/>
                <w:szCs w:val="56"/>
              </w:rPr>
              <w:t xml:space="preserve">LegalSaaS Platform</w:t>
            </w:r>
          </w:p>
          <w:p>
            <w:pPr>
              <w:spacing w:before="0" w:after="80"/>
            </w:pPr>
            <w:r>
              <w:t xml:space="preserve"/>
            </w:r>
          </w:p>
          <w:p>
            <w:pPr>
              <w:jc w:val="center"/>
            </w:pPr>
            <w:r>
              <w:rPr>
                <w:rFonts w:ascii="Arial" w:cs="Arial" w:eastAsia="Arial" w:hAnsi="Arial"/>
                <w:color w:val="93C5FD"/>
                <w:sz w:val="28"/>
                <w:szCs w:val="28"/>
              </w:rPr>
              <w:t xml:space="preserve">Enterprise Architecture &amp; Product Design</w:t>
            </w:r>
          </w:p>
          <w:p>
            <w:pPr>
              <w:spacing w:before="0" w:after="80"/>
            </w:pPr>
            <w:r>
              <w:t xml:space="preserve"/>
            </w:r>
          </w:p>
          <w:p>
            <w:pPr>
              <w:jc w:val="center"/>
            </w:pPr>
            <w:r>
              <w:rPr>
                <w:rFonts w:ascii="Arial" w:cs="Arial" w:eastAsia="Arial" w:hAnsi="Arial"/>
                <w:i/>
                <w:iCs/>
                <w:color w:val="BFDBFE"/>
                <w:sz w:val="24"/>
                <w:szCs w:val="24"/>
              </w:rPr>
              <w:t xml:space="preserve">MVP Wave 1 — Full Technical Specification</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DBEAFE" w:val="clear"/>
            <w:tcMar>
              <w:top w:type="dxa" w:w="100"/>
              <w:left w:type="dxa" w:w="120"/>
              <w:bottom w:type="dxa" w:w="100"/>
              <w:right w:type="dxa" w:w="120"/>
            </w:tcMar>
          </w:tcPr>
          <w:p>
            <w:r>
              <w:rPr>
                <w:rFonts w:ascii="Arial" w:cs="Arial" w:eastAsia="Arial" w:hAnsi="Arial"/>
                <w:b/>
                <w:bCs/>
                <w:color w:val="1B3A6B"/>
                <w:sz w:val="18"/>
                <w:szCs w:val="18"/>
              </w:rPr>
              <w:t xml:space="preserve">Version</w:t>
            </w:r>
          </w:p>
          <w:p>
            <w:r>
              <w:rPr>
                <w:rFonts w:ascii="Arial" w:cs="Arial" w:eastAsia="Arial" w:hAnsi="Arial"/>
                <w:color w:val="334155"/>
                <w:sz w:val="20"/>
                <w:szCs w:val="20"/>
              </w:rPr>
              <w:t xml:space="preserve">1.0</w:t>
            </w:r>
          </w:p>
        </w:tc>
        <w:tc>
          <w:tcPr>
            <w:tcW w:type="dxa" w:w="2340"/>
            <w:tcBorders>
              <w:top w:val="single" w:color="E2E8F0" w:sz="1"/>
              <w:left w:val="single" w:color="E2E8F0" w:sz="1"/>
              <w:bottom w:val="single" w:color="E2E8F0" w:sz="1"/>
              <w:right w:val="single" w:color="E2E8F0" w:sz="1"/>
            </w:tcBorders>
            <w:shd w:fill="DBEAFE" w:val="clear"/>
            <w:tcMar>
              <w:top w:type="dxa" w:w="100"/>
              <w:left w:type="dxa" w:w="120"/>
              <w:bottom w:type="dxa" w:w="100"/>
              <w:right w:type="dxa" w:w="120"/>
            </w:tcMar>
          </w:tcPr>
          <w:p>
            <w:r>
              <w:rPr>
                <w:rFonts w:ascii="Arial" w:cs="Arial" w:eastAsia="Arial" w:hAnsi="Arial"/>
                <w:b/>
                <w:bCs/>
                <w:color w:val="1B3A6B"/>
                <w:sz w:val="18"/>
                <w:szCs w:val="18"/>
              </w:rPr>
              <w:t xml:space="preserve">Status</w:t>
            </w:r>
          </w:p>
          <w:p>
            <w:r>
              <w:rPr>
                <w:rFonts w:ascii="Arial" w:cs="Arial" w:eastAsia="Arial" w:hAnsi="Arial"/>
                <w:color w:val="334155"/>
                <w:sz w:val="20"/>
                <w:szCs w:val="20"/>
              </w:rPr>
              <w:t xml:space="preserve">Draft</w:t>
            </w:r>
          </w:p>
        </w:tc>
        <w:tc>
          <w:tcPr>
            <w:tcW w:type="dxa" w:w="2340"/>
            <w:tcBorders>
              <w:top w:val="single" w:color="E2E8F0" w:sz="1"/>
              <w:left w:val="single" w:color="E2E8F0" w:sz="1"/>
              <w:bottom w:val="single" w:color="E2E8F0" w:sz="1"/>
              <w:right w:val="single" w:color="E2E8F0" w:sz="1"/>
            </w:tcBorders>
            <w:shd w:fill="DBEAFE" w:val="clear"/>
            <w:tcMar>
              <w:top w:type="dxa" w:w="100"/>
              <w:left w:type="dxa" w:w="120"/>
              <w:bottom w:type="dxa" w:w="100"/>
              <w:right w:type="dxa" w:w="120"/>
            </w:tcMar>
          </w:tcPr>
          <w:p>
            <w:r>
              <w:rPr>
                <w:rFonts w:ascii="Arial" w:cs="Arial" w:eastAsia="Arial" w:hAnsi="Arial"/>
                <w:b/>
                <w:bCs/>
                <w:color w:val="1B3A6B"/>
                <w:sz w:val="18"/>
                <w:szCs w:val="18"/>
              </w:rPr>
              <w:t xml:space="preserve">Date</w:t>
            </w:r>
          </w:p>
          <w:p>
            <w:r>
              <w:rPr>
                <w:rFonts w:ascii="Arial" w:cs="Arial" w:eastAsia="Arial" w:hAnsi="Arial"/>
                <w:color w:val="334155"/>
                <w:sz w:val="20"/>
                <w:szCs w:val="20"/>
              </w:rPr>
              <w:t xml:space="preserve">February 2026</w:t>
            </w:r>
          </w:p>
        </w:tc>
        <w:tc>
          <w:tcPr>
            <w:tcW w:type="dxa" w:w="2340"/>
            <w:tcBorders>
              <w:top w:val="single" w:color="E2E8F0" w:sz="1"/>
              <w:left w:val="single" w:color="E2E8F0" w:sz="1"/>
              <w:bottom w:val="single" w:color="E2E8F0" w:sz="1"/>
              <w:right w:val="single" w:color="E2E8F0" w:sz="1"/>
            </w:tcBorders>
            <w:shd w:fill="DBEAFE" w:val="clear"/>
            <w:tcMar>
              <w:top w:type="dxa" w:w="100"/>
              <w:left w:type="dxa" w:w="120"/>
              <w:bottom w:type="dxa" w:w="100"/>
              <w:right w:type="dxa" w:w="120"/>
            </w:tcMar>
          </w:tcPr>
          <w:p>
            <w:r>
              <w:rPr>
                <w:rFonts w:ascii="Arial" w:cs="Arial" w:eastAsia="Arial" w:hAnsi="Arial"/>
                <w:b/>
                <w:bCs/>
                <w:color w:val="1B3A6B"/>
                <w:sz w:val="18"/>
                <w:szCs w:val="18"/>
              </w:rPr>
              <w:t xml:space="preserve">Classification</w:t>
            </w:r>
          </w:p>
          <w:p>
            <w:r>
              <w:rPr>
                <w:rFonts w:ascii="Arial" w:cs="Arial" w:eastAsia="Arial" w:hAnsi="Arial"/>
                <w:color w:val="334155"/>
                <w:sz w:val="20"/>
                <w:szCs w:val="20"/>
              </w:rPr>
              <w:t xml:space="preserve">Confidential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36"/>
                <w:szCs w:val="36"/>
              </w:rPr>
              <w:t xml:space="preserve">SECTION 1</w:t>
            </w:r>
          </w:p>
          <w:p>
            <w:r>
              <w:rPr>
                <w:rFonts w:ascii="Arial" w:cs="Arial" w:eastAsia="Arial" w:hAnsi="Arial"/>
                <w:color w:val="BFDBFE"/>
                <w:sz w:val="22"/>
                <w:szCs w:val="22"/>
              </w:rPr>
              <w:t xml:space="preserve">Executive Summary</w:t>
            </w:r>
          </w:p>
        </w:tc>
      </w:tr>
    </w:tbl>
    <w:p>
      <w:pPr>
        <w:spacing w:before="0" w:after="80"/>
      </w:pPr>
      <w:r>
        <w:t xml:space="preserve"/>
      </w:r>
    </w:p>
    <w:p>
      <w:pPr>
        <w:pStyle w:val="Heading1"/>
        <w:spacing w:before="360" w:after="120"/>
      </w:pPr>
      <w:r>
        <w:rPr>
          <w:rFonts w:ascii="Arial" w:cs="Arial" w:eastAsia="Arial" w:hAnsi="Arial"/>
          <w:b/>
          <w:bCs/>
          <w:color w:val="1B3A6B"/>
          <w:sz w:val="32"/>
          <w:szCs w:val="32"/>
        </w:rPr>
        <w:t xml:space="preserve">Executive Summary</w:t>
      </w:r>
    </w:p>
    <w:p>
      <w:pPr>
        <w:spacing w:before="60" w:after="100"/>
      </w:pPr>
      <w:r>
        <w:rPr>
          <w:rFonts w:ascii="Arial" w:cs="Arial" w:eastAsia="Arial" w:hAnsi="Arial"/>
          <w:b w:val="false"/>
          <w:bCs w:val="false"/>
          <w:i w:val="false"/>
          <w:iCs w:val="false"/>
          <w:color w:val="1E293B"/>
          <w:sz w:val="22"/>
          <w:szCs w:val="22"/>
        </w:rPr>
        <w:t xml:space="preserve">LegalSaaS is a cloud-native, multi-tenant Software-as-a-Service web platform designed exclusively for law firms and independent legal practitioners. The platform addresses the fragmented landscape of legal operations tooling by delivering an integrated, secure, and compliance-ready solution for case management, client lifecycle management, document management, and subscription-based tenancy.</w:t>
      </w:r>
    </w:p>
    <w:p>
      <w:pPr>
        <w:spacing w:before="0" w:after="80"/>
      </w:pPr>
      <w:r>
        <w:t xml:space="preserve"/>
      </w:r>
    </w:p>
    <w:p>
      <w:pPr>
        <w:pStyle w:val="Heading2"/>
        <w:spacing w:before="280" w:after="100"/>
      </w:pPr>
      <w:r>
        <w:rPr>
          <w:rFonts w:ascii="Arial" w:cs="Arial" w:eastAsia="Arial" w:hAnsi="Arial"/>
          <w:b/>
          <w:bCs/>
          <w:color w:val="334155"/>
          <w:sz w:val="26"/>
          <w:szCs w:val="26"/>
        </w:rPr>
        <w:t xml:space="preserve">Business Context &amp; Opportunity</w:t>
      </w:r>
    </w:p>
    <w:p>
      <w:pPr>
        <w:spacing w:before="60" w:after="100"/>
      </w:pPr>
      <w:r>
        <w:rPr>
          <w:rFonts w:ascii="Arial" w:cs="Arial" w:eastAsia="Arial" w:hAnsi="Arial"/>
          <w:b w:val="false"/>
          <w:bCs w:val="false"/>
          <w:i w:val="false"/>
          <w:iCs w:val="false"/>
          <w:color w:val="1E293B"/>
          <w:sz w:val="22"/>
          <w:szCs w:val="22"/>
        </w:rPr>
        <w:t xml:space="preserve">The global legal technology market is projected to exceed $35 billion by 2027. Law firms — particularly mid-size practices and solo practitioners — remain underserved by existing platforms, which are either too complex (enterprise LMS), too generic (CRMs), or lacking cloud-native multi-tenancy. LegalSaaS closes this gap.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8"/>
              <w:bottom w:val="single" w:color="E2E8F0" w:sz="1"/>
              <w:right w:val="single" w:color="E2E8F0" w:sz="1"/>
            </w:tcBorders>
            <w:shd w:fill="DBEAFE" w:val="clear"/>
            <w:tcMar>
              <w:top w:type="dxa" w:w="120"/>
              <w:left w:type="dxa" w:w="200"/>
              <w:bottom w:type="dxa" w:w="120"/>
              <w:right w:type="dxa" w:w="120"/>
            </w:tcMar>
          </w:tcPr>
          <w:p>
            <w:pPr>
              <w:spacing w:before="60" w:after="60"/>
            </w:pPr>
            <w:r>
              <w:rPr>
                <w:rFonts w:ascii="Arial" w:cs="Arial" w:eastAsia="Arial" w:hAnsi="Arial"/>
                <w:b/>
                <w:bCs/>
                <w:color w:val="2563EB"/>
                <w:sz w:val="22"/>
                <w:szCs w:val="22"/>
              </w:rPr>
              <w:t xml:space="preserve">Strategic Pillars</w:t>
            </w:r>
          </w:p>
          <w:p>
            <w:pPr>
              <w:spacing w:before="30" w:after="30"/>
            </w:pPr>
            <w:r>
              <w:rPr>
                <w:rFonts w:ascii="Arial" w:cs="Arial" w:eastAsia="Arial" w:hAnsi="Arial"/>
                <w:color w:val="1E293B"/>
                <w:sz w:val="20"/>
                <w:szCs w:val="20"/>
              </w:rPr>
              <w:t xml:space="preserve">✦  Security &amp; Compliance First — Data isolation, encryption-at-rest and in-transit, RBAC, full audit trails</w:t>
            </w:r>
          </w:p>
          <w:p>
            <w:pPr>
              <w:spacing w:before="30" w:after="30"/>
            </w:pPr>
            <w:r>
              <w:rPr>
                <w:rFonts w:ascii="Arial" w:cs="Arial" w:eastAsia="Arial" w:hAnsi="Arial"/>
                <w:color w:val="1E293B"/>
                <w:sz w:val="20"/>
                <w:szCs w:val="20"/>
              </w:rPr>
              <w:t xml:space="preserve">✦  Multi-Tenant Architecture — Schema-per-tenant isolation with shared infrastructure efficiency</w:t>
            </w:r>
          </w:p>
          <w:p>
            <w:pPr>
              <w:spacing w:before="30" w:after="30"/>
            </w:pPr>
            <w:r>
              <w:rPr>
                <w:rFonts w:ascii="Arial" w:cs="Arial" w:eastAsia="Arial" w:hAnsi="Arial"/>
                <w:color w:val="1E293B"/>
                <w:sz w:val="20"/>
                <w:szCs w:val="20"/>
              </w:rPr>
              <w:t xml:space="preserve">✦  Modular SaaS Design — Wave 1 MVP launches core modules; Wave 2 extends to billing, analytics, and integrations</w:t>
            </w:r>
          </w:p>
          <w:p>
            <w:pPr>
              <w:spacing w:before="30" w:after="30"/>
            </w:pPr>
            <w:r>
              <w:rPr>
                <w:rFonts w:ascii="Arial" w:cs="Arial" w:eastAsia="Arial" w:hAnsi="Arial"/>
                <w:color w:val="1E293B"/>
                <w:sz w:val="20"/>
                <w:szCs w:val="20"/>
              </w:rPr>
              <w:t xml:space="preserve">✦  Legal-Domain UX — Purposefully designed for lawyers, not adapted from generic CRM templates</w:t>
            </w:r>
          </w:p>
          <w:p>
            <w:pPr>
              <w:spacing w:before="30" w:after="30"/>
            </w:pPr>
            <w:r>
              <w:rPr>
                <w:rFonts w:ascii="Arial" w:cs="Arial" w:eastAsia="Arial" w:hAnsi="Arial"/>
                <w:color w:val="1E293B"/>
                <w:sz w:val="20"/>
                <w:szCs w:val="20"/>
              </w:rPr>
              <w:t xml:space="preserve">✦  Azure-Native — Leverages Azure Blob Storage, Entra ID, App Services, and Azure Monitor for enterprise reliability</w:t>
            </w:r>
          </w:p>
        </w:tc>
      </w:tr>
    </w:tbl>
    <w:p>
      <w:pPr>
        <w:spacing w:before="0" w:after="80"/>
      </w:pPr>
      <w:r>
        <w:t xml:space="preserve"/>
      </w:r>
    </w:p>
    <w:p>
      <w:pPr>
        <w:pStyle w:val="Heading2"/>
        <w:spacing w:before="280" w:after="100"/>
      </w:pPr>
      <w:r>
        <w:rPr>
          <w:rFonts w:ascii="Arial" w:cs="Arial" w:eastAsia="Arial" w:hAnsi="Arial"/>
          <w:b/>
          <w:bCs/>
          <w:color w:val="334155"/>
          <w:sz w:val="26"/>
          <w:szCs w:val="26"/>
        </w:rPr>
        <w:t xml:space="preserve">Wave 1 MVP Scope Summary</w:t>
      </w:r>
    </w:p>
    <w:p>
      <w:pPr>
        <w:spacing w:before="60" w:after="100"/>
      </w:pPr>
      <w:r>
        <w:rPr>
          <w:rFonts w:ascii="Arial" w:cs="Arial" w:eastAsia="Arial" w:hAnsi="Arial"/>
          <w:b w:val="false"/>
          <w:bCs w:val="false"/>
          <w:i w:val="false"/>
          <w:iCs w:val="false"/>
          <w:color w:val="1E293B"/>
          <w:sz w:val="22"/>
          <w:szCs w:val="22"/>
        </w:rPr>
        <w:t xml:space="preserve">Wave 1 (MVP) delivers five core modules targeted at Platform Admins, Tenant Admins, and Lawyers:</w:t>
      </w:r>
    </w:p>
    <w:p>
      <w:pPr>
        <w:pStyle w:val="ListParagraph"/>
        <w:numPr>
          <w:ilvl w:val="0"/>
          <w:numId w:val="2"/>
        </w:numPr>
        <w:spacing w:before="40" w:after="60"/>
      </w:pPr>
      <w:r>
        <w:rPr>
          <w:rFonts w:ascii="Arial" w:cs="Arial" w:eastAsia="Arial" w:hAnsi="Arial"/>
          <w:color w:val="1E293B"/>
          <w:sz w:val="21"/>
          <w:szCs w:val="21"/>
        </w:rPr>
        <w:t xml:space="preserve">Multi-Tenant / Subscription Module — Request, approval, and provisioning workflow</w:t>
      </w:r>
    </w:p>
    <w:p>
      <w:pPr>
        <w:pStyle w:val="ListParagraph"/>
        <w:numPr>
          <w:ilvl w:val="0"/>
          <w:numId w:val="2"/>
        </w:numPr>
        <w:spacing w:before="40" w:after="60"/>
      </w:pPr>
      <w:r>
        <w:rPr>
          <w:rFonts w:ascii="Arial" w:cs="Arial" w:eastAsia="Arial" w:hAnsi="Arial"/>
          <w:color w:val="1E293B"/>
          <w:sz w:val="21"/>
          <w:szCs w:val="21"/>
        </w:rPr>
        <w:t xml:space="preserve">Tenant Management Module — Seat assignment, user management, application configuration</w:t>
      </w:r>
    </w:p>
    <w:p>
      <w:pPr>
        <w:pStyle w:val="ListParagraph"/>
        <w:numPr>
          <w:ilvl w:val="0"/>
          <w:numId w:val="2"/>
        </w:numPr>
        <w:spacing w:before="40" w:after="60"/>
      </w:pPr>
      <w:r>
        <w:rPr>
          <w:rFonts w:ascii="Arial" w:cs="Arial" w:eastAsia="Arial" w:hAnsi="Arial"/>
          <w:color w:val="1E293B"/>
          <w:sz w:val="21"/>
          <w:szCs w:val="21"/>
        </w:rPr>
        <w:t xml:space="preserve">Customer Management Module — Client profiles, documents, case linkage, lifecycle tracking</w:t>
      </w:r>
    </w:p>
    <w:p>
      <w:pPr>
        <w:pStyle w:val="ListParagraph"/>
        <w:numPr>
          <w:ilvl w:val="0"/>
          <w:numId w:val="2"/>
        </w:numPr>
        <w:spacing w:before="40" w:after="60"/>
      </w:pPr>
      <w:r>
        <w:rPr>
          <w:rFonts w:ascii="Arial" w:cs="Arial" w:eastAsia="Arial" w:hAnsi="Arial"/>
          <w:color w:val="1E293B"/>
          <w:sz w:val="21"/>
          <w:szCs w:val="21"/>
        </w:rPr>
        <w:t xml:space="preserve">Case Management Module — Case creation, status tracking, documents, appointments, expenses</w:t>
      </w:r>
    </w:p>
    <w:p>
      <w:pPr>
        <w:pStyle w:val="ListParagraph"/>
        <w:numPr>
          <w:ilvl w:val="0"/>
          <w:numId w:val="2"/>
        </w:numPr>
        <w:spacing w:before="40" w:after="60"/>
      </w:pPr>
      <w:r>
        <w:rPr>
          <w:rFonts w:ascii="Arial" w:cs="Arial" w:eastAsia="Arial" w:hAnsi="Arial"/>
          <w:color w:val="1E293B"/>
          <w:sz w:val="21"/>
          <w:szCs w:val="21"/>
        </w:rPr>
        <w:t xml:space="preserve">Document Management Module — Centralized Azure Blob-backed secure document store</w:t>
      </w:r>
    </w:p>
    <w:p>
      <w:pPr>
        <w:spacing w:before="0" w:after="80"/>
      </w:pPr>
      <w:r>
        <w:t xml:space="preserve"/>
      </w:r>
    </w:p>
    <w:p>
      <w:pPr>
        <w:pStyle w:val="Heading2"/>
        <w:spacing w:before="280" w:after="100"/>
      </w:pPr>
      <w:r>
        <w:rPr>
          <w:rFonts w:ascii="Arial" w:cs="Arial" w:eastAsia="Arial" w:hAnsi="Arial"/>
          <w:b/>
          <w:bCs/>
          <w:color w:val="334155"/>
          <w:sz w:val="26"/>
          <w:szCs w:val="26"/>
        </w:rPr>
        <w:t xml:space="preserve">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Decision</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Choice</w:t>
            </w:r>
          </w:p>
        </w:tc>
        <w:tc>
          <w:tcPr>
            <w:tcW w:type="dxa" w:w="37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Tenancy Model</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Schema-per-Tenant (PostgreSQL)</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Strong data isolation; auditable; compliant with legal data sovereignty requirements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Cloud Provider</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Microsoft Azure</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Entra ID integration, Azure Blob for documents, compliance certifications (ISO 27001, SOC 2)</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Backend</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ASP.NET Core 8 (C#)</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Enterprise-grade, strong typing, excellent Azure SDK support, high performance</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Frontend</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React 18 + TypeScript</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Component reusability, type safety, rich ecosystem for complex UIs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Auth</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Azure Entra ID B2C</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Industry-standard OIDC/OAuth2, MFA support, tenant isolation at identity layer</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Document Storage</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Azure Blob Storage</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Cost-effective, geo-redundant, SAS token access, lifecycle management built-in</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API Design</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RESTful + OpenAPI 3.1</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Wide tooling support, clear versioning path, Swagger UI for developer experience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36"/>
                <w:szCs w:val="36"/>
              </w:rPr>
              <w:t xml:space="preserve">SECTION 2</w:t>
            </w:r>
          </w:p>
          <w:p>
            <w:r>
              <w:rPr>
                <w:rFonts w:ascii="Arial" w:cs="Arial" w:eastAsia="Arial" w:hAnsi="Arial"/>
                <w:color w:val="BFDBFE"/>
                <w:sz w:val="22"/>
                <w:szCs w:val="22"/>
              </w:rPr>
              <w:t xml:space="preserve">Technical Architecture</w:t>
            </w:r>
          </w:p>
        </w:tc>
      </w:tr>
    </w:tbl>
    <w:p>
      <w:pPr>
        <w:spacing w:before="0" w:after="80"/>
      </w:pPr>
      <w:r>
        <w:t xml:space="preserve"/>
      </w:r>
    </w:p>
    <w:p>
      <w:pPr>
        <w:pStyle w:val="Heading1"/>
        <w:spacing w:before="360" w:after="120"/>
      </w:pPr>
      <w:r>
        <w:rPr>
          <w:rFonts w:ascii="Arial" w:cs="Arial" w:eastAsia="Arial" w:hAnsi="Arial"/>
          <w:b/>
          <w:bCs/>
          <w:color w:val="1B3A6B"/>
          <w:sz w:val="32"/>
          <w:szCs w:val="32"/>
        </w:rPr>
        <w:t xml:space="preserve">Technical Architecture Design</w:t>
      </w:r>
    </w:p>
    <w:p>
      <w:pPr>
        <w:pStyle w:val="Heading2"/>
        <w:spacing w:before="280" w:after="100"/>
      </w:pPr>
      <w:r>
        <w:rPr>
          <w:rFonts w:ascii="Arial" w:cs="Arial" w:eastAsia="Arial" w:hAnsi="Arial"/>
          <w:b/>
          <w:bCs/>
          <w:color w:val="334155"/>
          <w:sz w:val="26"/>
          <w:szCs w:val="26"/>
        </w:rPr>
        <w:t xml:space="preserve">2.1 High-Level Architecture (C4 Logical View)</w:t>
      </w:r>
    </w:p>
    <w:p>
      <w:pPr>
        <w:spacing w:before="60" w:after="100"/>
      </w:pPr>
      <w:r>
        <w:rPr>
          <w:rFonts w:ascii="Arial" w:cs="Arial" w:eastAsia="Arial" w:hAnsi="Arial"/>
          <w:b w:val="false"/>
          <w:bCs w:val="false"/>
          <w:i w:val="false"/>
          <w:iCs w:val="false"/>
          <w:color w:val="1E293B"/>
          <w:sz w:val="22"/>
          <w:szCs w:val="22"/>
        </w:rPr>
        <w:t xml:space="preserve">The architecture follows a layered, cloud-native design organized across five logical tiers: Presentation, API Gateway, Application Services, Data, and Infrastructure/Cross-Cutting Concerns.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8"/>
              <w:bottom w:val="single" w:color="E2E8F0" w:sz="1"/>
              <w:right w:val="single" w:color="E2E8F0" w:sz="1"/>
            </w:tcBorders>
            <w:shd w:fill="CCFBF1" w:val="clear"/>
            <w:tcMar>
              <w:top w:type="dxa" w:w="120"/>
              <w:left w:type="dxa" w:w="200"/>
              <w:bottom w:type="dxa" w:w="120"/>
              <w:right w:type="dxa" w:w="120"/>
            </w:tcMar>
          </w:tcPr>
          <w:p>
            <w:pPr>
              <w:spacing w:before="60" w:after="60"/>
            </w:pPr>
            <w:r>
              <w:rPr>
                <w:rFonts w:ascii="Arial" w:cs="Arial" w:eastAsia="Arial" w:hAnsi="Arial"/>
                <w:b/>
                <w:bCs/>
                <w:color w:val="0F766E"/>
                <w:sz w:val="22"/>
                <w:szCs w:val="22"/>
              </w:rPr>
              <w:t xml:space="preserve">C4 Context: System Actors</w:t>
            </w:r>
          </w:p>
          <w:p>
            <w:pPr>
              <w:spacing w:before="30" w:after="30"/>
            </w:pPr>
            <w:r>
              <w:rPr>
                <w:rFonts w:ascii="Arial" w:cs="Arial" w:eastAsia="Arial" w:hAnsi="Arial"/>
                <w:color w:val="1E293B"/>
                <w:sz w:val="20"/>
                <w:szCs w:val="20"/>
              </w:rPr>
              <w:t xml:space="preserve">Platform Admin      →  Manages the SaaS platform: approves tenants, manages subscriptions, monitors health</w:t>
            </w:r>
          </w:p>
          <w:p>
            <w:pPr>
              <w:spacing w:before="30" w:after="30"/>
            </w:pPr>
            <w:r>
              <w:rPr>
                <w:rFonts w:ascii="Arial" w:cs="Arial" w:eastAsia="Arial" w:hAnsi="Arial"/>
                <w:color w:val="1E293B"/>
                <w:sz w:val="20"/>
                <w:szCs w:val="20"/>
              </w:rPr>
              <w:t xml:space="preserve">Tenant Admin        →  Configures their firm's environment, manages users and seats, views backup status</w:t>
            </w:r>
          </w:p>
          <w:p>
            <w:pPr>
              <w:spacing w:before="30" w:after="30"/>
            </w:pPr>
            <w:r>
              <w:rPr>
                <w:rFonts w:ascii="Arial" w:cs="Arial" w:eastAsia="Arial" w:hAnsi="Arial"/>
                <w:color w:val="1E293B"/>
                <w:sz w:val="20"/>
                <w:szCs w:val="20"/>
              </w:rPr>
              <w:t xml:space="preserve">Lawyer              →  Creates/manages cases, customers, and documents within their tenant</w:t>
            </w:r>
          </w:p>
          <w:p>
            <w:pPr>
              <w:spacing w:before="30" w:after="30"/>
            </w:pPr>
            <w:r>
              <w:rPr>
                <w:rFonts w:ascii="Arial" w:cs="Arial" w:eastAsia="Arial" w:hAnsi="Arial"/>
                <w:color w:val="1E293B"/>
                <w:sz w:val="20"/>
                <w:szCs w:val="20"/>
              </w:rPr>
              <w:t xml:space="preserve">Accountant (Wave 2) →  Accesses billing and financial reporting modules</w:t>
            </w:r>
          </w:p>
          <w:p>
            <w:pPr>
              <w:spacing w:before="30" w:after="30"/>
            </w:pPr>
            <w:r>
              <w:rPr>
                <w:rFonts w:ascii="Arial" w:cs="Arial" w:eastAsia="Arial" w:hAnsi="Arial"/>
                <w:color w:val="1E293B"/>
                <w:sz w:val="20"/>
                <w:szCs w:val="20"/>
              </w:rPr>
              <w:t xml:space="preserve">External Systems    →  Azure Entra ID B2C (Auth), Azure Blob Storage (Docs), SendGrid (Email)</w:t>
            </w:r>
          </w:p>
        </w:tc>
      </w:tr>
    </w:tbl>
    <w:p>
      <w:pPr>
        <w:spacing w:before="0" w:after="80"/>
      </w:pPr>
      <w:r>
        <w:t xml:space="preserve"/>
      </w:r>
    </w:p>
    <w:p>
      <w:pPr>
        <w:pStyle w:val="Heading3"/>
        <w:spacing w:before="200" w:after="80"/>
      </w:pPr>
      <w:r>
        <w:rPr>
          <w:rFonts w:ascii="Arial" w:cs="Arial" w:eastAsia="Arial" w:hAnsi="Arial"/>
          <w:b/>
          <w:bCs/>
          <w:color w:val="0F766E"/>
          <w:sz w:val="22"/>
          <w:szCs w:val="22"/>
        </w:rPr>
        <w:t xml:space="preserve">Layer 1 — Presentation Layer</w:t>
      </w:r>
    </w:p>
    <w:p>
      <w:pPr>
        <w:spacing w:before="60" w:after="100"/>
      </w:pPr>
      <w:r>
        <w:rPr>
          <w:rFonts w:ascii="Arial" w:cs="Arial" w:eastAsia="Arial" w:hAnsi="Arial"/>
          <w:b w:val="false"/>
          <w:bCs w:val="false"/>
          <w:i w:val="false"/>
          <w:iCs w:val="false"/>
          <w:color w:val="1E293B"/>
          <w:sz w:val="22"/>
          <w:szCs w:val="22"/>
        </w:rPr>
        <w:t xml:space="preserve">Single Page Application (SPA) built with React 18 + TypeScript, served via Azure Static Web Apps with global CDN. The frontend communicates exclusively with the API Gateway layer using JWT bearer tokens. Module federation is used to allow independent deployment of feature modules.</w:t>
      </w:r>
    </w:p>
    <w:p>
      <w:pPr>
        <w:pStyle w:val="Heading3"/>
        <w:spacing w:before="200" w:after="80"/>
      </w:pPr>
      <w:r>
        <w:rPr>
          <w:rFonts w:ascii="Arial" w:cs="Arial" w:eastAsia="Arial" w:hAnsi="Arial"/>
          <w:b/>
          <w:bCs/>
          <w:color w:val="0F766E"/>
          <w:sz w:val="22"/>
          <w:szCs w:val="22"/>
        </w:rPr>
        <w:t xml:space="preserve">Layer 2 — API Gateway Layer</w:t>
      </w:r>
    </w:p>
    <w:p>
      <w:pPr>
        <w:spacing w:before="60" w:after="100"/>
      </w:pPr>
      <w:r>
        <w:rPr>
          <w:rFonts w:ascii="Arial" w:cs="Arial" w:eastAsia="Arial" w:hAnsi="Arial"/>
          <w:b w:val="false"/>
          <w:bCs w:val="false"/>
          <w:i w:val="false"/>
          <w:iCs w:val="false"/>
          <w:color w:val="1E293B"/>
          <w:sz w:val="22"/>
          <w:szCs w:val="22"/>
        </w:rPr>
        <w:t xml:space="preserve">Azure API Management (APIM) acts as the unified API gateway providing: TLS termination, JWT validation, rate limiting (per tenant/subscription tier), request routing, and API versioning. All API calls carry a Tenant-ID header extracted and validated at this layer.</w:t>
      </w:r>
    </w:p>
    <w:p>
      <w:pPr>
        <w:pStyle w:val="Heading3"/>
        <w:spacing w:before="200" w:after="80"/>
      </w:pPr>
      <w:r>
        <w:rPr>
          <w:rFonts w:ascii="Arial" w:cs="Arial" w:eastAsia="Arial" w:hAnsi="Arial"/>
          <w:b/>
          <w:bCs/>
          <w:color w:val="0F766E"/>
          <w:sz w:val="22"/>
          <w:szCs w:val="22"/>
        </w:rPr>
        <w:t xml:space="preserve">Layer 3 — Application Services</w:t>
      </w:r>
    </w:p>
    <w:p>
      <w:pPr>
        <w:spacing w:before="60" w:after="100"/>
      </w:pPr>
      <w:r>
        <w:rPr>
          <w:rFonts w:ascii="Arial" w:cs="Arial" w:eastAsia="Arial" w:hAnsi="Arial"/>
          <w:b w:val="false"/>
          <w:bCs w:val="false"/>
          <w:i w:val="false"/>
          <w:iCs w:val="false"/>
          <w:color w:val="1E293B"/>
          <w:sz w:val="22"/>
          <w:szCs w:val="22"/>
        </w:rPr>
        <w:t xml:space="preserve">Microservice-inspired, domain-driven service layer deployed as Azure App Services (containerized). Each bounded context is a deployable unit:</w:t>
      </w:r>
    </w:p>
    <w:p>
      <w:pPr>
        <w:pStyle w:val="ListParagraph"/>
        <w:numPr>
          <w:ilvl w:val="0"/>
          <w:numId w:val="2"/>
        </w:numPr>
        <w:spacing w:before="40" w:after="60"/>
      </w:pPr>
      <w:r>
        <w:rPr>
          <w:rFonts w:ascii="Arial" w:cs="Arial" w:eastAsia="Arial" w:hAnsi="Arial"/>
          <w:color w:val="1E293B"/>
          <w:sz w:val="21"/>
          <w:szCs w:val="21"/>
        </w:rPr>
        <w:t xml:space="preserve">Identity &amp; Auth Service — Token issuance, role resolution, session management</w:t>
      </w:r>
    </w:p>
    <w:p>
      <w:pPr>
        <w:pStyle w:val="ListParagraph"/>
        <w:numPr>
          <w:ilvl w:val="0"/>
          <w:numId w:val="2"/>
        </w:numPr>
        <w:spacing w:before="40" w:after="60"/>
      </w:pPr>
      <w:r>
        <w:rPr>
          <w:rFonts w:ascii="Arial" w:cs="Arial" w:eastAsia="Arial" w:hAnsi="Arial"/>
          <w:color w:val="1E293B"/>
          <w:sz w:val="21"/>
          <w:szCs w:val="21"/>
        </w:rPr>
        <w:t xml:space="preserve">Subscription Service — Tenant provisioning, plan management, seat licensing</w:t>
      </w:r>
    </w:p>
    <w:p>
      <w:pPr>
        <w:pStyle w:val="ListParagraph"/>
        <w:numPr>
          <w:ilvl w:val="0"/>
          <w:numId w:val="2"/>
        </w:numPr>
        <w:spacing w:before="40" w:after="60"/>
      </w:pPr>
      <w:r>
        <w:rPr>
          <w:rFonts w:ascii="Arial" w:cs="Arial" w:eastAsia="Arial" w:hAnsi="Arial"/>
          <w:color w:val="1E293B"/>
          <w:sz w:val="21"/>
          <w:szCs w:val="21"/>
        </w:rPr>
        <w:t xml:space="preserve">Customer Service — Client profile CRUD, lifecycle state machine</w:t>
      </w:r>
    </w:p>
    <w:p>
      <w:pPr>
        <w:pStyle w:val="ListParagraph"/>
        <w:numPr>
          <w:ilvl w:val="0"/>
          <w:numId w:val="2"/>
        </w:numPr>
        <w:spacing w:before="40" w:after="60"/>
      </w:pPr>
      <w:r>
        <w:rPr>
          <w:rFonts w:ascii="Arial" w:cs="Arial" w:eastAsia="Arial" w:hAnsi="Arial"/>
          <w:color w:val="1E293B"/>
          <w:sz w:val="21"/>
          <w:szCs w:val="21"/>
        </w:rPr>
        <w:t xml:space="preserve">Case Service — Case management, status transitions, appointments</w:t>
      </w:r>
    </w:p>
    <w:p>
      <w:pPr>
        <w:pStyle w:val="ListParagraph"/>
        <w:numPr>
          <w:ilvl w:val="0"/>
          <w:numId w:val="2"/>
        </w:numPr>
        <w:spacing w:before="40" w:after="60"/>
      </w:pPr>
      <w:r>
        <w:rPr>
          <w:rFonts w:ascii="Arial" w:cs="Arial" w:eastAsia="Arial" w:hAnsi="Arial"/>
          <w:color w:val="1E293B"/>
          <w:sz w:val="21"/>
          <w:szCs w:val="21"/>
        </w:rPr>
        <w:t xml:space="preserve">Document Service — Upload orchestration, metadata, access control, Azure Blob integration</w:t>
      </w:r>
    </w:p>
    <w:p>
      <w:pPr>
        <w:pStyle w:val="ListParagraph"/>
        <w:numPr>
          <w:ilvl w:val="0"/>
          <w:numId w:val="2"/>
        </w:numPr>
        <w:spacing w:before="40" w:after="60"/>
      </w:pPr>
      <w:r>
        <w:rPr>
          <w:rFonts w:ascii="Arial" w:cs="Arial" w:eastAsia="Arial" w:hAnsi="Arial"/>
          <w:color w:val="1E293B"/>
          <w:sz w:val="21"/>
          <w:szCs w:val="21"/>
        </w:rPr>
        <w:t xml:space="preserve">Notification Service — Email/in-app notifications via SendGrid and Azure Service Bus</w:t>
      </w:r>
    </w:p>
    <w:p>
      <w:pPr>
        <w:pStyle w:val="ListParagraph"/>
        <w:numPr>
          <w:ilvl w:val="0"/>
          <w:numId w:val="2"/>
        </w:numPr>
        <w:spacing w:before="40" w:after="60"/>
      </w:pPr>
      <w:r>
        <w:rPr>
          <w:rFonts w:ascii="Arial" w:cs="Arial" w:eastAsia="Arial" w:hAnsi="Arial"/>
          <w:color w:val="1E293B"/>
          <w:sz w:val="21"/>
          <w:szCs w:val="21"/>
        </w:rPr>
        <w:t xml:space="preserve">Audit Service — Immutable audit trail writes (append-only pattern)</w:t>
      </w:r>
    </w:p>
    <w:p>
      <w:pPr>
        <w:pStyle w:val="Heading3"/>
        <w:spacing w:before="200" w:after="80"/>
      </w:pPr>
      <w:r>
        <w:rPr>
          <w:rFonts w:ascii="Arial" w:cs="Arial" w:eastAsia="Arial" w:hAnsi="Arial"/>
          <w:b/>
          <w:bCs/>
          <w:color w:val="0F766E"/>
          <w:sz w:val="22"/>
          <w:szCs w:val="22"/>
        </w:rPr>
        <w:t xml:space="preserve">Layer 4 — Data Layer</w:t>
      </w:r>
    </w:p>
    <w:p>
      <w:pPr>
        <w:spacing w:before="60" w:after="100"/>
      </w:pPr>
      <w:r>
        <w:rPr>
          <w:rFonts w:ascii="Arial" w:cs="Arial" w:eastAsia="Arial" w:hAnsi="Arial"/>
          <w:b w:val="false"/>
          <w:bCs w:val="false"/>
          <w:i w:val="false"/>
          <w:iCs w:val="false"/>
          <w:color w:val="1E293B"/>
          <w:sz w:val="22"/>
          <w:szCs w:val="22"/>
        </w:rPr>
        <w:t xml:space="preserve">Azure Database for PostgreSQL Flexible Server (v16) with schema-per-tenant isolation. A shared 'platform' schema holds subscription/tenant registry data. Each tenant gets a dedicated PostgreSQL schema (e.g., schema: tenant_abc123) with fully isolated tables. Azure Redis Cache provides session and hot-data caching.</w:t>
      </w:r>
    </w:p>
    <w:p>
      <w:pPr>
        <w:pStyle w:val="Heading3"/>
        <w:spacing w:before="200" w:after="80"/>
      </w:pPr>
      <w:r>
        <w:rPr>
          <w:rFonts w:ascii="Arial" w:cs="Arial" w:eastAsia="Arial" w:hAnsi="Arial"/>
          <w:b/>
          <w:bCs/>
          <w:color w:val="0F766E"/>
          <w:sz w:val="22"/>
          <w:szCs w:val="22"/>
        </w:rPr>
        <w:t xml:space="preserve">Layer 5 — Document Storage</w:t>
      </w:r>
    </w:p>
    <w:p>
      <w:pPr>
        <w:spacing w:before="60" w:after="100"/>
      </w:pPr>
      <w:r>
        <w:rPr>
          <w:rFonts w:ascii="Arial" w:cs="Arial" w:eastAsia="Arial" w:hAnsi="Arial"/>
          <w:b w:val="false"/>
          <w:bCs w:val="false"/>
          <w:i w:val="false"/>
          <w:iCs w:val="false"/>
          <w:color w:val="1E293B"/>
          <w:sz w:val="22"/>
          <w:szCs w:val="22"/>
        </w:rPr>
        <w:t xml:space="preserve">Azure Blob Storage with one dedicated container per tenant (e.g., blob container: docs-tenantid). Short-lived SAS tokens (15-minute TTL) are issued per document access request. All blobs encrypted with Microsoft-managed keys (upgradeable to Customer-Managed Keys in Wave 2).</w:t>
      </w:r>
    </w:p>
    <w:p>
      <w:pPr>
        <w:spacing w:before="0" w:after="80"/>
      </w:pPr>
      <w:r>
        <w:t xml:space="preserve"/>
      </w:r>
    </w:p>
    <w:p>
      <w:pPr>
        <w:pStyle w:val="Heading2"/>
        <w:spacing w:before="280" w:after="100"/>
      </w:pPr>
      <w:r>
        <w:rPr>
          <w:rFonts w:ascii="Arial" w:cs="Arial" w:eastAsia="Arial" w:hAnsi="Arial"/>
          <w:b/>
          <w:bCs/>
          <w:color w:val="334155"/>
          <w:sz w:val="26"/>
          <w:szCs w:val="26"/>
        </w:rPr>
        <w:t xml:space="preserve">2.2 Deployment Architecture</w:t>
      </w:r>
    </w:p>
    <w:p>
      <w:pPr>
        <w:spacing w:before="60" w:after="100"/>
      </w:pPr>
      <w:r>
        <w:rPr>
          <w:rFonts w:ascii="Arial" w:cs="Arial" w:eastAsia="Arial" w:hAnsi="Arial"/>
          <w:b w:val="false"/>
          <w:bCs w:val="false"/>
          <w:i w:val="false"/>
          <w:iCs w:val="false"/>
          <w:color w:val="1E293B"/>
          <w:sz w:val="22"/>
          <w:szCs w:val="22"/>
        </w:rPr>
        <w:t xml:space="preserve">The platform deploys to Azure using an Infrastructure-as-Code approach (Bicep templates stored in the repository). The deployment model supports a single-region primary with geo-redundant backup.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9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Azure Service</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SKU / Tier</w:t>
            </w:r>
          </w:p>
        </w:tc>
        <w:tc>
          <w:tcPr>
            <w:tcW w:type="dxa" w:w="2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Frontend SPA</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Azure Static Web Apps</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Standard</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Global CDN, custom domains, built-in CI/CD</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API Gateway</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Azure API Management</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Developer → Standard</w:t>
            </w:r>
          </w:p>
        </w:tc>
        <w:tc>
          <w:tcPr>
            <w:tcW w:type="dxa" w:w="2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Upgrade at scale; WAF policies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App Services</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Azure App Service</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P2v3 (2 instances)</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Auto-scale 2–8 instances based on CPU/RPS</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Database</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Azure PostgreSQL Flexible</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General Purpose D4s v3</w:t>
            </w:r>
          </w:p>
        </w:tc>
        <w:tc>
          <w:tcPr>
            <w:tcW w:type="dxa" w:w="2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Zone-redundant, PITR 35 days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Cache</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Azure Cache for Redis</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C1 Standard</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Session + query caching</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Document Store</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Azure Blob Storage</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General Purpose v2 LRS→GRS</w:t>
            </w:r>
          </w:p>
        </w:tc>
        <w:tc>
          <w:tcPr>
            <w:tcW w:type="dxa" w:w="2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Lifecycle policies, versioning enabled</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Message Bus</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Azure Service Bus</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Standard</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Async notifications, audit events</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Key Vault</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Azure Key Vault</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Standard</w:t>
            </w:r>
          </w:p>
        </w:tc>
        <w:tc>
          <w:tcPr>
            <w:tcW w:type="dxa" w:w="2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Secrets, connection strings, certs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Monitor</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Azure Monitor + App Insights</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Pay-as-you-go</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Full observability stack</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CDN</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Azure Front Door</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Standard</w:t>
            </w:r>
          </w:p>
        </w:tc>
        <w:tc>
          <w:tcPr>
            <w:tcW w:type="dxa" w:w="2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WAF, DDoS, global load balancing</w:t>
            </w:r>
          </w:p>
        </w:tc>
      </w:tr>
    </w:tbl>
    <w:p>
      <w:pPr>
        <w:spacing w:before="0" w:after="80"/>
      </w:pPr>
      <w:r>
        <w:t xml:space="preserve"/>
      </w:r>
    </w:p>
    <w:p>
      <w:pPr>
        <w:pStyle w:val="Heading2"/>
        <w:spacing w:before="280" w:after="100"/>
      </w:pPr>
      <w:r>
        <w:rPr>
          <w:rFonts w:ascii="Arial" w:cs="Arial" w:eastAsia="Arial" w:hAnsi="Arial"/>
          <w:b/>
          <w:bCs/>
          <w:color w:val="334155"/>
          <w:sz w:val="26"/>
          <w:szCs w:val="26"/>
        </w:rPr>
        <w:t xml:space="preserve">2.3 Tenant Isolation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8"/>
              <w:bottom w:val="single" w:color="E2E8F0" w:sz="1"/>
              <w:right w:val="single" w:color="E2E8F0" w:sz="1"/>
            </w:tcBorders>
            <w:shd w:fill="FEF3C7" w:val="clear"/>
            <w:tcMar>
              <w:top w:type="dxa" w:w="120"/>
              <w:left w:type="dxa" w:w="200"/>
              <w:bottom w:type="dxa" w:w="120"/>
              <w:right w:type="dxa" w:w="120"/>
            </w:tcMar>
          </w:tcPr>
          <w:p>
            <w:pPr>
              <w:spacing w:before="60" w:after="60"/>
            </w:pPr>
            <w:r>
              <w:rPr>
                <w:rFonts w:ascii="Arial" w:cs="Arial" w:eastAsia="Arial" w:hAnsi="Arial"/>
                <w:b/>
                <w:bCs/>
                <w:color w:val="D97706"/>
                <w:sz w:val="22"/>
                <w:szCs w:val="22"/>
              </w:rPr>
              <w:t xml:space="preserve">Architectural Decision: Schema-Per-Tenant</w:t>
            </w:r>
          </w:p>
          <w:p>
            <w:pPr>
              <w:spacing w:before="30" w:after="30"/>
            </w:pPr>
            <w:r>
              <w:rPr>
                <w:rFonts w:ascii="Arial" w:cs="Arial" w:eastAsia="Arial" w:hAnsi="Arial"/>
                <w:color w:val="1E293B"/>
                <w:sz w:val="20"/>
                <w:szCs w:val="20"/>
              </w:rPr>
              <w:t xml:space="preserve">Chosen approach: PostgreSQL Schema-Per-Tenant (Hybrid Isolation Model)</w:t>
            </w:r>
          </w:p>
          <w:p>
            <w:pPr>
              <w:spacing w:before="30" w:after="30"/>
            </w:pPr>
            <w:r>
              <w:rPr>
                <w:rFonts w:ascii="Arial" w:cs="Arial" w:eastAsia="Arial" w:hAnsi="Arial"/>
                <w:color w:val="1E293B"/>
                <w:sz w:val="20"/>
                <w:szCs w:val="20"/>
              </w:rPr>
              <w:t xml:space="preserve"/>
            </w:r>
          </w:p>
          <w:p>
            <w:pPr>
              <w:spacing w:before="30" w:after="30"/>
            </w:pPr>
            <w:r>
              <w:rPr>
                <w:rFonts w:ascii="Arial" w:cs="Arial" w:eastAsia="Arial" w:hAnsi="Arial"/>
                <w:color w:val="1E293B"/>
                <w:sz w:val="20"/>
                <w:szCs w:val="20"/>
              </w:rPr>
              <w:t xml:space="preserve">Rationale: Law firms operate in a regulated environment with strict data confidentiality obligations (attorney-client privilege). Schema isolation provides strong logical separation without the operational cost of database-per-tenant, while outperforming row-level isolation from a security and compliance auditability standpoint.</w:t>
            </w:r>
          </w:p>
          <w:p>
            <w:pPr>
              <w:spacing w:before="30" w:after="30"/>
            </w:pPr>
            <w:r>
              <w:rPr>
                <w:rFonts w:ascii="Arial" w:cs="Arial" w:eastAsia="Arial" w:hAnsi="Arial"/>
                <w:color w:val="1E293B"/>
                <w:sz w:val="20"/>
                <w:szCs w:val="20"/>
              </w:rPr>
              <w:t xml:space="preserve"/>
            </w:r>
          </w:p>
          <w:p>
            <w:pPr>
              <w:spacing w:before="30" w:after="30"/>
            </w:pPr>
            <w:r>
              <w:rPr>
                <w:rFonts w:ascii="Arial" w:cs="Arial" w:eastAsia="Arial" w:hAnsi="Arial"/>
                <w:color w:val="1E293B"/>
                <w:sz w:val="20"/>
                <w:szCs w:val="20"/>
              </w:rPr>
              <w:t xml:space="preserve">Tradeoffs accepted: Schema migration complexity (mitigated by automated migration tooling); harder cross-tenant analytics (addressed via separate analytics pipeline in Wave 2).</w:t>
            </w:r>
          </w:p>
        </w:tc>
      </w:tr>
    </w:tbl>
    <w:p>
      <w:pPr>
        <w:spacing w:before="0" w:after="80"/>
      </w:pPr>
      <w:r>
        <w:t xml:space="preserve"/>
      </w:r>
    </w:p>
    <w:p>
      <w:pPr>
        <w:spacing w:before="60" w:after="100"/>
      </w:pPr>
      <w:r>
        <w:rPr>
          <w:rFonts w:ascii="Arial" w:cs="Arial" w:eastAsia="Arial" w:hAnsi="Arial"/>
          <w:b w:val="false"/>
          <w:bCs w:val="false"/>
          <w:i w:val="false"/>
          <w:iCs w:val="false"/>
          <w:color w:val="1E293B"/>
          <w:sz w:val="22"/>
          <w:szCs w:val="22"/>
        </w:rPr>
        <w:t xml:space="preserve">Implementation details:</w:t>
      </w:r>
    </w:p>
    <w:p>
      <w:pPr>
        <w:pStyle w:val="ListParagraph"/>
        <w:numPr>
          <w:ilvl w:val="0"/>
          <w:numId w:val="2"/>
        </w:numPr>
        <w:spacing w:before="40" w:after="60"/>
      </w:pPr>
      <w:r>
        <w:rPr>
          <w:rFonts w:ascii="Arial" w:cs="Arial" w:eastAsia="Arial" w:hAnsi="Arial"/>
          <w:color w:val="1E293B"/>
          <w:sz w:val="21"/>
          <w:szCs w:val="21"/>
        </w:rPr>
        <w:t xml:space="preserve">Each approved tenant is provisioned with a unique schema name derived from their tenant ID (e.g., t_a1b2c3)</w:t>
      </w:r>
    </w:p>
    <w:p>
      <w:pPr>
        <w:pStyle w:val="ListParagraph"/>
        <w:numPr>
          <w:ilvl w:val="0"/>
          <w:numId w:val="2"/>
        </w:numPr>
        <w:spacing w:before="40" w:after="60"/>
      </w:pPr>
      <w:r>
        <w:rPr>
          <w:rFonts w:ascii="Arial" w:cs="Arial" w:eastAsia="Arial" w:hAnsi="Arial"/>
          <w:color w:val="1E293B"/>
          <w:sz w:val="21"/>
          <w:szCs w:val="21"/>
        </w:rPr>
        <w:t xml:space="preserve">The application layer sets the PostgreSQL search_path to the tenant's schema on every connection, enforced by connection middleware</w:t>
      </w:r>
    </w:p>
    <w:p>
      <w:pPr>
        <w:pStyle w:val="ListParagraph"/>
        <w:numPr>
          <w:ilvl w:val="0"/>
          <w:numId w:val="2"/>
        </w:numPr>
        <w:spacing w:before="40" w:after="60"/>
      </w:pPr>
      <w:r>
        <w:rPr>
          <w:rFonts w:ascii="Arial" w:cs="Arial" w:eastAsia="Arial" w:hAnsi="Arial"/>
          <w:color w:val="1E293B"/>
          <w:sz w:val="21"/>
          <w:szCs w:val="21"/>
        </w:rPr>
        <w:t xml:space="preserve">A shared 'platform' schema contains: tenants, subscriptions, plans, platform_admins, audit_platform tables</w:t>
      </w:r>
    </w:p>
    <w:p>
      <w:pPr>
        <w:pStyle w:val="ListParagraph"/>
        <w:numPr>
          <w:ilvl w:val="0"/>
          <w:numId w:val="2"/>
        </w:numPr>
        <w:spacing w:before="40" w:after="60"/>
      </w:pPr>
      <w:r>
        <w:rPr>
          <w:rFonts w:ascii="Arial" w:cs="Arial" w:eastAsia="Arial" w:hAnsi="Arial"/>
          <w:color w:val="1E293B"/>
          <w:sz w:val="21"/>
          <w:szCs w:val="21"/>
        </w:rPr>
        <w:t xml:space="preserve">Row-level security (RLS) is added as a secondary defense layer on all tenant tables</w:t>
      </w:r>
    </w:p>
    <w:p>
      <w:pPr>
        <w:pStyle w:val="ListParagraph"/>
        <w:numPr>
          <w:ilvl w:val="0"/>
          <w:numId w:val="2"/>
        </w:numPr>
        <w:spacing w:before="40" w:after="60"/>
      </w:pPr>
      <w:r>
        <w:rPr>
          <w:rFonts w:ascii="Arial" w:cs="Arial" w:eastAsia="Arial" w:hAnsi="Arial"/>
          <w:color w:val="1E293B"/>
          <w:sz w:val="21"/>
          <w:szCs w:val="21"/>
        </w:rPr>
        <w:t xml:space="preserve">Database users: one read-write app user per tenant schema; one read-only reporting user</w:t>
      </w:r>
    </w:p>
    <w:p>
      <w:pPr>
        <w:pStyle w:val="ListParagraph"/>
        <w:numPr>
          <w:ilvl w:val="0"/>
          <w:numId w:val="2"/>
        </w:numPr>
        <w:spacing w:before="40" w:after="60"/>
      </w:pPr>
      <w:r>
        <w:rPr>
          <w:rFonts w:ascii="Arial" w:cs="Arial" w:eastAsia="Arial" w:hAnsi="Arial"/>
          <w:color w:val="1E293B"/>
          <w:sz w:val="21"/>
          <w:szCs w:val="21"/>
        </w:rPr>
        <w:t xml:space="preserve">Cross-tenant queries are strictly prohibited at the application layer; enforced by code review policy and automated linting</w:t>
      </w:r>
    </w:p>
    <w:p>
      <w:pPr>
        <w:spacing w:before="0" w:after="80"/>
      </w:pPr>
      <w:r>
        <w:t xml:space="preserve"/>
      </w:r>
    </w:p>
    <w:p>
      <w:pPr>
        <w:pStyle w:val="Heading2"/>
        <w:spacing w:before="280" w:after="100"/>
      </w:pPr>
      <w:r>
        <w:rPr>
          <w:rFonts w:ascii="Arial" w:cs="Arial" w:eastAsia="Arial" w:hAnsi="Arial"/>
          <w:b/>
          <w:bCs/>
          <w:color w:val="334155"/>
          <w:sz w:val="26"/>
          <w:szCs w:val="26"/>
        </w:rPr>
        <w:t xml:space="preserve">2.4 Subscription &amp; Licensing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3260"/>
        <w:gridCol w:w="1900"/>
      </w:tblGrid>
      <w:tr>
        <w:trPr>
          <w:tblHeader/>
        </w:trPr>
        <w:tc>
          <w:tcPr>
            <w:tcW w:type="dxa" w:w="15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Plan</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Seats</w:t>
            </w:r>
          </w:p>
        </w:tc>
        <w:tc>
          <w:tcPr>
            <w:tcW w:type="dxa" w:w="32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Features</w:t>
            </w:r>
          </w:p>
        </w:tc>
        <w:tc>
          <w:tcPr>
            <w:tcW w:type="dxa" w:w="19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Price Point</w:t>
            </w:r>
          </w:p>
        </w:tc>
      </w:tr>
      <w:tr>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Solo</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Individual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1</w:t>
            </w:r>
          </w:p>
        </w:tc>
        <w:tc>
          <w:tcPr>
            <w:tcW w:type="dxa" w:w="32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All core modules; 5 GB document storage</w:t>
            </w:r>
          </w:p>
        </w:tc>
        <w:tc>
          <w:tcPr>
            <w:tcW w:type="dxa" w:w="19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Per month, fixed</w:t>
            </w:r>
          </w:p>
        </w:tc>
      </w:tr>
      <w:tr>
        <w:tc>
          <w:tcPr>
            <w:tcW w:type="dxa" w:w="15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Starter</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Organization</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Up to 5</w:t>
            </w:r>
          </w:p>
        </w:tc>
        <w:tc>
          <w:tcPr>
            <w:tcW w:type="dxa" w:w="32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All core modules; 20 GB storage; basic config</w:t>
            </w:r>
          </w:p>
        </w:tc>
        <w:tc>
          <w:tcPr>
            <w:tcW w:type="dxa" w:w="19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Per seat per month</w:t>
            </w:r>
          </w:p>
        </w:tc>
      </w:tr>
      <w:tr>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Professional</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Organization</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Up to 25</w:t>
            </w:r>
          </w:p>
        </w:tc>
        <w:tc>
          <w:tcPr>
            <w:tcW w:type="dxa" w:w="32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All modules; 100 GB storage; courts config; audit logs</w:t>
            </w:r>
          </w:p>
        </w:tc>
        <w:tc>
          <w:tcPr>
            <w:tcW w:type="dxa" w:w="19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Per seat per month</w:t>
            </w:r>
          </w:p>
        </w:tc>
      </w:tr>
      <w:tr>
        <w:tc>
          <w:tcPr>
            <w:tcW w:type="dxa" w:w="15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Enterprise</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Organization</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Unlimited</w:t>
            </w:r>
          </w:p>
        </w:tc>
        <w:tc>
          <w:tcPr>
            <w:tcW w:type="dxa" w:w="32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All modules + Wave 2; unlimited storage; SSO; SLA</w:t>
            </w:r>
          </w:p>
        </w:tc>
        <w:tc>
          <w:tcPr>
            <w:tcW w:type="dxa" w:w="19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Custom contract</w:t>
            </w:r>
          </w:p>
        </w:tc>
      </w:tr>
    </w:tbl>
    <w:p>
      <w:pPr>
        <w:spacing w:before="0" w:after="80"/>
      </w:pPr>
      <w:r>
        <w:t xml:space="preserve"/>
      </w:r>
    </w:p>
    <w:p>
      <w:pPr>
        <w:spacing w:before="60" w:after="100"/>
      </w:pPr>
      <w:r>
        <w:rPr>
          <w:rFonts w:ascii="Arial" w:cs="Arial" w:eastAsia="Arial" w:hAnsi="Arial"/>
          <w:b w:val="false"/>
          <w:bCs w:val="false"/>
          <w:i w:val="false"/>
          <w:iCs w:val="false"/>
          <w:color w:val="1E293B"/>
          <w:sz w:val="22"/>
          <w:szCs w:val="22"/>
        </w:rPr>
        <w:t xml:space="preserve">Licensing enforcement: Seat count is enforced at the API layer. Attempting to add a user when seats are exhausted returns HTTP 402 with a clear upgrade prompt. Subscription state (active, suspended, trialing, cancelled) gates access to all tenant-scoped API endpoints.</w:t>
      </w:r>
    </w:p>
    <w:p>
      <w:pPr>
        <w:spacing w:before="0" w:after="80"/>
      </w:pPr>
      <w:r>
        <w:t xml:space="preserve"/>
      </w:r>
    </w:p>
    <w:p>
      <w:pPr>
        <w:pStyle w:val="Heading2"/>
        <w:spacing w:before="280" w:after="100"/>
      </w:pPr>
      <w:r>
        <w:rPr>
          <w:rFonts w:ascii="Arial" w:cs="Arial" w:eastAsia="Arial" w:hAnsi="Arial"/>
          <w:b/>
          <w:bCs/>
          <w:color w:val="334155"/>
          <w:sz w:val="26"/>
          <w:szCs w:val="26"/>
        </w:rPr>
        <w:t xml:space="preserve">2.5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41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41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Justification</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Frontend</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React + TypeScript</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18 / 5.x</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Type safety, component ecosystem, strong hire market</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State Mgmt</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Zustand + React Query</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Latest</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Lightweight global state; server-state caching</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UI Library</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shadcn/ui + Tailwind CSS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Latest</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Accessible, customizable, no vendor lock-in</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Backend</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ASP.NET Core 8 (C#)</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8.0 LTS</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Enterprise performance, Azure-native, strong typing</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ORM</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Entity Framework Core 8</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8.0</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Code-first migrations, schema management, LINQ</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Auth</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Azure Entra ID B2C</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Current</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OIDC, MFA, tenant federation, enterprise-grade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Database</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PostgreSQL 16</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16.x</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ACID, schema isolation, JSON support, mature ecosystem</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Cache</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Redis 7</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7.x</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Sub-ms latency, session management, pub/sub</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Docs</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Azure Blob Storage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Current</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Cost-effective, scalable, SAS tokens, lifecycle mgmt</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API Docs</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OpenAPI 3.1 / Swagger</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Latest</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Industry standard, code generation, developer DX</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CI/CD</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Azure DevOps / GitHub Actions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Current</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Automated build, test, deploy pipelines</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IaC</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Azure Bicep</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Latest</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Native ARM, type-safe, readable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Monitoring</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Azure App Insights + Monitor</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Current</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End-to-end tracing, dashboards, alerting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36"/>
                <w:szCs w:val="36"/>
              </w:rPr>
              <w:t xml:space="preserve">SECTION 3</w:t>
            </w:r>
          </w:p>
          <w:p>
            <w:r>
              <w:rPr>
                <w:rFonts w:ascii="Arial" w:cs="Arial" w:eastAsia="Arial" w:hAnsi="Arial"/>
                <w:color w:val="BFDBFE"/>
                <w:sz w:val="22"/>
                <w:szCs w:val="22"/>
              </w:rPr>
              <w:t xml:space="preserve">Data Architecture &amp; Domain Model</w:t>
            </w:r>
          </w:p>
        </w:tc>
      </w:tr>
    </w:tbl>
    <w:p>
      <w:pPr>
        <w:spacing w:before="0" w:after="80"/>
      </w:pPr>
      <w:r>
        <w:t xml:space="preserve"/>
      </w:r>
    </w:p>
    <w:p>
      <w:pPr>
        <w:pStyle w:val="Heading1"/>
        <w:spacing w:before="360" w:after="120"/>
      </w:pPr>
      <w:r>
        <w:rPr>
          <w:rFonts w:ascii="Arial" w:cs="Arial" w:eastAsia="Arial" w:hAnsi="Arial"/>
          <w:b/>
          <w:bCs/>
          <w:color w:val="1B3A6B"/>
          <w:sz w:val="32"/>
          <w:szCs w:val="32"/>
        </w:rPr>
        <w:t xml:space="preserve">Data Architecture &amp; Domain Model</w:t>
      </w:r>
    </w:p>
    <w:p>
      <w:pPr>
        <w:pStyle w:val="Heading2"/>
        <w:spacing w:before="280" w:after="100"/>
      </w:pPr>
      <w:r>
        <w:rPr>
          <w:rFonts w:ascii="Arial" w:cs="Arial" w:eastAsia="Arial" w:hAnsi="Arial"/>
          <w:b/>
          <w:bCs/>
          <w:color w:val="334155"/>
          <w:sz w:val="26"/>
          <w:szCs w:val="26"/>
        </w:rPr>
        <w:t xml:space="preserve">3.1 Core Domain Model</w:t>
      </w:r>
    </w:p>
    <w:p>
      <w:pPr>
        <w:spacing w:before="60" w:after="100"/>
      </w:pPr>
      <w:r>
        <w:rPr>
          <w:rFonts w:ascii="Arial" w:cs="Arial" w:eastAsia="Arial" w:hAnsi="Arial"/>
          <w:b w:val="false"/>
          <w:bCs w:val="false"/>
          <w:i w:val="false"/>
          <w:iCs w:val="false"/>
          <w:color w:val="1E293B"/>
          <w:sz w:val="22"/>
          <w:szCs w:val="22"/>
        </w:rPr>
        <w:t xml:space="preserve">The domain model is organized across two schemas: Platform (shared, global) and Tenant (isolated per firm). All entities follow a base pattern with: id (UUID), created_at, updated_at, created_by, is_deleted (soft delete), tenant_id.</w:t>
      </w:r>
    </w:p>
    <w:p>
      <w:pPr>
        <w:spacing w:before="0" w:after="80"/>
      </w:pPr>
      <w:r>
        <w:t xml:space="preserve"/>
      </w:r>
    </w:p>
    <w:p>
      <w:pPr>
        <w:pStyle w:val="Heading3"/>
        <w:spacing w:before="200" w:after="80"/>
      </w:pPr>
      <w:r>
        <w:rPr>
          <w:rFonts w:ascii="Arial" w:cs="Arial" w:eastAsia="Arial" w:hAnsi="Arial"/>
          <w:b/>
          <w:bCs/>
          <w:color w:val="0F766E"/>
          <w:sz w:val="22"/>
          <w:szCs w:val="22"/>
        </w:rPr>
        <w:t xml:space="preserve">Platform Schema —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Entity</w:t>
            </w:r>
          </w:p>
        </w:tc>
        <w:tc>
          <w:tcPr>
            <w:tcW w:type="dxa" w:w="43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Key Attributes</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tenants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id, name, slug, plan_id, status, provisioned_at, schema_name</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Central tenant registry; source of truth for provisioning</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subscription_plans</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id, name, type (individual/org), max_seats, features_json, price</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Plan definitions and feature flags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subscriptions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id, tenant_id, plan_id, status, seat_count, starts_at, ends_at</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Active subscription state per tenant</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subscription_requests</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id, applicant_email, org_name, plan_id, status, reviewed_by, notes</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Inbound subscription applications awaiting approval</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platform_admins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id, user_id, email, role, is_active</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Platform-level administrators</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platform_audit_log</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id, actor_id, action, resource_type, resource_id, timestamp, ip_addr, payload</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Immutable platform-level audit trail</w:t>
            </w:r>
          </w:p>
        </w:tc>
      </w:tr>
    </w:tbl>
    <w:p>
      <w:pPr>
        <w:spacing w:before="0" w:after="80"/>
      </w:pPr>
      <w:r>
        <w:t xml:space="preserve"/>
      </w:r>
    </w:p>
    <w:p>
      <w:pPr>
        <w:pStyle w:val="Heading3"/>
        <w:spacing w:before="200" w:after="80"/>
      </w:pPr>
      <w:r>
        <w:rPr>
          <w:rFonts w:ascii="Arial" w:cs="Arial" w:eastAsia="Arial" w:hAnsi="Arial"/>
          <w:b/>
          <w:bCs/>
          <w:color w:val="0F766E"/>
          <w:sz w:val="22"/>
          <w:szCs w:val="22"/>
        </w:rPr>
        <w:t xml:space="preserve">Tenant Schema —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Entity</w:t>
            </w:r>
          </w:p>
        </w:tc>
        <w:tc>
          <w:tcPr>
            <w:tcW w:type="dxa" w:w="43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Key Attributes</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users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id, email, full_name, role_id, seat_type, is_active, last_login</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Tenant-scoped user accounts</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roles</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id, name, permissions_json, is_system, is_active</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Tenant-defined and system roles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courts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id, name, jurisdiction, city, country, is_active</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Configurable court reference data per tenant</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customers</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id, type (individual/company), full_name, email, phone, address, status, assigned_to</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Client/customer profiles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customer_documents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id, customer_id, doc_type, blob_path, uploaded_by, verified_at</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POA, ID, registration docs per client</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cases</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id, case_number, title, customer_id, court_id, lawyer_id, status, opened_at, closed_at, description</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Legal case records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case_documents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id, case_id, name, doc_category, blob_path, version, uploaded_by</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Documents attached to cases</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case_appointments</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id, case_id, title, start_at, end_at, location, attendees, notes</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Hearings, meetings, deadlines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case_expenses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id, case_id, amount, currency, category, description, incurred_at, receipt_blob</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Expenses tracked per case</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documents</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id, doc_type, entity_type, entity_id, name, blob_path, container, size_bytes, mime_type, version, status, access_level</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Centralized document registry</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document_access_log</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id, document_id, user_id, action, timestamp, ip_addr</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Per-document access audit trail</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tenant_audit_log</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id, actor_id, actor_email, action, resource_type, resource_id, old_value, new_value, timestamp</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Immutable tenant-level audit trail</w:t>
            </w:r>
          </w:p>
        </w:tc>
      </w:tr>
    </w:tbl>
    <w:p>
      <w:pPr>
        <w:spacing w:before="0" w:after="80"/>
      </w:pPr>
      <w:r>
        <w:t xml:space="preserve"/>
      </w:r>
    </w:p>
    <w:p>
      <w:pPr>
        <w:pStyle w:val="Heading2"/>
        <w:spacing w:before="280" w:after="100"/>
      </w:pPr>
      <w:r>
        <w:rPr>
          <w:rFonts w:ascii="Arial" w:cs="Arial" w:eastAsia="Arial" w:hAnsi="Arial"/>
          <w:b/>
          <w:bCs/>
          <w:color w:val="334155"/>
          <w:sz w:val="26"/>
          <w:szCs w:val="26"/>
        </w:rPr>
        <w:t xml:space="preserve">3.2 Document Storage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8"/>
              <w:bottom w:val="single" w:color="E2E8F0" w:sz="1"/>
              <w:right w:val="single" w:color="E2E8F0" w:sz="1"/>
            </w:tcBorders>
            <w:shd w:fill="CCFBF1" w:val="clear"/>
            <w:tcMar>
              <w:top w:type="dxa" w:w="120"/>
              <w:left w:type="dxa" w:w="200"/>
              <w:bottom w:type="dxa" w:w="120"/>
              <w:right w:type="dxa" w:w="120"/>
            </w:tcMar>
          </w:tcPr>
          <w:p>
            <w:pPr>
              <w:spacing w:before="60" w:after="60"/>
            </w:pPr>
            <w:r>
              <w:rPr>
                <w:rFonts w:ascii="Arial" w:cs="Arial" w:eastAsia="Arial" w:hAnsi="Arial"/>
                <w:b/>
                <w:bCs/>
                <w:color w:val="0F766E"/>
                <w:sz w:val="22"/>
                <w:szCs w:val="22"/>
              </w:rPr>
              <w:t xml:space="preserve">Azure Blob Storage Design</w:t>
            </w:r>
          </w:p>
          <w:p>
            <w:pPr>
              <w:spacing w:before="30" w:after="30"/>
            </w:pPr>
            <w:r>
              <w:rPr>
                <w:rFonts w:ascii="Arial" w:cs="Arial" w:eastAsia="Arial" w:hAnsi="Arial"/>
                <w:color w:val="1E293B"/>
                <w:sz w:val="20"/>
                <w:szCs w:val="20"/>
              </w:rPr>
              <w:t xml:space="preserve">Container naming: docs-{tenant_id}  (e.g., docs-a1b2c3d4)</w:t>
            </w:r>
          </w:p>
          <w:p>
            <w:pPr>
              <w:spacing w:before="30" w:after="30"/>
            </w:pPr>
            <w:r>
              <w:rPr>
                <w:rFonts w:ascii="Arial" w:cs="Arial" w:eastAsia="Arial" w:hAnsi="Arial"/>
                <w:color w:val="1E293B"/>
                <w:sz w:val="20"/>
                <w:szCs w:val="20"/>
              </w:rPr>
              <w:t xml:space="preserve">Blob path structure: {entity_type}/{entity_id}/{category}/{uuid}-{filename}</w:t>
            </w:r>
          </w:p>
          <w:p>
            <w:pPr>
              <w:spacing w:before="30" w:after="30"/>
            </w:pPr>
            <w:r>
              <w:rPr>
                <w:rFonts w:ascii="Arial" w:cs="Arial" w:eastAsia="Arial" w:hAnsi="Arial"/>
                <w:color w:val="1E293B"/>
                <w:sz w:val="20"/>
                <w:szCs w:val="20"/>
              </w:rPr>
              <w:t xml:space="preserve">Example: cases/case_001/pleadings/f3a2b1c0-motion-to-dismiss.pdf</w:t>
            </w:r>
          </w:p>
          <w:p>
            <w:pPr>
              <w:spacing w:before="30" w:after="30"/>
            </w:pPr>
            <w:r>
              <w:rPr>
                <w:rFonts w:ascii="Arial" w:cs="Arial" w:eastAsia="Arial" w:hAnsi="Arial"/>
                <w:color w:val="1E293B"/>
                <w:sz w:val="20"/>
                <w:szCs w:val="20"/>
              </w:rPr>
              <w:t xml:space="preserve"/>
            </w:r>
          </w:p>
          <w:p>
            <w:pPr>
              <w:spacing w:before="30" w:after="30"/>
            </w:pPr>
            <w:r>
              <w:rPr>
                <w:rFonts w:ascii="Arial" w:cs="Arial" w:eastAsia="Arial" w:hAnsi="Arial"/>
                <w:color w:val="1E293B"/>
                <w:sz w:val="20"/>
                <w:szCs w:val="20"/>
              </w:rPr>
              <w:t xml:space="preserve">Access pattern: Application generates a short-lived SAS token (15-min TTL) per document on demand.</w:t>
            </w:r>
          </w:p>
          <w:p>
            <w:pPr>
              <w:spacing w:before="30" w:after="30"/>
            </w:pPr>
            <w:r>
              <w:rPr>
                <w:rFonts w:ascii="Arial" w:cs="Arial" w:eastAsia="Arial" w:hAnsi="Arial"/>
                <w:color w:val="1E293B"/>
                <w:sz w:val="20"/>
                <w:szCs w:val="20"/>
              </w:rPr>
              <w:t xml:space="preserve">Blob access tier: Hot (frequent) → Cool (&gt;30 days inactive) → Archive (closed cases &gt;2 years)</w:t>
            </w:r>
          </w:p>
          <w:p>
            <w:pPr>
              <w:spacing w:before="30" w:after="30"/>
            </w:pPr>
            <w:r>
              <w:rPr>
                <w:rFonts w:ascii="Arial" w:cs="Arial" w:eastAsia="Arial" w:hAnsi="Arial"/>
                <w:color w:val="1E293B"/>
                <w:sz w:val="20"/>
                <w:szCs w:val="20"/>
              </w:rPr>
              <w:t xml:space="preserve">Versioning: Blob versioning enabled. Soft delete: 30-day retention. Immutability policy: configurable per tenant.</w:t>
            </w:r>
          </w:p>
          <w:p>
            <w:pPr>
              <w:spacing w:before="30" w:after="30"/>
            </w:pPr>
            <w:r>
              <w:rPr>
                <w:rFonts w:ascii="Arial" w:cs="Arial" w:eastAsia="Arial" w:hAnsi="Arial"/>
                <w:color w:val="1E293B"/>
                <w:sz w:val="20"/>
                <w:szCs w:val="20"/>
              </w:rPr>
              <w:t xml:space="preserve">Encryption: Storage Service Encryption (SSE) with Microsoft-managed keys (Wave 2: Customer-Managed Keys via Key Vault)</w:t>
            </w:r>
          </w:p>
        </w:tc>
      </w:tr>
    </w:tbl>
    <w:p>
      <w:pPr>
        <w:spacing w:before="0" w:after="80"/>
      </w:pPr>
      <w:r>
        <w:t xml:space="preserve"/>
      </w:r>
    </w:p>
    <w:p>
      <w:pPr>
        <w:pStyle w:val="Heading3"/>
        <w:spacing w:before="200" w:after="80"/>
      </w:pPr>
      <w:r>
        <w:rPr>
          <w:rFonts w:ascii="Arial" w:cs="Arial" w:eastAsia="Arial" w:hAnsi="Arial"/>
          <w:b/>
          <w:bCs/>
          <w:color w:val="0F766E"/>
          <w:sz w:val="22"/>
          <w:szCs w:val="22"/>
        </w:rPr>
        <w:t xml:space="preserve">Document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State</w:t>
            </w:r>
          </w:p>
        </w:tc>
        <w:tc>
          <w:tcPr>
            <w:tcW w:type="dxa" w:w="3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43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Transition Triggers</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DRAFT</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Uploaded but not confirmed</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System state on upload initiation</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ACTIVE</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Confirmed, accessible to authorized users</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Upload complete + virus scan passed</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UNDER_REVIEW</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Flagged for review by admin</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Admin action or policy trigger</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ARCHIVED</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Read-only, moved to cool/archive tier</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Case closed or manual archive action</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DELETED</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Soft-deleted, blob retained 30 days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User deletion; permanent purge after retention period</w:t>
            </w:r>
          </w:p>
        </w:tc>
      </w:tr>
    </w:tbl>
    <w:p>
      <w:pPr>
        <w:spacing w:before="0" w:after="80"/>
      </w:pPr>
      <w:r>
        <w:t xml:space="preserve"/>
      </w:r>
    </w:p>
    <w:p>
      <w:pPr>
        <w:pStyle w:val="Heading2"/>
        <w:spacing w:before="280" w:after="100"/>
      </w:pPr>
      <w:r>
        <w:rPr>
          <w:rFonts w:ascii="Arial" w:cs="Arial" w:eastAsia="Arial" w:hAnsi="Arial"/>
          <w:b/>
          <w:bCs/>
          <w:color w:val="334155"/>
          <w:sz w:val="26"/>
          <w:szCs w:val="26"/>
        </w:rPr>
        <w:t xml:space="preserve">3.3 Data Backup &amp; Disaster Recovery</w:t>
      </w:r>
    </w:p>
    <w:p>
      <w:pPr>
        <w:pStyle w:val="ListParagraph"/>
        <w:numPr>
          <w:ilvl w:val="0"/>
          <w:numId w:val="2"/>
        </w:numPr>
        <w:spacing w:before="40" w:after="60"/>
      </w:pPr>
      <w:r>
        <w:rPr>
          <w:rFonts w:ascii="Arial" w:cs="Arial" w:eastAsia="Arial" w:hAnsi="Arial"/>
          <w:color w:val="1E293B"/>
          <w:sz w:val="21"/>
          <w:szCs w:val="21"/>
        </w:rPr>
        <w:t xml:space="preserve">PostgreSQL: Azure Flexible Server automated backups — full daily, transaction logs every 5 minutes. PITR retention: 35 days.</w:t>
      </w:r>
    </w:p>
    <w:p>
      <w:pPr>
        <w:pStyle w:val="ListParagraph"/>
        <w:numPr>
          <w:ilvl w:val="0"/>
          <w:numId w:val="2"/>
        </w:numPr>
        <w:spacing w:before="40" w:after="60"/>
      </w:pPr>
      <w:r>
        <w:rPr>
          <w:rFonts w:ascii="Arial" w:cs="Arial" w:eastAsia="Arial" w:hAnsi="Arial"/>
          <w:color w:val="1E293B"/>
          <w:sz w:val="21"/>
          <w:szCs w:val="21"/>
        </w:rPr>
        <w:t xml:space="preserve">Blob Storage: Geo-redundant storage (GRS) replicates blobs to a paired Azure region asynchronously. Soft delete + versioning prevents accidental loss.</w:t>
      </w:r>
    </w:p>
    <w:p>
      <w:pPr>
        <w:pStyle w:val="ListParagraph"/>
        <w:numPr>
          <w:ilvl w:val="0"/>
          <w:numId w:val="2"/>
        </w:numPr>
        <w:spacing w:before="40" w:after="60"/>
      </w:pPr>
      <w:r>
        <w:rPr>
          <w:rFonts w:ascii="Arial" w:cs="Arial" w:eastAsia="Arial" w:hAnsi="Arial"/>
          <w:color w:val="1E293B"/>
          <w:sz w:val="21"/>
          <w:szCs w:val="21"/>
        </w:rPr>
        <w:t xml:space="preserve">RTO Target: 4 hours (MVP); 1 hour (post-GA scale). RPO Target: 15 minutes.</w:t>
      </w:r>
    </w:p>
    <w:p>
      <w:pPr>
        <w:pStyle w:val="ListParagraph"/>
        <w:numPr>
          <w:ilvl w:val="0"/>
          <w:numId w:val="2"/>
        </w:numPr>
        <w:spacing w:before="40" w:after="60"/>
      </w:pPr>
      <w:r>
        <w:rPr>
          <w:rFonts w:ascii="Arial" w:cs="Arial" w:eastAsia="Arial" w:hAnsi="Arial"/>
          <w:color w:val="1E293B"/>
          <w:sz w:val="21"/>
          <w:szCs w:val="21"/>
        </w:rPr>
        <w:t xml:space="preserve">Tenant Backup Visibility: Tenant admins can view last backup timestamp and submit restore requests via the admin portal. Platform team executes restores and marks request as complete.</w:t>
      </w:r>
    </w:p>
    <w:p>
      <w:pPr>
        <w:pStyle w:val="ListParagraph"/>
        <w:numPr>
          <w:ilvl w:val="0"/>
          <w:numId w:val="2"/>
        </w:numPr>
        <w:spacing w:before="40" w:after="60"/>
      </w:pPr>
      <w:r>
        <w:rPr>
          <w:rFonts w:ascii="Arial" w:cs="Arial" w:eastAsia="Arial" w:hAnsi="Arial"/>
          <w:color w:val="1E293B"/>
          <w:sz w:val="21"/>
          <w:szCs w:val="21"/>
        </w:rPr>
        <w:t xml:space="preserve">DR Runbook: Documented in Azure DevOps Wiki with role-assigned ownership and quarterly DR drills.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36"/>
                <w:szCs w:val="36"/>
              </w:rPr>
              <w:t xml:space="preserve">SECTION 4</w:t>
            </w:r>
          </w:p>
          <w:p>
            <w:r>
              <w:rPr>
                <w:rFonts w:ascii="Arial" w:cs="Arial" w:eastAsia="Arial" w:hAnsi="Arial"/>
                <w:color w:val="BFDBFE"/>
                <w:sz w:val="22"/>
                <w:szCs w:val="22"/>
              </w:rPr>
              <w:t xml:space="preserve">Security Architecture &amp; RBAC</w:t>
            </w:r>
          </w:p>
        </w:tc>
      </w:tr>
    </w:tbl>
    <w:p>
      <w:pPr>
        <w:spacing w:before="0" w:after="80"/>
      </w:pPr>
      <w:r>
        <w:t xml:space="preserve"/>
      </w:r>
    </w:p>
    <w:p>
      <w:pPr>
        <w:pStyle w:val="Heading1"/>
        <w:spacing w:before="360" w:after="120"/>
      </w:pPr>
      <w:r>
        <w:rPr>
          <w:rFonts w:ascii="Arial" w:cs="Arial" w:eastAsia="Arial" w:hAnsi="Arial"/>
          <w:b/>
          <w:bCs/>
          <w:color w:val="1B3A6B"/>
          <w:sz w:val="32"/>
          <w:szCs w:val="32"/>
        </w:rPr>
        <w:t xml:space="preserve">Security Architecture &amp; RBAC Model</w:t>
      </w:r>
    </w:p>
    <w:p>
      <w:pPr>
        <w:pStyle w:val="Heading2"/>
        <w:spacing w:before="280" w:after="100"/>
      </w:pPr>
      <w:r>
        <w:rPr>
          <w:rFonts w:ascii="Arial" w:cs="Arial" w:eastAsia="Arial" w:hAnsi="Arial"/>
          <w:b/>
          <w:bCs/>
          <w:color w:val="334155"/>
          <w:sz w:val="26"/>
          <w:szCs w:val="26"/>
        </w:rPr>
        <w:t xml:space="preserve">4.1 Identity &amp; Access Management</w:t>
      </w:r>
    </w:p>
    <w:p>
      <w:pPr>
        <w:spacing w:before="60" w:after="100"/>
      </w:pPr>
      <w:r>
        <w:rPr>
          <w:rFonts w:ascii="Arial" w:cs="Arial" w:eastAsia="Arial" w:hAnsi="Arial"/>
          <w:b w:val="false"/>
          <w:bCs w:val="false"/>
          <w:i w:val="false"/>
          <w:iCs w:val="false"/>
          <w:color w:val="1E293B"/>
          <w:sz w:val="22"/>
          <w:szCs w:val="22"/>
        </w:rPr>
        <w:t xml:space="preserve">Authentication is delegated to Azure Entra ID B2C, providing OpenID Connect (OIDC) based authentication with JWT access tokens. The platform implements a two-layer identity model: Platform Identity (global, for Platform Admins) and Tenant Identity (scoped per tenant, for all firm users).</w:t>
      </w:r>
    </w:p>
    <w:p>
      <w:pPr>
        <w:spacing w:before="0" w:after="80"/>
      </w:pPr>
      <w:r>
        <w:t xml:space="preserve"/>
      </w:r>
    </w:p>
    <w:p>
      <w:pPr>
        <w:pStyle w:val="ListParagraph"/>
        <w:numPr>
          <w:ilvl w:val="0"/>
          <w:numId w:val="2"/>
        </w:numPr>
        <w:spacing w:before="40" w:after="60"/>
      </w:pPr>
      <w:r>
        <w:rPr>
          <w:rFonts w:ascii="Arial" w:cs="Arial" w:eastAsia="Arial" w:hAnsi="Arial"/>
          <w:color w:val="1E293B"/>
          <w:sz w:val="21"/>
          <w:szCs w:val="21"/>
        </w:rPr>
        <w:t xml:space="preserve">All users authenticate via Entra ID B2C custom policies (user flows)</w:t>
      </w:r>
    </w:p>
    <w:p>
      <w:pPr>
        <w:pStyle w:val="ListParagraph"/>
        <w:numPr>
          <w:ilvl w:val="0"/>
          <w:numId w:val="2"/>
        </w:numPr>
        <w:spacing w:before="40" w:after="60"/>
      </w:pPr>
      <w:r>
        <w:rPr>
          <w:rFonts w:ascii="Arial" w:cs="Arial" w:eastAsia="Arial" w:hAnsi="Arial"/>
          <w:color w:val="1E293B"/>
          <w:sz w:val="21"/>
          <w:szCs w:val="21"/>
        </w:rPr>
        <w:t xml:space="preserve">JWT tokens carry claims: sub, email, tenant_id, roles[], plan_tier, seat_type</w:t>
      </w:r>
    </w:p>
    <w:p>
      <w:pPr>
        <w:pStyle w:val="ListParagraph"/>
        <w:numPr>
          <w:ilvl w:val="0"/>
          <w:numId w:val="2"/>
        </w:numPr>
        <w:spacing w:before="40" w:after="60"/>
      </w:pPr>
      <w:r>
        <w:rPr>
          <w:rFonts w:ascii="Arial" w:cs="Arial" w:eastAsia="Arial" w:hAnsi="Arial"/>
          <w:color w:val="1E293B"/>
          <w:sz w:val="21"/>
          <w:szCs w:val="21"/>
        </w:rPr>
        <w:t xml:space="preserve">Token validation occurs at the API Gateway (APIM) before any request reaches backend services</w:t>
      </w:r>
    </w:p>
    <w:p>
      <w:pPr>
        <w:pStyle w:val="ListParagraph"/>
        <w:numPr>
          <w:ilvl w:val="0"/>
          <w:numId w:val="2"/>
        </w:numPr>
        <w:spacing w:before="40" w:after="60"/>
      </w:pPr>
      <w:r>
        <w:rPr>
          <w:rFonts w:ascii="Arial" w:cs="Arial" w:eastAsia="Arial" w:hAnsi="Arial"/>
          <w:color w:val="1E293B"/>
          <w:sz w:val="21"/>
          <w:szCs w:val="21"/>
        </w:rPr>
        <w:t xml:space="preserve">Refresh token lifetime: 1 hour access token, 14-day refresh token (revocable)</w:t>
      </w:r>
    </w:p>
    <w:p>
      <w:pPr>
        <w:pStyle w:val="ListParagraph"/>
        <w:numPr>
          <w:ilvl w:val="0"/>
          <w:numId w:val="2"/>
        </w:numPr>
        <w:spacing w:before="40" w:after="60"/>
      </w:pPr>
      <w:r>
        <w:rPr>
          <w:rFonts w:ascii="Arial" w:cs="Arial" w:eastAsia="Arial" w:hAnsi="Arial"/>
          <w:color w:val="1E293B"/>
          <w:sz w:val="21"/>
          <w:szCs w:val="21"/>
        </w:rPr>
        <w:t xml:space="preserve">MFA: Enforced for Tenant Admin and Platform Admin roles; optional for Lawyer role (configurable per tenant)</w:t>
      </w:r>
    </w:p>
    <w:p>
      <w:pPr>
        <w:pStyle w:val="ListParagraph"/>
        <w:numPr>
          <w:ilvl w:val="0"/>
          <w:numId w:val="2"/>
        </w:numPr>
        <w:spacing w:before="40" w:after="60"/>
      </w:pPr>
      <w:r>
        <w:rPr>
          <w:rFonts w:ascii="Arial" w:cs="Arial" w:eastAsia="Arial" w:hAnsi="Arial"/>
          <w:color w:val="1E293B"/>
          <w:sz w:val="21"/>
          <w:szCs w:val="21"/>
        </w:rPr>
        <w:t xml:space="preserve">SSO: Supported via SAML 2.0 / OIDC federation for Enterprise plan tenants</w:t>
      </w:r>
    </w:p>
    <w:p>
      <w:pPr>
        <w:spacing w:before="0" w:after="80"/>
      </w:pPr>
      <w:r>
        <w:t xml:space="preserve"/>
      </w:r>
    </w:p>
    <w:p>
      <w:pPr>
        <w:pStyle w:val="Heading2"/>
        <w:spacing w:before="280" w:after="100"/>
      </w:pPr>
      <w:r>
        <w:rPr>
          <w:rFonts w:ascii="Arial" w:cs="Arial" w:eastAsia="Arial" w:hAnsi="Arial"/>
          <w:b/>
          <w:bCs/>
          <w:color w:val="334155"/>
          <w:sz w:val="26"/>
          <w:szCs w:val="26"/>
        </w:rPr>
        <w:t xml:space="preserve">4.2 RBAC Permission Matrix</w:t>
      </w:r>
    </w:p>
    <w:p>
      <w:pPr>
        <w:spacing w:before="60" w:after="100"/>
      </w:pPr>
      <w:r>
        <w:rPr>
          <w:rFonts w:ascii="Arial" w:cs="Arial" w:eastAsia="Arial" w:hAnsi="Arial"/>
          <w:b w:val="false"/>
          <w:bCs w:val="false"/>
          <w:i w:val="false"/>
          <w:iCs w:val="false"/>
          <w:color w:val="1E293B"/>
          <w:sz w:val="22"/>
          <w:szCs w:val="22"/>
        </w:rPr>
        <w:t xml:space="preserve">The platform implements a hierarchical RBAC model with system-defined roles (non-deletable) and tenant-defined custom roles. Permissions are evaluated server-side on every API request.</w:t>
      </w:r>
    </w:p>
    <w:p>
      <w:pPr>
        <w:spacing w:before="0"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1200"/>
        <w:gridCol w:w="1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Permission / Resource</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Platform Admin</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Tenant Admin</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Senior Lawyer</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Lawyer</w:t>
            </w:r>
          </w:p>
        </w:tc>
        <w:tc>
          <w:tcPr>
            <w:tcW w:type="dxa" w:w="11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Accountant (W2)</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Approve Subscription Requests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Provision / Suspend Tenants</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View All Tenants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Own only</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Manage Tenant Users</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Assign Seats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Configure Courts</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Request Data Restore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View Audit Logs</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Own tenant</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Create / Edit Cases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Own only</w:t>
            </w:r>
          </w:p>
        </w:tc>
        <w:tc>
          <w:tcPr>
            <w:tcW w:type="dxa" w:w="1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View All Cases</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Own only</w:t>
            </w:r>
          </w:p>
        </w:tc>
        <w:tc>
          <w:tcPr>
            <w:tcW w:type="dxa" w:w="1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Delete Cases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Create / Edit Customers</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View Customer Documents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Assigned</w:t>
            </w:r>
          </w:p>
        </w:tc>
        <w:tc>
          <w:tcPr>
            <w:tcW w:type="dxa" w:w="1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Upload Documents</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Delete Documents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View Case Expenses</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Own cases</w:t>
            </w:r>
          </w:p>
        </w:tc>
        <w:tc>
          <w:tcPr>
            <w:tcW w:type="dxa" w:w="1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 Full</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Manage Payments (W2)</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Full</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View Platform Analytics</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View Tenant Dashboard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Full</w:t>
            </w:r>
          </w:p>
        </w:tc>
        <w:tc>
          <w:tcPr>
            <w:tcW w:type="dxa" w:w="1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 Full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8"/>
              <w:bottom w:val="single" w:color="E2E8F0" w:sz="1"/>
              <w:right w:val="single" w:color="E2E8F0" w:sz="1"/>
            </w:tcBorders>
            <w:shd w:fill="FEF3C7" w:val="clear"/>
            <w:tcMar>
              <w:top w:type="dxa" w:w="120"/>
              <w:left w:type="dxa" w:w="200"/>
              <w:bottom w:type="dxa" w:w="120"/>
              <w:right w:type="dxa" w:w="120"/>
            </w:tcMar>
          </w:tcPr>
          <w:p>
            <w:pPr>
              <w:spacing w:before="60" w:after="60"/>
            </w:pPr>
            <w:r>
              <w:rPr>
                <w:rFonts w:ascii="Arial" w:cs="Arial" w:eastAsia="Arial" w:hAnsi="Arial"/>
                <w:b/>
                <w:bCs/>
                <w:color w:val="D97706"/>
                <w:sz w:val="22"/>
                <w:szCs w:val="22"/>
              </w:rPr>
              <w:t xml:space="preserve">RBAC Implementation Notes</w:t>
            </w:r>
          </w:p>
          <w:p>
            <w:pPr>
              <w:spacing w:before="30" w:after="30"/>
            </w:pPr>
            <w:r>
              <w:rPr>
                <w:rFonts w:ascii="Arial" w:cs="Arial" w:eastAsia="Arial" w:hAnsi="Arial"/>
                <w:color w:val="1E293B"/>
                <w:sz w:val="20"/>
                <w:szCs w:val="20"/>
              </w:rPr>
              <w:t xml:space="preserve">Permission checks: Server-side attribute-based checks on every API endpoint (policy-based authorization in ASP.NET Core)</w:t>
            </w:r>
          </w:p>
          <w:p>
            <w:pPr>
              <w:spacing w:before="30" w:after="30"/>
            </w:pPr>
            <w:r>
              <w:rPr>
                <w:rFonts w:ascii="Arial" w:cs="Arial" w:eastAsia="Arial" w:hAnsi="Arial"/>
                <w:color w:val="1E293B"/>
                <w:sz w:val="20"/>
                <w:szCs w:val="20"/>
              </w:rPr>
              <w:t xml:space="preserve">Custom roles: Tenant Admins can create custom roles by composing a subset of Lawyer-tier permissions</w:t>
            </w:r>
          </w:p>
          <w:p>
            <w:pPr>
              <w:spacing w:before="30" w:after="30"/>
            </w:pPr>
            <w:r>
              <w:rPr>
                <w:rFonts w:ascii="Arial" w:cs="Arial" w:eastAsia="Arial" w:hAnsi="Arial"/>
                <w:color w:val="1E293B"/>
                <w:sz w:val="20"/>
                <w:szCs w:val="20"/>
              </w:rPr>
              <w:t xml:space="preserve">Row-level security: Lawyers with 'Own only' access are further filtered at the database query level (not just UI)</w:t>
            </w:r>
          </w:p>
          <w:p>
            <w:pPr>
              <w:spacing w:before="30" w:after="30"/>
            </w:pPr>
            <w:r>
              <w:rPr>
                <w:rFonts w:ascii="Arial" w:cs="Arial" w:eastAsia="Arial" w:hAnsi="Arial"/>
                <w:color w:val="1E293B"/>
                <w:sz w:val="20"/>
                <w:szCs w:val="20"/>
              </w:rPr>
              <w:t xml:space="preserve">Permission inheritance: Tenant Admin inherits all Lawyer permissions plus administrative capabilities</w:t>
            </w:r>
          </w:p>
          <w:p>
            <w:pPr>
              <w:spacing w:before="30" w:after="30"/>
            </w:pPr>
            <w:r>
              <w:rPr>
                <w:rFonts w:ascii="Arial" w:cs="Arial" w:eastAsia="Arial" w:hAnsi="Arial"/>
                <w:color w:val="1E293B"/>
                <w:sz w:val="20"/>
                <w:szCs w:val="20"/>
              </w:rPr>
              <w:t xml:space="preserve">Audit: Every permission denial is logged to the audit trail with actor, resource, and timestamp</w:t>
            </w:r>
          </w:p>
        </w:tc>
      </w:tr>
    </w:tbl>
    <w:p>
      <w:pPr>
        <w:spacing w:before="0" w:after="80"/>
      </w:pPr>
      <w:r>
        <w:t xml:space="preserve"/>
      </w:r>
    </w:p>
    <w:p>
      <w:pPr>
        <w:pStyle w:val="Heading2"/>
        <w:spacing w:before="280" w:after="100"/>
      </w:pPr>
      <w:r>
        <w:rPr>
          <w:rFonts w:ascii="Arial" w:cs="Arial" w:eastAsia="Arial" w:hAnsi="Arial"/>
          <w:b/>
          <w:bCs/>
          <w:color w:val="334155"/>
          <w:sz w:val="26"/>
          <w:szCs w:val="26"/>
        </w:rPr>
        <w:t xml:space="preserve">4.3 Security Architecture</w:t>
      </w:r>
    </w:p>
    <w:p>
      <w:pPr>
        <w:pStyle w:val="Heading3"/>
        <w:spacing w:before="200" w:after="80"/>
      </w:pPr>
      <w:r>
        <w:rPr>
          <w:rFonts w:ascii="Arial" w:cs="Arial" w:eastAsia="Arial" w:hAnsi="Arial"/>
          <w:b/>
          <w:bCs/>
          <w:color w:val="0F766E"/>
          <w:sz w:val="22"/>
          <w:szCs w:val="22"/>
        </w:rPr>
        <w:t xml:space="preserve">Encryption</w:t>
      </w:r>
    </w:p>
    <w:p>
      <w:pPr>
        <w:pStyle w:val="ListParagraph"/>
        <w:numPr>
          <w:ilvl w:val="0"/>
          <w:numId w:val="2"/>
        </w:numPr>
        <w:spacing w:before="40" w:after="60"/>
      </w:pPr>
      <w:r>
        <w:rPr>
          <w:rFonts w:ascii="Arial" w:cs="Arial" w:eastAsia="Arial" w:hAnsi="Arial"/>
          <w:color w:val="1E293B"/>
          <w:sz w:val="21"/>
          <w:szCs w:val="21"/>
        </w:rPr>
        <w:t xml:space="preserve">In Transit: TLS 1.3 enforced at Azure Front Door and APIM. HSTS headers with 1-year max-age. Certificate management via Azure Key Vault.</w:t>
      </w:r>
    </w:p>
    <w:p>
      <w:pPr>
        <w:pStyle w:val="ListParagraph"/>
        <w:numPr>
          <w:ilvl w:val="0"/>
          <w:numId w:val="2"/>
        </w:numPr>
        <w:spacing w:before="40" w:after="60"/>
      </w:pPr>
      <w:r>
        <w:rPr>
          <w:rFonts w:ascii="Arial" w:cs="Arial" w:eastAsia="Arial" w:hAnsi="Arial"/>
          <w:color w:val="1E293B"/>
          <w:sz w:val="21"/>
          <w:szCs w:val="21"/>
        </w:rPr>
        <w:t xml:space="preserve">At Rest: Azure PostgreSQL: TDE with AES-256. Azure Blob: SSE with 256-bit AES. Key Vault: FIPS 140-2 Level 2 HSM backing.</w:t>
      </w:r>
    </w:p>
    <w:p>
      <w:pPr>
        <w:pStyle w:val="ListParagraph"/>
        <w:numPr>
          <w:ilvl w:val="0"/>
          <w:numId w:val="2"/>
        </w:numPr>
        <w:spacing w:before="40" w:after="60"/>
      </w:pPr>
      <w:r>
        <w:rPr>
          <w:rFonts w:ascii="Arial" w:cs="Arial" w:eastAsia="Arial" w:hAnsi="Arial"/>
          <w:color w:val="1E293B"/>
          <w:sz w:val="21"/>
          <w:szCs w:val="21"/>
        </w:rPr>
        <w:t xml:space="preserve">Application-Level: Sensitive fields (SSN, national ID numbers in customer profiles) encrypted at application layer using AES-256-GCM before database write.</w:t>
      </w:r>
    </w:p>
    <w:p>
      <w:pPr>
        <w:spacing w:before="0" w:after="80"/>
      </w:pPr>
      <w:r>
        <w:t xml:space="preserve"/>
      </w:r>
    </w:p>
    <w:p>
      <w:pPr>
        <w:pStyle w:val="Heading3"/>
        <w:spacing w:before="200" w:after="80"/>
      </w:pPr>
      <w:r>
        <w:rPr>
          <w:rFonts w:ascii="Arial" w:cs="Arial" w:eastAsia="Arial" w:hAnsi="Arial"/>
          <w:b/>
          <w:bCs/>
          <w:color w:val="0F766E"/>
          <w:sz w:val="22"/>
          <w:szCs w:val="22"/>
        </w:rPr>
        <w:t xml:space="preserve">API Security Controls</w:t>
      </w:r>
    </w:p>
    <w:p>
      <w:pPr>
        <w:pStyle w:val="ListParagraph"/>
        <w:numPr>
          <w:ilvl w:val="0"/>
          <w:numId w:val="2"/>
        </w:numPr>
        <w:spacing w:before="40" w:after="60"/>
      </w:pPr>
      <w:r>
        <w:rPr>
          <w:rFonts w:ascii="Arial" w:cs="Arial" w:eastAsia="Arial" w:hAnsi="Arial"/>
          <w:color w:val="1E293B"/>
          <w:sz w:val="21"/>
          <w:szCs w:val="21"/>
        </w:rPr>
        <w:t xml:space="preserve">Rate Limiting: 1,000 req/min per tenant (configurable by plan); 100 req/min for unauthenticated endpoints</w:t>
      </w:r>
    </w:p>
    <w:p>
      <w:pPr>
        <w:pStyle w:val="ListParagraph"/>
        <w:numPr>
          <w:ilvl w:val="0"/>
          <w:numId w:val="2"/>
        </w:numPr>
        <w:spacing w:before="40" w:after="60"/>
      </w:pPr>
      <w:r>
        <w:rPr>
          <w:rFonts w:ascii="Arial" w:cs="Arial" w:eastAsia="Arial" w:hAnsi="Arial"/>
          <w:color w:val="1E293B"/>
          <w:sz w:val="21"/>
          <w:szCs w:val="21"/>
        </w:rPr>
        <w:t xml:space="preserve">Input Validation: FluentValidation on all request DTOs; parameterized queries only (no raw SQL)</w:t>
      </w:r>
    </w:p>
    <w:p>
      <w:pPr>
        <w:pStyle w:val="ListParagraph"/>
        <w:numPr>
          <w:ilvl w:val="0"/>
          <w:numId w:val="2"/>
        </w:numPr>
        <w:spacing w:before="40" w:after="60"/>
      </w:pPr>
      <w:r>
        <w:rPr>
          <w:rFonts w:ascii="Arial" w:cs="Arial" w:eastAsia="Arial" w:hAnsi="Arial"/>
          <w:color w:val="1E293B"/>
          <w:sz w:val="21"/>
          <w:szCs w:val="21"/>
        </w:rPr>
        <w:t xml:space="preserve">CORS: Strict allowlist per environment; no wildcard origins</w:t>
      </w:r>
    </w:p>
    <w:p>
      <w:pPr>
        <w:pStyle w:val="ListParagraph"/>
        <w:numPr>
          <w:ilvl w:val="0"/>
          <w:numId w:val="2"/>
        </w:numPr>
        <w:spacing w:before="40" w:after="60"/>
      </w:pPr>
      <w:r>
        <w:rPr>
          <w:rFonts w:ascii="Arial" w:cs="Arial" w:eastAsia="Arial" w:hAnsi="Arial"/>
          <w:color w:val="1E293B"/>
          <w:sz w:val="21"/>
          <w:szCs w:val="21"/>
        </w:rPr>
        <w:t xml:space="preserve">CSP Headers: Content-Security-Policy, X-Frame-Options, X-Content-Type-Options on all responses</w:t>
      </w:r>
    </w:p>
    <w:p>
      <w:pPr>
        <w:pStyle w:val="ListParagraph"/>
        <w:numPr>
          <w:ilvl w:val="0"/>
          <w:numId w:val="2"/>
        </w:numPr>
        <w:spacing w:before="40" w:after="60"/>
      </w:pPr>
      <w:r>
        <w:rPr>
          <w:rFonts w:ascii="Arial" w:cs="Arial" w:eastAsia="Arial" w:hAnsi="Arial"/>
          <w:color w:val="1E293B"/>
          <w:sz w:val="21"/>
          <w:szCs w:val="21"/>
        </w:rPr>
        <w:t xml:space="preserve">OWASP Top 10 mitigations: XSS (CSP + output encoding), SQLi (ORM + parameterized), IDOR (tenant-scoped queries + RBAC), CSRF (SameSite cookies + CSRF tokens)</w:t>
      </w:r>
    </w:p>
    <w:p>
      <w:pPr>
        <w:spacing w:before="0" w:after="80"/>
      </w:pPr>
      <w:r>
        <w:t xml:space="preserve"/>
      </w:r>
    </w:p>
    <w:p>
      <w:pPr>
        <w:pStyle w:val="Heading3"/>
        <w:spacing w:before="200" w:after="80"/>
      </w:pPr>
      <w:r>
        <w:rPr>
          <w:rFonts w:ascii="Arial" w:cs="Arial" w:eastAsia="Arial" w:hAnsi="Arial"/>
          <w:b/>
          <w:bCs/>
          <w:color w:val="0F766E"/>
          <w:sz w:val="22"/>
          <w:szCs w:val="22"/>
        </w:rPr>
        <w:t xml:space="preserve">Audit Logging</w:t>
      </w:r>
    </w:p>
    <w:p>
      <w:pPr>
        <w:spacing w:before="60" w:after="100"/>
      </w:pPr>
      <w:r>
        <w:rPr>
          <w:rFonts w:ascii="Arial" w:cs="Arial" w:eastAsia="Arial" w:hAnsi="Arial"/>
          <w:b w:val="false"/>
          <w:bCs w:val="false"/>
          <w:i w:val="false"/>
          <w:iCs w:val="false"/>
          <w:color w:val="1E293B"/>
          <w:sz w:val="22"/>
          <w:szCs w:val="22"/>
        </w:rPr>
        <w:t xml:space="preserve">All mutating operations (create, update, delete, access to sensitive documents) are written to immutable append-only audit log tables. Audit events include: actor identity, timestamp (UTC), IP address, action type, resource type and ID, before/after values (JSON diff for updates).</w:t>
      </w:r>
    </w:p>
    <w:p>
      <w:pPr>
        <w:spacing w:before="60" w:after="100"/>
      </w:pPr>
      <w:r>
        <w:rPr>
          <w:rFonts w:ascii="Arial" w:cs="Arial" w:eastAsia="Arial" w:hAnsi="Arial"/>
          <w:b w:val="false"/>
          <w:bCs w:val="false"/>
          <w:i w:val="false"/>
          <w:iCs w:val="false"/>
          <w:color w:val="1E293B"/>
          <w:sz w:val="22"/>
          <w:szCs w:val="22"/>
        </w:rPr>
        <w:t xml:space="preserve">Retention: Tenant audit logs: 7 years (configurable per jurisdiction requirement). Platform logs: 5 years. Logs are queryable by Tenant Admins (own tenant) and Platform Admins (all tenants). Export to CSV supported.</w:t>
      </w:r>
    </w:p>
    <w:p>
      <w:pPr>
        <w:spacing w:before="0" w:after="80"/>
      </w:pPr>
      <w:r>
        <w:t xml:space="preserve"/>
      </w:r>
    </w:p>
    <w:p>
      <w:pPr>
        <w:pStyle w:val="Heading2"/>
        <w:spacing w:before="280" w:after="100"/>
      </w:pPr>
      <w:r>
        <w:rPr>
          <w:rFonts w:ascii="Arial" w:cs="Arial" w:eastAsia="Arial" w:hAnsi="Arial"/>
          <w:b/>
          <w:bCs/>
          <w:color w:val="334155"/>
          <w:sz w:val="26"/>
          <w:szCs w:val="26"/>
        </w:rPr>
        <w:t xml:space="preserve">4.4 Observability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Concern</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4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Implementation</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Application Performance</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Azure App Insights</w:t>
            </w:r>
          </w:p>
        </w:tc>
        <w:tc>
          <w:tcPr>
            <w:tcW w:type="dxa" w:w="4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Distributed tracing, dependency tracking, custom metrics per tenant</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Infrastructure Metrics</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Azure Monitor</w:t>
            </w:r>
          </w:p>
        </w:tc>
        <w:tc>
          <w:tcPr>
            <w:tcW w:type="dxa" w:w="4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CPU, memory, DB connections, Blob throughput dashboards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Log Aggregation</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Azure Log Analytics</w:t>
            </w:r>
          </w:p>
        </w:tc>
        <w:tc>
          <w:tcPr>
            <w:tcW w:type="dxa" w:w="4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Centralized log query (KQL), correlation IDs across services</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Alerting</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Azure Monitor Alerts</w:t>
            </w:r>
          </w:p>
        </w:tc>
        <w:tc>
          <w:tcPr>
            <w:tcW w:type="dxa" w:w="4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P0: PagerDuty escalation; P1/P2: email/Teams webhook</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Uptime / Availability</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Azure App Insights Availability Tests</w:t>
            </w:r>
          </w:p>
        </w:tc>
        <w:tc>
          <w:tcPr>
            <w:tcW w:type="dxa" w:w="4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5-minute ping from 3 global regions; SLA dashboard</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Security Events</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Microsoft Defender for Cloud</w:t>
            </w:r>
          </w:p>
        </w:tc>
        <w:tc>
          <w:tcPr>
            <w:tcW w:type="dxa" w:w="4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Threat detection, vulnerability assessment, compliance score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User Analytics</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Custom telemetry via App Insights</w:t>
            </w:r>
          </w:p>
        </w:tc>
        <w:tc>
          <w:tcPr>
            <w:tcW w:type="dxa" w:w="4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Feature usage per tenant, session funnels (Wave 2: full analytics)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36"/>
                <w:szCs w:val="36"/>
              </w:rPr>
              <w:t xml:space="preserve">SECTION 5</w:t>
            </w:r>
          </w:p>
          <w:p>
            <w:r>
              <w:rPr>
                <w:rFonts w:ascii="Arial" w:cs="Arial" w:eastAsia="Arial" w:hAnsi="Arial"/>
                <w:color w:val="BFDBFE"/>
                <w:sz w:val="22"/>
                <w:szCs w:val="22"/>
              </w:rPr>
              <w:t xml:space="preserve">UX Design &amp; Figma Structure</w:t>
            </w:r>
          </w:p>
        </w:tc>
      </w:tr>
    </w:tbl>
    <w:p>
      <w:pPr>
        <w:spacing w:before="0" w:after="80"/>
      </w:pPr>
      <w:r>
        <w:t xml:space="preserve"/>
      </w:r>
    </w:p>
    <w:p>
      <w:pPr>
        <w:pStyle w:val="Heading1"/>
        <w:spacing w:before="360" w:after="120"/>
      </w:pPr>
      <w:r>
        <w:rPr>
          <w:rFonts w:ascii="Arial" w:cs="Arial" w:eastAsia="Arial" w:hAnsi="Arial"/>
          <w:b/>
          <w:bCs/>
          <w:color w:val="1B3A6B"/>
          <w:sz w:val="32"/>
          <w:szCs w:val="32"/>
        </w:rPr>
        <w:t xml:space="preserve">UX Design &amp; Figma-Ready Structure</w:t>
      </w:r>
    </w:p>
    <w:p>
      <w:pPr>
        <w:pStyle w:val="Heading2"/>
        <w:spacing w:before="280" w:after="100"/>
      </w:pPr>
      <w:r>
        <w:rPr>
          <w:rFonts w:ascii="Arial" w:cs="Arial" w:eastAsia="Arial" w:hAnsi="Arial"/>
          <w:b/>
          <w:bCs/>
          <w:color w:val="334155"/>
          <w:sz w:val="26"/>
          <w:szCs w:val="26"/>
        </w:rPr>
        <w:t xml:space="preserve">5.1 Persona Definitions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1B3A6B" w:sz="1"/>
              <w:left w:val="single" w:color="1B3A6B" w:sz="1"/>
              <w:bottom w:val="single" w:color="1B3A6B" w:sz="1"/>
              <w:right w:val="single" w:color="1B3A6B" w:sz="1"/>
            </w:tcBorders>
            <w:shd w:fill="1B3A6B" w:val="clear"/>
            <w:tcMar>
              <w:top w:type="dxa" w:w="160"/>
              <w:left w:type="dxa" w:w="200"/>
              <w:bottom w:type="dxa" w:w="160"/>
              <w:right w:type="dxa" w:w="200"/>
            </w:tcMar>
          </w:tcPr>
          <w:p>
            <w:r>
              <w:rPr>
                <w:rFonts w:ascii="Arial" w:cs="Arial" w:eastAsia="Arial" w:hAnsi="Arial"/>
                <w:b/>
                <w:bCs/>
                <w:color w:val="FFFFFF"/>
                <w:sz w:val="24"/>
                <w:szCs w:val="24"/>
              </w:rPr>
              <w:t xml:space="preserve">Platform Admin</w:t>
            </w:r>
          </w:p>
          <w:p>
            <w:r>
              <w:rPr>
                <w:rFonts w:ascii="Arial" w:cs="Arial" w:eastAsia="Arial" w:hAnsi="Arial"/>
                <w:i/>
                <w:iCs/>
                <w:color w:val="93C5FD"/>
                <w:sz w:val="20"/>
                <w:szCs w:val="20"/>
              </w:rPr>
              <w:t xml:space="preserve">"The Operator"</w:t>
            </w:r>
          </w:p>
          <w:p>
            <w:pPr>
              <w:spacing w:before="0" w:after="80"/>
            </w:pPr>
            <w:r>
              <w:t xml:space="preserve"/>
            </w:r>
          </w:p>
          <w:p>
            <w:r>
              <w:rPr>
                <w:rFonts w:ascii="Arial" w:cs="Arial" w:eastAsia="Arial" w:hAnsi="Arial"/>
                <w:b/>
                <w:bCs/>
                <w:color w:val="BFDBFE"/>
                <w:sz w:val="20"/>
                <w:szCs w:val="20"/>
              </w:rPr>
              <w:t xml:space="preserve">Goals:</w:t>
            </w:r>
          </w:p>
          <w:p>
            <w:r>
              <w:rPr>
                <w:rFonts w:ascii="Arial" w:cs="Arial" w:eastAsia="Arial" w:hAnsi="Arial"/>
                <w:color w:val="DBEAFE"/>
                <w:sz w:val="19"/>
                <w:szCs w:val="19"/>
              </w:rPr>
              <w:t xml:space="preserve">• Approve and provision tenants efficiently
• Monitor platform health and subscription revenue
• Ensure compliance and security posture</w:t>
            </w:r>
          </w:p>
          <w:p>
            <w:pPr>
              <w:spacing w:before="0" w:after="80"/>
            </w:pPr>
            <w:r>
              <w:t xml:space="preserve"/>
            </w:r>
          </w:p>
          <w:p>
            <w:r>
              <w:rPr>
                <w:rFonts w:ascii="Arial" w:cs="Arial" w:eastAsia="Arial" w:hAnsi="Arial"/>
                <w:b/>
                <w:bCs/>
                <w:color w:val="BFDBFE"/>
                <w:sz w:val="20"/>
                <w:szCs w:val="20"/>
              </w:rPr>
              <w:t xml:space="preserve">Frustrations:</w:t>
            </w:r>
          </w:p>
          <w:p>
            <w:r>
              <w:rPr>
                <w:rFonts w:ascii="Arial" w:cs="Arial" w:eastAsia="Arial" w:hAnsi="Arial"/>
                <w:color w:val="DBEAFE"/>
                <w:sz w:val="19"/>
                <w:szCs w:val="19"/>
              </w:rPr>
              <w:t xml:space="preserve">• Manual tenant setup is error-prone
• No single view of platform health
• Hard to enforce subscription limits</w:t>
            </w:r>
          </w:p>
        </w:tc>
        <w:tc>
          <w:tcPr>
            <w:tcW w:type="dxa" w:w="4740"/>
            <w:tcBorders>
              <w:top w:val="single" w:color="0F766E" w:sz="1"/>
              <w:left w:val="single" w:color="0F766E" w:sz="1"/>
              <w:bottom w:val="single" w:color="0F766E" w:sz="1"/>
              <w:right w:val="single" w:color="0F766E" w:sz="1"/>
            </w:tcBorders>
            <w:shd w:fill="0F766E" w:val="clear"/>
            <w:tcMar>
              <w:top w:type="dxa" w:w="160"/>
              <w:left w:type="dxa" w:w="200"/>
              <w:bottom w:type="dxa" w:w="160"/>
              <w:right w:type="dxa" w:w="200"/>
            </w:tcMar>
          </w:tcPr>
          <w:p>
            <w:r>
              <w:rPr>
                <w:rFonts w:ascii="Arial" w:cs="Arial" w:eastAsia="Arial" w:hAnsi="Arial"/>
                <w:b/>
                <w:bCs/>
                <w:color w:val="FFFFFF"/>
                <w:sz w:val="24"/>
                <w:szCs w:val="24"/>
              </w:rPr>
              <w:t xml:space="preserve">Tenant Admin</w:t>
            </w:r>
          </w:p>
          <w:p>
            <w:r>
              <w:rPr>
                <w:rFonts w:ascii="Arial" w:cs="Arial" w:eastAsia="Arial" w:hAnsi="Arial"/>
                <w:i/>
                <w:iCs/>
                <w:color w:val="A7F3D0"/>
                <w:sz w:val="20"/>
                <w:szCs w:val="20"/>
              </w:rPr>
              <w:t xml:space="preserve">"The Firm Manager"</w:t>
            </w:r>
          </w:p>
          <w:p>
            <w:pPr>
              <w:spacing w:before="0" w:after="80"/>
            </w:pPr>
            <w:r>
              <w:t xml:space="preserve"/>
            </w:r>
          </w:p>
          <w:p>
            <w:r>
              <w:rPr>
                <w:rFonts w:ascii="Arial" w:cs="Arial" w:eastAsia="Arial" w:hAnsi="Arial"/>
                <w:b/>
                <w:bCs/>
                <w:color w:val="CCFBF1"/>
                <w:sz w:val="20"/>
                <w:szCs w:val="20"/>
              </w:rPr>
              <w:t xml:space="preserve">Goals:</w:t>
            </w:r>
          </w:p>
          <w:p>
            <w:r>
              <w:rPr>
                <w:rFonts w:ascii="Arial" w:cs="Arial" w:eastAsia="Arial" w:hAnsi="Arial"/>
                <w:color w:val="CCFBF1"/>
                <w:sz w:val="19"/>
                <w:szCs w:val="19"/>
              </w:rPr>
              <w:t xml:space="preserve">• Onboard the firm quickly and set up users
• Configure courts and firm-specific data
• Monitor who has access to what</w:t>
            </w:r>
          </w:p>
          <w:p>
            <w:pPr>
              <w:spacing w:before="0" w:after="80"/>
            </w:pPr>
            <w:r>
              <w:t xml:space="preserve"/>
            </w:r>
          </w:p>
          <w:p>
            <w:r>
              <w:rPr>
                <w:rFonts w:ascii="Arial" w:cs="Arial" w:eastAsia="Arial" w:hAnsi="Arial"/>
                <w:b/>
                <w:bCs/>
                <w:color w:val="CCFBF1"/>
                <w:sz w:val="20"/>
                <w:szCs w:val="20"/>
              </w:rPr>
              <w:t xml:space="preserve">Frustrations:</w:t>
            </w:r>
          </w:p>
          <w:p>
            <w:r>
              <w:rPr>
                <w:rFonts w:ascii="Arial" w:cs="Arial" w:eastAsia="Arial" w:hAnsi="Arial"/>
                <w:color w:val="CCFBF1"/>
                <w:sz w:val="19"/>
                <w:szCs w:val="19"/>
              </w:rPr>
              <w:t xml:space="preserve">• Complex permission models are confusing
• No visibility into backup status
• Seat management is opaque</w:t>
            </w:r>
          </w:p>
        </w:tc>
      </w:tr>
      <w:tr>
        <w:tc>
          <w:tcPr>
            <w:tcW w:type="dxa" w:w="4620"/>
            <w:tcBorders>
              <w:top w:val="single" w:color="2563EB" w:sz="1"/>
              <w:left w:val="single" w:color="2563EB" w:sz="1"/>
              <w:bottom w:val="single" w:color="2563EB" w:sz="1"/>
              <w:right w:val="single" w:color="2563EB" w:sz="1"/>
            </w:tcBorders>
            <w:shd w:fill="2563EB" w:val="clear"/>
            <w:tcMar>
              <w:top w:type="dxa" w:w="160"/>
              <w:left w:type="dxa" w:w="200"/>
              <w:bottom w:type="dxa" w:w="160"/>
              <w:right w:type="dxa" w:w="200"/>
            </w:tcMar>
          </w:tcPr>
          <w:p>
            <w:r>
              <w:rPr>
                <w:rFonts w:ascii="Arial" w:cs="Arial" w:eastAsia="Arial" w:hAnsi="Arial"/>
                <w:b/>
                <w:bCs/>
                <w:color w:val="FFFFFF"/>
                <w:sz w:val="24"/>
                <w:szCs w:val="24"/>
              </w:rPr>
              <w:t xml:space="preserve">Lawyer</w:t>
            </w:r>
          </w:p>
          <w:p>
            <w:r>
              <w:rPr>
                <w:rFonts w:ascii="Arial" w:cs="Arial" w:eastAsia="Arial" w:hAnsi="Arial"/>
                <w:i/>
                <w:iCs/>
                <w:color w:val="BFDBFE"/>
                <w:sz w:val="20"/>
                <w:szCs w:val="20"/>
              </w:rPr>
              <w:t xml:space="preserve">"The Practitioner"</w:t>
            </w:r>
          </w:p>
          <w:p>
            <w:pPr>
              <w:spacing w:before="0" w:after="80"/>
            </w:pPr>
            <w:r>
              <w:t xml:space="preserve"/>
            </w:r>
          </w:p>
          <w:p>
            <w:r>
              <w:rPr>
                <w:rFonts w:ascii="Arial" w:cs="Arial" w:eastAsia="Arial" w:hAnsi="Arial"/>
                <w:b/>
                <w:bCs/>
                <w:color w:val="DBEAFE"/>
                <w:sz w:val="20"/>
                <w:szCs w:val="20"/>
              </w:rPr>
              <w:t xml:space="preserve">Goals:</w:t>
            </w:r>
          </w:p>
          <w:p>
            <w:r>
              <w:rPr>
                <w:rFonts w:ascii="Arial" w:cs="Arial" w:eastAsia="Arial" w:hAnsi="Arial"/>
                <w:color w:val="DBEAFE"/>
                <w:sz w:val="19"/>
                <w:szCs w:val="19"/>
              </w:rPr>
              <w:t xml:space="preserve">• Quickly find and update case information
• Manage client documents securely
• Track case progress and upcoming hearings</w:t>
            </w:r>
          </w:p>
          <w:p>
            <w:pPr>
              <w:spacing w:before="0" w:after="80"/>
            </w:pPr>
            <w:r>
              <w:t xml:space="preserve"/>
            </w:r>
          </w:p>
          <w:p>
            <w:r>
              <w:rPr>
                <w:rFonts w:ascii="Arial" w:cs="Arial" w:eastAsia="Arial" w:hAnsi="Arial"/>
                <w:b/>
                <w:bCs/>
                <w:color w:val="DBEAFE"/>
                <w:sz w:val="20"/>
                <w:szCs w:val="20"/>
              </w:rPr>
              <w:t xml:space="preserve">Frustrations:</w:t>
            </w:r>
          </w:p>
          <w:p>
            <w:r>
              <w:rPr>
                <w:rFonts w:ascii="Arial" w:cs="Arial" w:eastAsia="Arial" w:hAnsi="Arial"/>
                <w:color w:val="DBEAFE"/>
                <w:sz w:val="19"/>
                <w:szCs w:val="19"/>
              </w:rPr>
              <w:t xml:space="preserve">• Time wasted locating documents across systems
• No centralized case + client view
• Poor mobile experience on the go</w:t>
            </w:r>
          </w:p>
        </w:tc>
        <w:tc>
          <w:tcPr>
            <w:tcW w:type="dxa" w:w="4740"/>
            <w:tcBorders>
              <w:top w:val="single" w:color="7C3AED" w:sz="1"/>
              <w:left w:val="single" w:color="7C3AED" w:sz="1"/>
              <w:bottom w:val="single" w:color="7C3AED" w:sz="1"/>
              <w:right w:val="single" w:color="7C3AED" w:sz="1"/>
            </w:tcBorders>
            <w:shd w:fill="7C3AED" w:val="clear"/>
            <w:tcMar>
              <w:top w:type="dxa" w:w="160"/>
              <w:left w:type="dxa" w:w="200"/>
              <w:bottom w:type="dxa" w:w="160"/>
              <w:right w:type="dxa" w:w="200"/>
            </w:tcMar>
          </w:tcPr>
          <w:p>
            <w:r>
              <w:rPr>
                <w:rFonts w:ascii="Arial" w:cs="Arial" w:eastAsia="Arial" w:hAnsi="Arial"/>
                <w:b/>
                <w:bCs/>
                <w:color w:val="FFFFFF"/>
                <w:sz w:val="24"/>
                <w:szCs w:val="24"/>
              </w:rPr>
              <w:t xml:space="preserve">Accountant (Wave 2)</w:t>
            </w:r>
          </w:p>
          <w:p>
            <w:r>
              <w:rPr>
                <w:rFonts w:ascii="Arial" w:cs="Arial" w:eastAsia="Arial" w:hAnsi="Arial"/>
                <w:i/>
                <w:iCs/>
                <w:color w:val="DDD6FE"/>
                <w:sz w:val="20"/>
                <w:szCs w:val="20"/>
              </w:rPr>
              <w:t xml:space="preserve">"The Financial Controller"</w:t>
            </w:r>
          </w:p>
          <w:p>
            <w:pPr>
              <w:spacing w:before="0" w:after="80"/>
            </w:pPr>
            <w:r>
              <w:t xml:space="preserve"/>
            </w:r>
          </w:p>
          <w:p>
            <w:r>
              <w:rPr>
                <w:rFonts w:ascii="Arial" w:cs="Arial" w:eastAsia="Arial" w:hAnsi="Arial"/>
                <w:b/>
                <w:bCs/>
                <w:color w:val="EDE9FE"/>
                <w:sz w:val="20"/>
                <w:szCs w:val="20"/>
              </w:rPr>
              <w:t xml:space="preserve">Goals:</w:t>
            </w:r>
          </w:p>
          <w:p>
            <w:r>
              <w:rPr>
                <w:rFonts w:ascii="Arial" w:cs="Arial" w:eastAsia="Arial" w:hAnsi="Arial"/>
                <w:color w:val="EDE9FE"/>
                <w:sz w:val="19"/>
                <w:szCs w:val="19"/>
              </w:rPr>
              <w:t xml:space="preserve">• Reconcile case expenses with client invoices
• Generate financial reports per case/client
• Track payment status and overdue accounts</w:t>
            </w:r>
          </w:p>
          <w:p>
            <w:pPr>
              <w:spacing w:before="0" w:after="80"/>
            </w:pPr>
            <w:r>
              <w:t xml:space="preserve"/>
            </w:r>
          </w:p>
          <w:p>
            <w:r>
              <w:rPr>
                <w:rFonts w:ascii="Arial" w:cs="Arial" w:eastAsia="Arial" w:hAnsi="Arial"/>
                <w:b/>
                <w:bCs/>
                <w:color w:val="EDE9FE"/>
                <w:sz w:val="20"/>
                <w:szCs w:val="20"/>
              </w:rPr>
              <w:t xml:space="preserve">Frustrations:</w:t>
            </w:r>
          </w:p>
          <w:p>
            <w:r>
              <w:rPr>
                <w:rFonts w:ascii="Arial" w:cs="Arial" w:eastAsia="Arial" w:hAnsi="Arial"/>
                <w:color w:val="EDE9FE"/>
                <w:sz w:val="19"/>
                <w:szCs w:val="19"/>
              </w:rPr>
              <w:t xml:space="preserve">• Financial data siloed from case data
• Manual reconciliation is error-prone
• No automated invoicing capability</w:t>
            </w:r>
          </w:p>
        </w:tc>
      </w:tr>
    </w:tbl>
    <w:p>
      <w:pPr>
        <w:spacing w:before="0" w:after="80"/>
      </w:pPr>
      <w:r>
        <w:t xml:space="preserve"/>
      </w:r>
    </w:p>
    <w:p>
      <w:pPr>
        <w:pStyle w:val="Heading2"/>
        <w:spacing w:before="280" w:after="100"/>
      </w:pPr>
      <w:r>
        <w:rPr>
          <w:rFonts w:ascii="Arial" w:cs="Arial" w:eastAsia="Arial" w:hAnsi="Arial"/>
          <w:b/>
          <w:bCs/>
          <w:color w:val="334155"/>
          <w:sz w:val="26"/>
          <w:szCs w:val="26"/>
        </w:rPr>
        <w:t xml:space="preserve">5.2 Information Architecture</w:t>
      </w:r>
    </w:p>
    <w:p>
      <w:pPr>
        <w:spacing w:before="60" w:after="100"/>
      </w:pPr>
      <w:r>
        <w:rPr>
          <w:rFonts w:ascii="Arial" w:cs="Arial" w:eastAsia="Arial" w:hAnsi="Arial"/>
          <w:b w:val="false"/>
          <w:bCs w:val="false"/>
          <w:i w:val="false"/>
          <w:iCs w:val="false"/>
          <w:color w:val="1E293B"/>
          <w:sz w:val="22"/>
          <w:szCs w:val="22"/>
        </w:rPr>
        <w:t xml:space="preserve">The IA is organized around four distinct navigation contexts, each tailored to its persona's primary tasks. Navigation is context-aware and adapts based on the authenticated user's role.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Navigation Area</w:t>
            </w:r>
          </w:p>
        </w:tc>
        <w:tc>
          <w:tcPr>
            <w:tcW w:type="dxa" w:w="23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Platform Admin Portal</w:t>
            </w:r>
          </w:p>
        </w:tc>
        <w:tc>
          <w:tcPr>
            <w:tcW w:type="dxa" w:w="23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Tenant Admin Panel</w:t>
            </w:r>
          </w:p>
        </w:tc>
        <w:tc>
          <w:tcPr>
            <w:tcW w:type="dxa" w:w="23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Lawyer Workspace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Primary Nav 1</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Dashboard (Platform Overview)</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Dashboard (Firm Overview)</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Dashboard (My Cases)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Primary Nav 2</w:t>
            </w:r>
          </w:p>
        </w:tc>
        <w:tc>
          <w:tcPr>
            <w:tcW w:type="dxa" w:w="232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Subscription Requests</w:t>
            </w:r>
          </w:p>
        </w:tc>
        <w:tc>
          <w:tcPr>
            <w:tcW w:type="dxa" w:w="232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User Management</w:t>
            </w:r>
          </w:p>
        </w:tc>
        <w:tc>
          <w:tcPr>
            <w:tcW w:type="dxa" w:w="232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Customers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Primary Nav 3</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Tenants</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Seat Management</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Cases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Primary Nav 4</w:t>
            </w:r>
          </w:p>
        </w:tc>
        <w:tc>
          <w:tcPr>
            <w:tcW w:type="dxa" w:w="232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Platform Settings</w:t>
            </w:r>
          </w:p>
        </w:tc>
        <w:tc>
          <w:tcPr>
            <w:tcW w:type="dxa" w:w="232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App Configuration</w:t>
            </w:r>
          </w:p>
        </w:tc>
        <w:tc>
          <w:tcPr>
            <w:tcW w:type="dxa" w:w="232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Documents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Primary Nav 5</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Audit Logs</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Backup &amp; Restore</w:t>
            </w:r>
          </w:p>
        </w:tc>
        <w:tc>
          <w:tcPr>
            <w:tcW w:type="dxa" w:w="232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Calendar</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Primary Nav 6</w:t>
            </w:r>
          </w:p>
        </w:tc>
        <w:tc>
          <w:tcPr>
            <w:tcW w:type="dxa" w:w="232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c>
          <w:tcPr>
            <w:tcW w:type="dxa" w:w="232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Audit Logs</w:t>
            </w:r>
          </w:p>
        </w:tc>
        <w:tc>
          <w:tcPr>
            <w:tcW w:type="dxa" w:w="232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t>
            </w:r>
          </w:p>
        </w:tc>
      </w:tr>
    </w:tbl>
    <w:p>
      <w:pPr>
        <w:spacing w:before="0" w:after="80"/>
      </w:pPr>
      <w:r>
        <w:t xml:space="preserve"/>
      </w:r>
    </w:p>
    <w:p>
      <w:pPr>
        <w:pStyle w:val="Heading2"/>
        <w:spacing w:before="280" w:after="100"/>
      </w:pPr>
      <w:r>
        <w:rPr>
          <w:rFonts w:ascii="Arial" w:cs="Arial" w:eastAsia="Arial" w:hAnsi="Arial"/>
          <w:b/>
          <w:bCs/>
          <w:color w:val="334155"/>
          <w:sz w:val="26"/>
          <w:szCs w:val="26"/>
        </w:rPr>
        <w:t xml:space="preserve">5.3 Figma-Ready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8"/>
              <w:bottom w:val="single" w:color="E2E8F0" w:sz="1"/>
              <w:right w:val="single" w:color="E2E8F0" w:sz="1"/>
            </w:tcBorders>
            <w:shd w:fill="EDE9FE" w:val="clear"/>
            <w:tcMar>
              <w:top w:type="dxa" w:w="120"/>
              <w:left w:type="dxa" w:w="200"/>
              <w:bottom w:type="dxa" w:w="120"/>
              <w:right w:type="dxa" w:w="120"/>
            </w:tcMar>
          </w:tcPr>
          <w:p>
            <w:pPr>
              <w:spacing w:before="60" w:after="60"/>
            </w:pPr>
            <w:r>
              <w:rPr>
                <w:rFonts w:ascii="Arial" w:cs="Arial" w:eastAsia="Arial" w:hAnsi="Arial"/>
                <w:b/>
                <w:bCs/>
                <w:color w:val="7C3AED"/>
                <w:sz w:val="22"/>
                <w:szCs w:val="22"/>
              </w:rPr>
              <w:t xml:space="preserve">Figma File Organization</w:t>
            </w:r>
          </w:p>
          <w:p>
            <w:pPr>
              <w:spacing w:before="30" w:after="30"/>
            </w:pPr>
            <w:r>
              <w:rPr>
                <w:rFonts w:ascii="Arial" w:cs="Arial" w:eastAsia="Arial" w:hAnsi="Arial"/>
                <w:color w:val="1E293B"/>
                <w:sz w:val="20"/>
                <w:szCs w:val="20"/>
              </w:rPr>
              <w:t xml:space="preserve">Page 1: Design System          — Tokens (color, typography, spacing), component library, icon set</w:t>
            </w:r>
          </w:p>
          <w:p>
            <w:pPr>
              <w:spacing w:before="30" w:after="30"/>
            </w:pPr>
            <w:r>
              <w:rPr>
                <w:rFonts w:ascii="Arial" w:cs="Arial" w:eastAsia="Arial" w:hAnsi="Arial"/>
                <w:color w:val="1E293B"/>
                <w:sz w:val="20"/>
                <w:szCs w:val="20"/>
              </w:rPr>
              <w:t xml:space="preserve">Page 2: Platform Admin         — All screens for Platform Admin portal</w:t>
            </w:r>
          </w:p>
          <w:p>
            <w:pPr>
              <w:spacing w:before="30" w:after="30"/>
            </w:pPr>
            <w:r>
              <w:rPr>
                <w:rFonts w:ascii="Arial" w:cs="Arial" w:eastAsia="Arial" w:hAnsi="Arial"/>
                <w:color w:val="1E293B"/>
                <w:sz w:val="20"/>
                <w:szCs w:val="20"/>
              </w:rPr>
              <w:t xml:space="preserve">Page 3: Tenant Admin           — All screens for Tenant Admin panel</w:t>
            </w:r>
          </w:p>
          <w:p>
            <w:pPr>
              <w:spacing w:before="30" w:after="30"/>
            </w:pPr>
            <w:r>
              <w:rPr>
                <w:rFonts w:ascii="Arial" w:cs="Arial" w:eastAsia="Arial" w:hAnsi="Arial"/>
                <w:color w:val="1E293B"/>
                <w:sz w:val="20"/>
                <w:szCs w:val="20"/>
              </w:rPr>
              <w:t xml:space="preserve">Page 4: Lawyer Workspace       — All screens for Lawyer-facing modules</w:t>
            </w:r>
          </w:p>
          <w:p>
            <w:pPr>
              <w:spacing w:before="30" w:after="30"/>
            </w:pPr>
            <w:r>
              <w:rPr>
                <w:rFonts w:ascii="Arial" w:cs="Arial" w:eastAsia="Arial" w:hAnsi="Arial"/>
                <w:color w:val="1E293B"/>
                <w:sz w:val="20"/>
                <w:szCs w:val="20"/>
              </w:rPr>
              <w:t xml:space="preserve">Page 5: Shared Components      — Modals, drawers, empty states, error states, loading states</w:t>
            </w:r>
          </w:p>
          <w:p>
            <w:pPr>
              <w:spacing w:before="30" w:after="30"/>
            </w:pPr>
            <w:r>
              <w:rPr>
                <w:rFonts w:ascii="Arial" w:cs="Arial" w:eastAsia="Arial" w:hAnsi="Arial"/>
                <w:color w:val="1E293B"/>
                <w:sz w:val="20"/>
                <w:szCs w:val="20"/>
              </w:rPr>
              <w:t xml:space="preserve">Page 6: Onboarding Flows       — Subscription request form, tenant setup wizard, user invite flow</w:t>
            </w:r>
          </w:p>
          <w:p>
            <w:pPr>
              <w:spacing w:before="30" w:after="30"/>
            </w:pPr>
            <w:r>
              <w:rPr>
                <w:rFonts w:ascii="Arial" w:cs="Arial" w:eastAsia="Arial" w:hAnsi="Arial"/>
                <w:color w:val="1E293B"/>
                <w:sz w:val="20"/>
                <w:szCs w:val="20"/>
              </w:rPr>
              <w:t xml:space="preserve">Page 7: Mobile Views           — Responsive breakpoints for key Lawyer screens</w:t>
            </w:r>
          </w:p>
          <w:p>
            <w:pPr>
              <w:spacing w:before="30" w:after="30"/>
            </w:pPr>
            <w:r>
              <w:rPr>
                <w:rFonts w:ascii="Arial" w:cs="Arial" w:eastAsia="Arial" w:hAnsi="Arial"/>
                <w:color w:val="1E293B"/>
                <w:sz w:val="20"/>
                <w:szCs w:val="20"/>
              </w:rPr>
              <w:t xml:space="preserve">Page 8: Prototype Links        — Connected flow prototypes for usability testing</w:t>
            </w:r>
          </w:p>
        </w:tc>
      </w:tr>
    </w:tbl>
    <w:p>
      <w:pPr>
        <w:spacing w:before="0" w:after="80"/>
      </w:pPr>
      <w:r>
        <w:t xml:space="preserve"/>
      </w:r>
    </w:p>
    <w:p>
      <w:pPr>
        <w:pStyle w:val="Heading2"/>
        <w:spacing w:before="280" w:after="100"/>
      </w:pPr>
      <w:r>
        <w:rPr>
          <w:rFonts w:ascii="Arial" w:cs="Arial" w:eastAsia="Arial" w:hAnsi="Arial"/>
          <w:b/>
          <w:bCs/>
          <w:color w:val="334155"/>
          <w:sz w:val="26"/>
          <w:szCs w:val="26"/>
        </w:rPr>
        <w:t xml:space="preserve">5.4 Wireframe Screen Breakdown</w:t>
      </w:r>
    </w:p>
    <w:p>
      <w:pPr>
        <w:pStyle w:val="Heading3"/>
        <w:spacing w:before="200" w:after="80"/>
      </w:pPr>
      <w:r>
        <w:rPr>
          <w:rFonts w:ascii="Arial" w:cs="Arial" w:eastAsia="Arial" w:hAnsi="Arial"/>
          <w:b/>
          <w:bCs/>
          <w:color w:val="0F766E"/>
          <w:sz w:val="22"/>
          <w:szCs w:val="22"/>
        </w:rPr>
        <w:t xml:space="preserve">Module 1: Subscription &amp; Onboarding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600"/>
        <w:gridCol w:w="396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Screen ID</w:t>
            </w:r>
          </w:p>
        </w:tc>
        <w:tc>
          <w:tcPr>
            <w:tcW w:type="dxa" w:w="2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Screen Name</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Persona</w:t>
            </w:r>
          </w:p>
        </w:tc>
        <w:tc>
          <w:tcPr>
            <w:tcW w:type="dxa" w:w="3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Key Elements</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SUB-01</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Subscription Request Form</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Public / Prospective</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Plan selector (Solo/Starter/Pro/Enterprise), org vs individual toggle, contact fields, submit CTA</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SUB-02</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Request Submitted Confirmation</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Public</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Success state, next steps, email confirmation note</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SUB-03</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Subscription Requests List</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Platform Admin</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Table: applicant, plan, date, status; filter by status; approve/reject actions</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SUB-04</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Request Detail &amp; Approval</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Platform Admin</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Applicant details, plan info, notes field, Approve / Reject / Request Info buttons</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SUB-05</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Tenant Provisioning Status</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Platform Admin</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Provisioning progress indicator, auto-generated credentials, send invite toggle</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SUB-06</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Tenant Onboarding Wizard</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Tenant Admin</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Step 1: Firm profile → Step 2: Invite users → Step 3: Configure courts → Step 4: Done</w:t>
            </w:r>
          </w:p>
        </w:tc>
      </w:tr>
    </w:tbl>
    <w:p>
      <w:pPr>
        <w:spacing w:before="0" w:after="80"/>
      </w:pPr>
      <w:r>
        <w:t xml:space="preserve"/>
      </w:r>
    </w:p>
    <w:p>
      <w:pPr>
        <w:pStyle w:val="Heading3"/>
        <w:spacing w:before="200" w:after="80"/>
      </w:pPr>
      <w:r>
        <w:rPr>
          <w:rFonts w:ascii="Arial" w:cs="Arial" w:eastAsia="Arial" w:hAnsi="Arial"/>
          <w:b/>
          <w:bCs/>
          <w:color w:val="0F766E"/>
          <w:sz w:val="22"/>
          <w:szCs w:val="22"/>
        </w:rPr>
        <w:t xml:space="preserve">Module 2: Tenant Admin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600"/>
        <w:gridCol w:w="396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Screen ID</w:t>
            </w:r>
          </w:p>
        </w:tc>
        <w:tc>
          <w:tcPr>
            <w:tcW w:type="dxa" w:w="2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Screen Name</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Persona</w:t>
            </w:r>
          </w:p>
        </w:tc>
        <w:tc>
          <w:tcPr>
            <w:tcW w:type="dxa" w:w="3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Key Elements</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TA-01</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Tenant Dashboard</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Tenant Admin</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Seat usage gauge, active cases count, recent activity feed, quick actions</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TA-02</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User Management List</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Tenant Admin</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User table: name, email, role, seat, status; invite user button; bulk actions</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TA-03</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Invite / Edit User</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Tenant Admin</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Email, name, role selector, seat type, permission overrides, send invite</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TA-04</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Seat Management</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Tenant Admin</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Seat allocation visual, seat assignment per user, upgrade plan CTA if at limit</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TA-05</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Courts Configuration</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Tenant Admin</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Court list with CRUD; jurisdiction filter; import from preset list option</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TA-06</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Backup &amp; Restore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Tenant Admin</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Last backup timestamp, backup history table, restore request form with confirmation</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TA-07</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Tenant Audit Logs</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Tenant Admin</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Filterable log table: actor, action, resource, timestamp; export to CSV</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TA-08</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Role Management</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Tenant Admin</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System roles (view only) + custom roles (create/edit); permission checklist UI</w:t>
            </w:r>
          </w:p>
        </w:tc>
      </w:tr>
    </w:tbl>
    <w:p>
      <w:pPr>
        <w:spacing w:before="0" w:after="80"/>
      </w:pPr>
      <w:r>
        <w:t xml:space="preserve"/>
      </w:r>
    </w:p>
    <w:p>
      <w:pPr>
        <w:pStyle w:val="Heading3"/>
        <w:spacing w:before="200" w:after="80"/>
      </w:pPr>
      <w:r>
        <w:rPr>
          <w:rFonts w:ascii="Arial" w:cs="Arial" w:eastAsia="Arial" w:hAnsi="Arial"/>
          <w:b/>
          <w:bCs/>
          <w:color w:val="0F766E"/>
          <w:sz w:val="22"/>
          <w:szCs w:val="22"/>
        </w:rPr>
        <w:t xml:space="preserve">Module 3: Customer Management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600"/>
        <w:gridCol w:w="396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Screen ID</w:t>
            </w:r>
          </w:p>
        </w:tc>
        <w:tc>
          <w:tcPr>
            <w:tcW w:type="dxa" w:w="2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Screen Name</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Persona</w:t>
            </w:r>
          </w:p>
        </w:tc>
        <w:tc>
          <w:tcPr>
            <w:tcW w:type="dxa" w:w="3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Key Elements</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CM-01</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Customer List</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Lawyer / Admin</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Search/filter by name, type, status; table with quick-view; create customer button</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CM-02</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Customer Profile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Lawyer / Admin</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Header: name, type badge, status, assigned lawyer; tabs: Overview / Documents / Cases / Payments</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CM-03</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Create / Edit Customer</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Lawyer / Admin</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Individual vs Company toggle; contact fields, address, assigned lawyer, lifecycle status</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CM-04</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Customer Documents Tab</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Lawyer / Admin</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Document list: type, upload date, status; upload button; POA / ID / Registration categories</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CM-05</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Customer Cases Tab</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Lawyer / Admin</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Linked cases list with status badges; quick navigate to case detail</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CM-06</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Customer Lifecycle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Tenant Admin</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Status pipeline view: Prospect → Active → Closed; status change log; notes</w:t>
            </w:r>
          </w:p>
        </w:tc>
      </w:tr>
    </w:tbl>
    <w:p>
      <w:pPr>
        <w:spacing w:before="0" w:after="80"/>
      </w:pPr>
      <w:r>
        <w:t xml:space="preserve"/>
      </w:r>
    </w:p>
    <w:p>
      <w:pPr>
        <w:pStyle w:val="Heading3"/>
        <w:spacing w:before="200" w:after="80"/>
      </w:pPr>
      <w:r>
        <w:rPr>
          <w:rFonts w:ascii="Arial" w:cs="Arial" w:eastAsia="Arial" w:hAnsi="Arial"/>
          <w:b/>
          <w:bCs/>
          <w:color w:val="0F766E"/>
          <w:sz w:val="22"/>
          <w:szCs w:val="22"/>
        </w:rPr>
        <w:t xml:space="preserve">Module 4: Case Management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600"/>
        <w:gridCol w:w="396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Screen ID</w:t>
            </w:r>
          </w:p>
        </w:tc>
        <w:tc>
          <w:tcPr>
            <w:tcW w:type="dxa" w:w="2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Screen Name</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Persona</w:t>
            </w:r>
          </w:p>
        </w:tc>
        <w:tc>
          <w:tcPr>
            <w:tcW w:type="dxa" w:w="3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Key Elements</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CASE-01</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Case List / Kanban</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Lawyer / Admin</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Toggle: table view / kanban by status; filter by court, lawyer, date; create case button</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CASE-02</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Case Detail</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Lawyer / Admin</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Header: case number, title, status, court, lawyer; tabs: Overview / Docs / Calendar / Expenses</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CASE-03</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Create / Edit Case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Lawyer / Admin</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Case title, customer select, court select, description, status, assigned lawyer, open date</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CASE-04</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Case Documents Tab</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Lawyer / Admin</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Category-organized document list; upload button; version history inline; access log link</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CASE-05</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Case Calendar Tab</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Lawyer / Admin</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Month/week calendar view; appointment list; create appointment modal with location + attendees</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CASE-06</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Case Expenses Tab</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Lawyer / Admin</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Expense table: category, amount, date; add expense form; total summary card; receipt upload</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CASE-07</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Case Status History</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Lawyer / Admin</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Timeline view of status changes with actor, timestamp, and optional notes</w:t>
            </w:r>
          </w:p>
        </w:tc>
      </w:tr>
    </w:tbl>
    <w:p>
      <w:pPr>
        <w:spacing w:before="0" w:after="80"/>
      </w:pPr>
      <w:r>
        <w:t xml:space="preserve"/>
      </w:r>
    </w:p>
    <w:p>
      <w:pPr>
        <w:pStyle w:val="Heading3"/>
        <w:spacing w:before="200" w:after="80"/>
      </w:pPr>
      <w:r>
        <w:rPr>
          <w:rFonts w:ascii="Arial" w:cs="Arial" w:eastAsia="Arial" w:hAnsi="Arial"/>
          <w:b/>
          <w:bCs/>
          <w:color w:val="0F766E"/>
          <w:sz w:val="22"/>
          <w:szCs w:val="22"/>
        </w:rPr>
        <w:t xml:space="preserve">Module 5: Document Management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600"/>
        <w:gridCol w:w="396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Screen ID</w:t>
            </w:r>
          </w:p>
        </w:tc>
        <w:tc>
          <w:tcPr>
            <w:tcW w:type="dxa" w:w="2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Screen Name</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Persona</w:t>
            </w:r>
          </w:p>
        </w:tc>
        <w:tc>
          <w:tcPr>
            <w:tcW w:type="dxa" w:w="3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Key Elements</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DOC-01</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Document Library</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Lawyer / Admin</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Hierarchical tree: Cases / Customers / Shared; search; filter by type, date, uploader</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DOC-02</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Document Detail</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Lawyer / Admin</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Preview panel (PDF/image inline); metadata sidebar: version, uploader, size, access level</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DOC-03</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Upload Document</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Lawyer / Admin</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Drag-drop upload zone; category/type selector; entity linkage (case or customer); access level</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DOC-04</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Document Version History</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Lawyer / Admin</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Version timeline; download specific version; compare versions (Wave 2)</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DOC-05</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Document Access Log</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Tenant Admin</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Per-document audit: who viewed/downloaded; timestamp; IP (admin only)</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DOC-06</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Bulk Document Actions</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Tenant Admin</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Multi-select; bulk download (ZIP); bulk archive; bulk access level change</w:t>
            </w:r>
          </w:p>
        </w:tc>
      </w:tr>
    </w:tbl>
    <w:p>
      <w:pPr>
        <w:spacing w:before="0" w:after="80"/>
      </w:pPr>
      <w:r>
        <w:t xml:space="preserve"/>
      </w:r>
    </w:p>
    <w:p>
      <w:pPr>
        <w:pStyle w:val="Heading2"/>
        <w:spacing w:before="280" w:after="100"/>
      </w:pPr>
      <w:r>
        <w:rPr>
          <w:rFonts w:ascii="Arial" w:cs="Arial" w:eastAsia="Arial" w:hAnsi="Arial"/>
          <w:b/>
          <w:bCs/>
          <w:color w:val="334155"/>
          <w:sz w:val="26"/>
          <w:szCs w:val="26"/>
        </w:rPr>
        <w:t xml:space="preserve">5.5 Design System Foundation</w:t>
      </w:r>
    </w:p>
    <w:p>
      <w:pPr>
        <w:pStyle w:val="Heading3"/>
        <w:spacing w:before="200" w:after="80"/>
      </w:pPr>
      <w:r>
        <w:rPr>
          <w:rFonts w:ascii="Arial" w:cs="Arial" w:eastAsia="Arial" w:hAnsi="Arial"/>
          <w:b/>
          <w:bCs/>
          <w:color w:val="0F766E"/>
          <w:sz w:val="22"/>
          <w:szCs w:val="22"/>
        </w:rPr>
        <w:t xml:space="preserve">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Token Name</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--color-primary-900</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#1B3A6B</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Page headers, nav backgrounds, primary headings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--color-primary-600</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#2563EB</w:t>
            </w:r>
          </w:p>
        </w:tc>
        <w:tc>
          <w:tcPr>
            <w:tcW w:type="dxa" w:w="4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Primary buttons, links, active states, focus rings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--color-primary-100</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#DBEAFE</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Info backgrounds, selected row highlights, tag backgrounds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--color-teal-700</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#0F766E</w:t>
            </w:r>
          </w:p>
        </w:tc>
        <w:tc>
          <w:tcPr>
            <w:tcW w:type="dxa" w:w="4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Success states, active case badges, confirmed status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--color-amber-600</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#D97706</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Warning states, pending badges, seat limit warnings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--color-red-600</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#DC2626</w:t>
            </w:r>
          </w:p>
        </w:tc>
        <w:tc>
          <w:tcPr>
            <w:tcW w:type="dxa" w:w="4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Error states, destructive actions, overdue alerts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--color-neutral-900</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#0F172A</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Body text, primary content</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--color-neutral-600</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#475569</w:t>
            </w:r>
          </w:p>
        </w:tc>
        <w:tc>
          <w:tcPr>
            <w:tcW w:type="dxa" w:w="4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Secondary text, placeholders, helper text</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--color-neutral-100</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#F1F5F9</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Page backgrounds, table alternating rows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--color-white</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#FFFFFF</w:t>
            </w:r>
          </w:p>
        </w:tc>
        <w:tc>
          <w:tcPr>
            <w:tcW w:type="dxa" w:w="4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Card backgrounds, modal backgrounds, nav text on dark</w:t>
            </w:r>
          </w:p>
        </w:tc>
      </w:tr>
    </w:tbl>
    <w:p>
      <w:pPr>
        <w:spacing w:before="0" w:after="80"/>
      </w:pPr>
      <w:r>
        <w:t xml:space="preserve"/>
      </w:r>
    </w:p>
    <w:p>
      <w:pPr>
        <w:pStyle w:val="Heading3"/>
        <w:spacing w:before="200" w:after="80"/>
      </w:pPr>
      <w:r>
        <w:rPr>
          <w:rFonts w:ascii="Arial" w:cs="Arial" w:eastAsia="Arial" w:hAnsi="Arial"/>
          <w:b/>
          <w:bCs/>
          <w:color w:val="0F766E"/>
          <w:sz w:val="22"/>
          <w:szCs w:val="22"/>
        </w:rPr>
        <w:t xml:space="preserve">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Token</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Size</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Weight</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--text-display</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32px / 2rem</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700</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Dashboard hero numbers, section headers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--text-h1</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28px / 1.75rem</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700</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Page titles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--text-h2</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22px / 1.375rem</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600</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Section headings within pages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--text-h3</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18px / 1.125rem</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600</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Card headers, subsections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--text-body-lg</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16px / 1rem</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400</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Primary body text, form labels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--text-body</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14px / 0.875rem</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400</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Secondary body, table content</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--text-sm</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12px / 0.75rem</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400</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Helper text, metadata, badges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--text-xs</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11px / 0.6875rem</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500</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Status labels, audit timestamps</w:t>
            </w:r>
          </w:p>
        </w:tc>
      </w:tr>
    </w:tbl>
    <w:p>
      <w:pPr>
        <w:spacing w:before="0" w:after="80"/>
      </w:pPr>
      <w:r>
        <w:t xml:space="preserve"/>
      </w:r>
    </w:p>
    <w:p>
      <w:pPr>
        <w:pStyle w:val="Heading3"/>
        <w:spacing w:before="200" w:after="80"/>
      </w:pPr>
      <w:r>
        <w:rPr>
          <w:rFonts w:ascii="Arial" w:cs="Arial" w:eastAsia="Arial" w:hAnsi="Arial"/>
          <w:b/>
          <w:bCs/>
          <w:color w:val="0F766E"/>
          <w:sz w:val="22"/>
          <w:szCs w:val="22"/>
        </w:rPr>
        <w:t xml:space="preserve">Spacing System</w:t>
      </w:r>
    </w:p>
    <w:p>
      <w:pPr>
        <w:spacing w:before="60" w:after="100"/>
      </w:pPr>
      <w:r>
        <w:rPr>
          <w:rFonts w:ascii="Arial" w:cs="Arial" w:eastAsia="Arial" w:hAnsi="Arial"/>
          <w:b w:val="false"/>
          <w:bCs w:val="false"/>
          <w:i w:val="false"/>
          <w:iCs w:val="false"/>
          <w:color w:val="1E293B"/>
          <w:sz w:val="22"/>
          <w:szCs w:val="22"/>
        </w:rPr>
        <w:t xml:space="preserve">8px base grid. All spacing values are multiples of 4px. Standard spacers: 4, 8, 12, 16, 24, 32, 48, 64, 96px. Component padding standard: 16px horizontal, 12px vertical for medium size controls.</w:t>
      </w:r>
    </w:p>
    <w:p>
      <w:pPr>
        <w:spacing w:before="0" w:after="80"/>
      </w:pPr>
      <w:r>
        <w:t xml:space="preserve"/>
      </w:r>
    </w:p>
    <w:p>
      <w:pPr>
        <w:pStyle w:val="Heading3"/>
        <w:spacing w:before="200" w:after="80"/>
      </w:pPr>
      <w:r>
        <w:rPr>
          <w:rFonts w:ascii="Arial" w:cs="Arial" w:eastAsia="Arial" w:hAnsi="Arial"/>
          <w:b/>
          <w:bCs/>
          <w:color w:val="0F766E"/>
          <w:sz w:val="22"/>
          <w:szCs w:val="22"/>
        </w:rPr>
        <w:t xml:space="preserve">Core Component Library</w:t>
      </w:r>
    </w:p>
    <w:p>
      <w:pPr>
        <w:pStyle w:val="ListParagraph"/>
        <w:numPr>
          <w:ilvl w:val="0"/>
          <w:numId w:val="2"/>
        </w:numPr>
        <w:spacing w:before="40" w:after="60"/>
      </w:pPr>
      <w:r>
        <w:rPr>
          <w:rFonts w:ascii="Arial" w:cs="Arial" w:eastAsia="Arial" w:hAnsi="Arial"/>
          <w:color w:val="1E293B"/>
          <w:sz w:val="21"/>
          <w:szCs w:val="21"/>
        </w:rPr>
        <w:t xml:space="preserve">Button: Primary / Secondary / Ghost / Destructive / Icon-only — each with Default / Hover / Active / Disabled / Loading states</w:t>
      </w:r>
    </w:p>
    <w:p>
      <w:pPr>
        <w:pStyle w:val="ListParagraph"/>
        <w:numPr>
          <w:ilvl w:val="0"/>
          <w:numId w:val="2"/>
        </w:numPr>
        <w:spacing w:before="40" w:after="60"/>
      </w:pPr>
      <w:r>
        <w:rPr>
          <w:rFonts w:ascii="Arial" w:cs="Arial" w:eastAsia="Arial" w:hAnsi="Arial"/>
          <w:color w:val="1E293B"/>
          <w:sz w:val="21"/>
          <w:szCs w:val="21"/>
        </w:rPr>
        <w:t xml:space="preserve">Input: Text / Password / Search / Number / Date — with Label, Helper text, Error state, Character count</w:t>
      </w:r>
    </w:p>
    <w:p>
      <w:pPr>
        <w:pStyle w:val="ListParagraph"/>
        <w:numPr>
          <w:ilvl w:val="0"/>
          <w:numId w:val="2"/>
        </w:numPr>
        <w:spacing w:before="40" w:after="60"/>
      </w:pPr>
      <w:r>
        <w:rPr>
          <w:rFonts w:ascii="Arial" w:cs="Arial" w:eastAsia="Arial" w:hAnsi="Arial"/>
          <w:color w:val="1E293B"/>
          <w:sz w:val="21"/>
          <w:szCs w:val="21"/>
        </w:rPr>
        <w:t xml:space="preserve">Select / Dropdown: Single-select / Multi-select / Async search — with Clearable option</w:t>
      </w:r>
    </w:p>
    <w:p>
      <w:pPr>
        <w:pStyle w:val="ListParagraph"/>
        <w:numPr>
          <w:ilvl w:val="0"/>
          <w:numId w:val="2"/>
        </w:numPr>
        <w:spacing w:before="40" w:after="60"/>
      </w:pPr>
      <w:r>
        <w:rPr>
          <w:rFonts w:ascii="Arial" w:cs="Arial" w:eastAsia="Arial" w:hAnsi="Arial"/>
          <w:color w:val="1E293B"/>
          <w:sz w:val="21"/>
          <w:szCs w:val="21"/>
        </w:rPr>
        <w:t xml:space="preserve">Table: Sortable columns / Filterable / Paginated / Row-selectable / Empty state / Loading skeleton</w:t>
      </w:r>
    </w:p>
    <w:p>
      <w:pPr>
        <w:pStyle w:val="ListParagraph"/>
        <w:numPr>
          <w:ilvl w:val="0"/>
          <w:numId w:val="2"/>
        </w:numPr>
        <w:spacing w:before="40" w:after="60"/>
      </w:pPr>
      <w:r>
        <w:rPr>
          <w:rFonts w:ascii="Arial" w:cs="Arial" w:eastAsia="Arial" w:hAnsi="Arial"/>
          <w:color w:val="1E293B"/>
          <w:sz w:val="21"/>
          <w:szCs w:val="21"/>
        </w:rPr>
        <w:t xml:space="preserve">Card: Default / Stat card / Case card / Customer card — with hover states</w:t>
      </w:r>
    </w:p>
    <w:p>
      <w:pPr>
        <w:pStyle w:val="ListParagraph"/>
        <w:numPr>
          <w:ilvl w:val="0"/>
          <w:numId w:val="2"/>
        </w:numPr>
        <w:spacing w:before="40" w:after="60"/>
      </w:pPr>
      <w:r>
        <w:rPr>
          <w:rFonts w:ascii="Arial" w:cs="Arial" w:eastAsia="Arial" w:hAnsi="Arial"/>
          <w:color w:val="1E293B"/>
          <w:sz w:val="21"/>
          <w:szCs w:val="21"/>
        </w:rPr>
        <w:t xml:space="preserve">Badge / Tag: Status, Role, Document type, Plan tier — 8 semantic color variants</w:t>
      </w:r>
    </w:p>
    <w:p>
      <w:pPr>
        <w:pStyle w:val="ListParagraph"/>
        <w:numPr>
          <w:ilvl w:val="0"/>
          <w:numId w:val="2"/>
        </w:numPr>
        <w:spacing w:before="40" w:after="60"/>
      </w:pPr>
      <w:r>
        <w:rPr>
          <w:rFonts w:ascii="Arial" w:cs="Arial" w:eastAsia="Arial" w:hAnsi="Arial"/>
          <w:color w:val="1E293B"/>
          <w:sz w:val="21"/>
          <w:szCs w:val="21"/>
        </w:rPr>
        <w:t xml:space="preserve">Modal / Dialog: Confirmation / Form / Full-screen preview — with backdrop, focus trap, ESC close</w:t>
      </w:r>
    </w:p>
    <w:p>
      <w:pPr>
        <w:pStyle w:val="ListParagraph"/>
        <w:numPr>
          <w:ilvl w:val="0"/>
          <w:numId w:val="2"/>
        </w:numPr>
        <w:spacing w:before="40" w:after="60"/>
      </w:pPr>
      <w:r>
        <w:rPr>
          <w:rFonts w:ascii="Arial" w:cs="Arial" w:eastAsia="Arial" w:hAnsi="Arial"/>
          <w:color w:val="1E293B"/>
          <w:sz w:val="21"/>
          <w:szCs w:val="21"/>
        </w:rPr>
        <w:t xml:space="preserve">Drawer / Side Panel: Filter drawer / Document preview panel / User detail panel</w:t>
      </w:r>
    </w:p>
    <w:p>
      <w:pPr>
        <w:pStyle w:val="ListParagraph"/>
        <w:numPr>
          <w:ilvl w:val="0"/>
          <w:numId w:val="2"/>
        </w:numPr>
        <w:spacing w:before="40" w:after="60"/>
      </w:pPr>
      <w:r>
        <w:rPr>
          <w:rFonts w:ascii="Arial" w:cs="Arial" w:eastAsia="Arial" w:hAnsi="Arial"/>
          <w:color w:val="1E293B"/>
          <w:sz w:val="21"/>
          <w:szCs w:val="21"/>
        </w:rPr>
        <w:t xml:space="preserve">Navigation: Top nav bar / Side navigation / Breadcrumb / Tab group</w:t>
      </w:r>
    </w:p>
    <w:p>
      <w:pPr>
        <w:pStyle w:val="ListParagraph"/>
        <w:numPr>
          <w:ilvl w:val="0"/>
          <w:numId w:val="2"/>
        </w:numPr>
        <w:spacing w:before="40" w:after="60"/>
      </w:pPr>
      <w:r>
        <w:rPr>
          <w:rFonts w:ascii="Arial" w:cs="Arial" w:eastAsia="Arial" w:hAnsi="Arial"/>
          <w:color w:val="1E293B"/>
          <w:sz w:val="21"/>
          <w:szCs w:val="21"/>
        </w:rPr>
        <w:t xml:space="preserve">Upload: Drag-drop zone / File list with progress / Error states / Type restrictions</w:t>
      </w:r>
    </w:p>
    <w:p>
      <w:pPr>
        <w:pStyle w:val="ListParagraph"/>
        <w:numPr>
          <w:ilvl w:val="0"/>
          <w:numId w:val="2"/>
        </w:numPr>
        <w:spacing w:before="40" w:after="60"/>
      </w:pPr>
      <w:r>
        <w:rPr>
          <w:rFonts w:ascii="Arial" w:cs="Arial" w:eastAsia="Arial" w:hAnsi="Arial"/>
          <w:color w:val="1E293B"/>
          <w:sz w:val="21"/>
          <w:szCs w:val="21"/>
        </w:rPr>
        <w:t xml:space="preserve">Calendar: Month view / Week view / Day view / Appointment creation overlay</w:t>
      </w:r>
    </w:p>
    <w:p>
      <w:pPr>
        <w:pStyle w:val="ListParagraph"/>
        <w:numPr>
          <w:ilvl w:val="0"/>
          <w:numId w:val="2"/>
        </w:numPr>
        <w:spacing w:before="40" w:after="60"/>
      </w:pPr>
      <w:r>
        <w:rPr>
          <w:rFonts w:ascii="Arial" w:cs="Arial" w:eastAsia="Arial" w:hAnsi="Arial"/>
          <w:color w:val="1E293B"/>
          <w:sz w:val="21"/>
          <w:szCs w:val="21"/>
        </w:rPr>
        <w:t xml:space="preserve">Notification: Toast (success/warning/error/info) / In-app notification bell / Empty states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36"/>
                <w:szCs w:val="36"/>
              </w:rPr>
              <w:t xml:space="preserve">SECTION 6</w:t>
            </w:r>
          </w:p>
          <w:p>
            <w:r>
              <w:rPr>
                <w:rFonts w:ascii="Arial" w:cs="Arial" w:eastAsia="Arial" w:hAnsi="Arial"/>
                <w:color w:val="BFDBFE"/>
                <w:sz w:val="22"/>
                <w:szCs w:val="22"/>
              </w:rPr>
              <w:t xml:space="preserve">Project Management &amp; Roadmap</w:t>
            </w:r>
          </w:p>
        </w:tc>
      </w:tr>
    </w:tbl>
    <w:p>
      <w:pPr>
        <w:spacing w:before="0" w:after="80"/>
      </w:pPr>
      <w:r>
        <w:t xml:space="preserve"/>
      </w:r>
    </w:p>
    <w:p>
      <w:pPr>
        <w:pStyle w:val="Heading1"/>
        <w:spacing w:before="360" w:after="120"/>
      </w:pPr>
      <w:r>
        <w:rPr>
          <w:rFonts w:ascii="Arial" w:cs="Arial" w:eastAsia="Arial" w:hAnsi="Arial"/>
          <w:b/>
          <w:bCs/>
          <w:color w:val="1B3A6B"/>
          <w:sz w:val="32"/>
          <w:szCs w:val="32"/>
        </w:rPr>
        <w:t xml:space="preserve">Project Management, Roadmap &amp; Risk</w:t>
      </w:r>
    </w:p>
    <w:p>
      <w:pPr>
        <w:pStyle w:val="Heading2"/>
        <w:spacing w:before="280" w:after="100"/>
      </w:pPr>
      <w:r>
        <w:rPr>
          <w:rFonts w:ascii="Arial" w:cs="Arial" w:eastAsia="Arial" w:hAnsi="Arial"/>
          <w:b/>
          <w:bCs/>
          <w:color w:val="334155"/>
          <w:sz w:val="26"/>
          <w:szCs w:val="26"/>
        </w:rPr>
        <w:t xml:space="preserve">6.1 MVP Scope Definition — Wave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8"/>
              <w:bottom w:val="single" w:color="E2E8F0" w:sz="1"/>
              <w:right w:val="single" w:color="E2E8F0" w:sz="1"/>
            </w:tcBorders>
            <w:shd w:fill="DCFCE7" w:val="clear"/>
            <w:tcMar>
              <w:top w:type="dxa" w:w="120"/>
              <w:left w:type="dxa" w:w="200"/>
              <w:bottom w:type="dxa" w:w="120"/>
              <w:right w:type="dxa" w:w="120"/>
            </w:tcMar>
          </w:tcPr>
          <w:p>
            <w:pPr>
              <w:spacing w:before="60" w:after="60"/>
            </w:pPr>
            <w:r>
              <w:rPr>
                <w:rFonts w:ascii="Arial" w:cs="Arial" w:eastAsia="Arial" w:hAnsi="Arial"/>
                <w:b/>
                <w:bCs/>
                <w:color w:val="16A34A"/>
                <w:sz w:val="22"/>
                <w:szCs w:val="22"/>
              </w:rPr>
              <w:t xml:space="preserve">MVP Definition Criteria</w:t>
            </w:r>
          </w:p>
          <w:p>
            <w:pPr>
              <w:spacing w:before="30" w:after="30"/>
            </w:pPr>
            <w:r>
              <w:rPr>
                <w:rFonts w:ascii="Arial" w:cs="Arial" w:eastAsia="Arial" w:hAnsi="Arial"/>
                <w:color w:val="1E293B"/>
                <w:sz w:val="20"/>
                <w:szCs w:val="20"/>
              </w:rPr>
              <w:t xml:space="preserve">Wave 1 MVP includes the minimum set of capabilities needed to deliver secure, multi-tenant legal case management to a paying law firm. It excludes financial processing, advanced analytics, and third-party integrations (deferred to Wave 2).</w:t>
            </w:r>
          </w:p>
          <w:p>
            <w:pPr>
              <w:spacing w:before="30" w:after="30"/>
            </w:pPr>
            <w:r>
              <w:rPr>
                <w:rFonts w:ascii="Arial" w:cs="Arial" w:eastAsia="Arial" w:hAnsi="Arial"/>
                <w:color w:val="1E293B"/>
                <w:sz w:val="20"/>
                <w:szCs w:val="20"/>
              </w:rPr>
              <w:t xml:space="preserve"/>
            </w:r>
          </w:p>
          <w:p>
            <w:pPr>
              <w:spacing w:before="30" w:after="30"/>
            </w:pPr>
            <w:r>
              <w:rPr>
                <w:rFonts w:ascii="Arial" w:cs="Arial" w:eastAsia="Arial" w:hAnsi="Arial"/>
                <w:color w:val="1E293B"/>
                <w:sz w:val="20"/>
                <w:szCs w:val="20"/>
              </w:rPr>
              <w:t xml:space="preserve">Definition of Done for MVP: All 5 modules functional; RBAC enforced; Azure Blob document storage integrated; tenant isolation verified; security audit completed; first paying tenant onboarded.</w:t>
            </w:r>
          </w:p>
        </w:tc>
      </w:tr>
    </w:tbl>
    <w:p>
      <w:pPr>
        <w:spacing w:before="0" w:after="80"/>
      </w:pPr>
      <w:r>
        <w:t xml:space="preserve"/>
      </w:r>
    </w:p>
    <w:p>
      <w:pPr>
        <w:pStyle w:val="Heading2"/>
        <w:spacing w:before="280" w:after="100"/>
      </w:pPr>
      <w:r>
        <w:rPr>
          <w:rFonts w:ascii="Arial" w:cs="Arial" w:eastAsia="Arial" w:hAnsi="Arial"/>
          <w:b/>
          <w:bCs/>
          <w:color w:val="334155"/>
          <w:sz w:val="26"/>
          <w:szCs w:val="26"/>
        </w:rPr>
        <w:t xml:space="preserve">6.2 Epics &amp; High-Level User Stories</w:t>
      </w:r>
    </w:p>
    <w:p>
      <w:pPr>
        <w:pStyle w:val="Heading3"/>
        <w:spacing w:before="200" w:after="80"/>
      </w:pPr>
      <w:r>
        <w:rPr>
          <w:rFonts w:ascii="Arial" w:cs="Arial" w:eastAsia="Arial" w:hAnsi="Arial"/>
          <w:b/>
          <w:bCs/>
          <w:color w:val="0F766E"/>
          <w:sz w:val="22"/>
          <w:szCs w:val="22"/>
        </w:rPr>
        <w:t xml:space="preserve">Epic 1: Multi-Tenant Subscription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60"/>
        <w:gridCol w:w="1200"/>
        <w:gridCol w:w="1600"/>
      </w:tblGrid>
      <w:tr>
        <w:trPr>
          <w:tblHeader/>
        </w:trPr>
        <w:tc>
          <w:tcPr>
            <w:tcW w:type="dxa" w:w="1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Story ID</w:t>
            </w:r>
          </w:p>
        </w:tc>
        <w:tc>
          <w:tcPr>
            <w:tcW w:type="dxa" w:w="55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Story Points</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US-101</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 a prospective tenant, I can submit a subscription request form specifying my plan and firm details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5</w:t>
            </w:r>
          </w:p>
        </w:tc>
      </w:tr>
      <w:tr>
        <w:tc>
          <w:tcPr>
            <w:tcW w:type="dxa" w:w="1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US-102</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As a Platform Admin, I can view all pending subscription requests with applicant details</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3</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US-103</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 a Platform Admin, I can approve or reject a subscription request with optional notes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5</w:t>
            </w:r>
          </w:p>
        </w:tc>
      </w:tr>
      <w:tr>
        <w:tc>
          <w:tcPr>
            <w:tcW w:type="dxa" w:w="1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US-104</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As a Platform Admin, I can provision a new tenant automatically upon approval</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13</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US-105</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 a Platform Admin, I can suspend or reactivate a tenant subscription</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5</w:t>
            </w:r>
          </w:p>
        </w:tc>
      </w:tr>
      <w:tr>
        <w:tc>
          <w:tcPr>
            <w:tcW w:type="dxa" w:w="1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US-106</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As a prospective tenant, I receive email confirmation when my request is approved and credentials are provided</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3</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US-107</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 a Platform Admin, I can view a dashboard of all tenants with subscription status and seat usage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8</w:t>
            </w:r>
          </w:p>
        </w:tc>
      </w:tr>
    </w:tbl>
    <w:p>
      <w:pPr>
        <w:spacing w:before="0" w:after="80"/>
      </w:pPr>
      <w:r>
        <w:t xml:space="preserve"/>
      </w:r>
    </w:p>
    <w:p>
      <w:pPr>
        <w:pStyle w:val="Heading3"/>
        <w:spacing w:before="200" w:after="80"/>
      </w:pPr>
      <w:r>
        <w:rPr>
          <w:rFonts w:ascii="Arial" w:cs="Arial" w:eastAsia="Arial" w:hAnsi="Arial"/>
          <w:b/>
          <w:bCs/>
          <w:color w:val="0F766E"/>
          <w:sz w:val="22"/>
          <w:szCs w:val="22"/>
        </w:rPr>
        <w:t xml:space="preserve">Epic 2: Tenant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60"/>
        <w:gridCol w:w="1200"/>
        <w:gridCol w:w="1600"/>
      </w:tblGrid>
      <w:tr>
        <w:trPr>
          <w:tblHeader/>
        </w:trPr>
        <w:tc>
          <w:tcPr>
            <w:tcW w:type="dxa" w:w="1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Story ID</w:t>
            </w:r>
          </w:p>
        </w:tc>
        <w:tc>
          <w:tcPr>
            <w:tcW w:type="dxa" w:w="55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Story Points</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US-201</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 a Tenant Admin, I can invite users to my tenant by email with a specified role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5</w:t>
            </w:r>
          </w:p>
        </w:tc>
      </w:tr>
      <w:tr>
        <w:tc>
          <w:tcPr>
            <w:tcW w:type="dxa" w:w="1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US-202</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As a Tenant Admin, I can assign and revoke seats for users within my subscription limit</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8</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US-203</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 a Tenant Admin, I can create, edit, and deactivate user accounts within my tenant</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5</w:t>
            </w:r>
          </w:p>
        </w:tc>
      </w:tr>
      <w:tr>
        <w:tc>
          <w:tcPr>
            <w:tcW w:type="dxa" w:w="1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US-204</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As a Tenant Admin, I can configure courts (name, jurisdiction, city) for use in case management</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5</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US-205</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 a Tenant Admin, I can view the last backup timestamp and request a data restore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8</w:t>
            </w:r>
          </w:p>
        </w:tc>
      </w:tr>
      <w:tr>
        <w:tc>
          <w:tcPr>
            <w:tcW w:type="dxa" w:w="1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US-206</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As a Tenant Admin, I can view a full audit log of all actions taken within my tenant</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8</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US-207</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 a Tenant Admin, I can create custom roles by composing permissions from a predefined list</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Should 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8</w:t>
            </w:r>
          </w:p>
        </w:tc>
      </w:tr>
      <w:tr>
        <w:tc>
          <w:tcPr>
            <w:tcW w:type="dxa" w:w="1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US-208</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As a Tenant Admin, I complete a guided onboarding wizard when first accessing the platform</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8</w:t>
            </w:r>
          </w:p>
        </w:tc>
      </w:tr>
    </w:tbl>
    <w:p>
      <w:pPr>
        <w:spacing w:before="0" w:after="80"/>
      </w:pPr>
      <w:r>
        <w:t xml:space="preserve"/>
      </w:r>
    </w:p>
    <w:p>
      <w:pPr>
        <w:pStyle w:val="Heading3"/>
        <w:spacing w:before="200" w:after="80"/>
      </w:pPr>
      <w:r>
        <w:rPr>
          <w:rFonts w:ascii="Arial" w:cs="Arial" w:eastAsia="Arial" w:hAnsi="Arial"/>
          <w:b/>
          <w:bCs/>
          <w:color w:val="0F766E"/>
          <w:sz w:val="22"/>
          <w:szCs w:val="22"/>
        </w:rPr>
        <w:t xml:space="preserve">Epic 3: Customer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60"/>
        <w:gridCol w:w="1200"/>
        <w:gridCol w:w="1600"/>
      </w:tblGrid>
      <w:tr>
        <w:trPr>
          <w:tblHeader/>
        </w:trPr>
        <w:tc>
          <w:tcPr>
            <w:tcW w:type="dxa" w:w="1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Story ID</w:t>
            </w:r>
          </w:p>
        </w:tc>
        <w:tc>
          <w:tcPr>
            <w:tcW w:type="dxa" w:w="55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Story Points</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US-301</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 a Lawyer, I can create a customer profile for an individual or company</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5</w:t>
            </w:r>
          </w:p>
        </w:tc>
      </w:tr>
      <w:tr>
        <w:tc>
          <w:tcPr>
            <w:tcW w:type="dxa" w:w="1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US-302</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As a Lawyer, I can search and filter customers by name, type, and status</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5</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US-303</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 a Lawyer, I can upload documents (POA, ID, registration) to a customer profile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8</w:t>
            </w:r>
          </w:p>
        </w:tc>
      </w:tr>
      <w:tr>
        <w:tc>
          <w:tcPr>
            <w:tcW w:type="dxa" w:w="1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US-304</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As a Lawyer, I can view all cases linked to a customer from their profile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3</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US-305</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 a Lawyer, I can update the lifecycle status of a customer (Prospect/Active/Closed)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5</w:t>
            </w:r>
          </w:p>
        </w:tc>
      </w:tr>
      <w:tr>
        <w:tc>
          <w:tcPr>
            <w:tcW w:type="dxa" w:w="1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US-306</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As a Lawyer, I can assign a customer to myself or another lawyer in the firm</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Should 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3</w:t>
            </w:r>
          </w:p>
        </w:tc>
      </w:tr>
    </w:tbl>
    <w:p>
      <w:pPr>
        <w:spacing w:before="0" w:after="80"/>
      </w:pPr>
      <w:r>
        <w:t xml:space="preserve"/>
      </w:r>
    </w:p>
    <w:p>
      <w:pPr>
        <w:pStyle w:val="Heading3"/>
        <w:spacing w:before="200" w:after="80"/>
      </w:pPr>
      <w:r>
        <w:rPr>
          <w:rFonts w:ascii="Arial" w:cs="Arial" w:eastAsia="Arial" w:hAnsi="Arial"/>
          <w:b/>
          <w:bCs/>
          <w:color w:val="0F766E"/>
          <w:sz w:val="22"/>
          <w:szCs w:val="22"/>
        </w:rPr>
        <w:t xml:space="preserve">Epic 4: Case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60"/>
        <w:gridCol w:w="1200"/>
        <w:gridCol w:w="1600"/>
      </w:tblGrid>
      <w:tr>
        <w:trPr>
          <w:tblHeader/>
        </w:trPr>
        <w:tc>
          <w:tcPr>
            <w:tcW w:type="dxa" w:w="1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Story ID</w:t>
            </w:r>
          </w:p>
        </w:tc>
        <w:tc>
          <w:tcPr>
            <w:tcW w:type="dxa" w:w="55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Story Points</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US-401</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 a Lawyer, I can create a new case linked to a customer with court, status, and description</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8</w:t>
            </w:r>
          </w:p>
        </w:tc>
      </w:tr>
      <w:tr>
        <w:tc>
          <w:tcPr>
            <w:tcW w:type="dxa" w:w="1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US-402</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As a Lawyer, I can view and edit my cases; Tenant Admin can view all cases</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5</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US-403</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 a Lawyer, I can update case status and view a history of all status changes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8</w:t>
            </w:r>
          </w:p>
        </w:tc>
      </w:tr>
      <w:tr>
        <w:tc>
          <w:tcPr>
            <w:tcW w:type="dxa" w:w="1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US-404</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As a Lawyer, I can upload and categorize documents within a case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8</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US-405</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 a Lawyer, I can create appointments (hearings, meetings) with date, time, and location</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8</w:t>
            </w:r>
          </w:p>
        </w:tc>
      </w:tr>
      <w:tr>
        <w:tc>
          <w:tcPr>
            <w:tcW w:type="dxa" w:w="1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US-406</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As a Lawyer, I can log case expenses with category, amount, and optional receipt upload</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5</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US-407</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 a Lawyer, I can view cases in a Kanban board grouped by status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Should 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8</w:t>
            </w:r>
          </w:p>
        </w:tc>
      </w:tr>
      <w:tr>
        <w:tc>
          <w:tcPr>
            <w:tcW w:type="dxa" w:w="1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US-408</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As a Lawyer, I can view an upcoming appointments calendar across all my cases</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Should 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8</w:t>
            </w:r>
          </w:p>
        </w:tc>
      </w:tr>
    </w:tbl>
    <w:p>
      <w:pPr>
        <w:spacing w:before="0" w:after="80"/>
      </w:pPr>
      <w:r>
        <w:t xml:space="preserve"/>
      </w:r>
    </w:p>
    <w:p>
      <w:pPr>
        <w:pStyle w:val="Heading3"/>
        <w:spacing w:before="200" w:after="80"/>
      </w:pPr>
      <w:r>
        <w:rPr>
          <w:rFonts w:ascii="Arial" w:cs="Arial" w:eastAsia="Arial" w:hAnsi="Arial"/>
          <w:b/>
          <w:bCs/>
          <w:color w:val="0F766E"/>
          <w:sz w:val="22"/>
          <w:szCs w:val="22"/>
        </w:rPr>
        <w:t xml:space="preserve">Epic 5: Document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60"/>
        <w:gridCol w:w="1200"/>
        <w:gridCol w:w="1600"/>
      </w:tblGrid>
      <w:tr>
        <w:trPr>
          <w:tblHeader/>
        </w:trPr>
        <w:tc>
          <w:tcPr>
            <w:tcW w:type="dxa" w:w="1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Story ID</w:t>
            </w:r>
          </w:p>
        </w:tc>
        <w:tc>
          <w:tcPr>
            <w:tcW w:type="dxa" w:w="55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Story Points</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US-501</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 a Lawyer, I can upload documents to a centralized library linked to cases or customers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8</w:t>
            </w:r>
          </w:p>
        </w:tc>
      </w:tr>
      <w:tr>
        <w:tc>
          <w:tcPr>
            <w:tcW w:type="dxa" w:w="1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US-502</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As a Lawyer, I can browse documents in a hierarchical view (by case, by customer, or shared)</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8</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US-503</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 a Lawyer, I can download documents via a secure, time-limited link</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5</w:t>
            </w:r>
          </w:p>
        </w:tc>
      </w:tr>
      <w:tr>
        <w:tc>
          <w:tcPr>
            <w:tcW w:type="dxa" w:w="1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US-504</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As a Tenant Admin, I can view the access log for any document (who accessed, when)</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8</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US-505</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 a Lawyer, I can set access levels on documents (private, team, tenant-wide)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5</w:t>
            </w:r>
          </w:p>
        </w:tc>
      </w:tr>
      <w:tr>
        <w:tc>
          <w:tcPr>
            <w:tcW w:type="dxa" w:w="1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US-506</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As a system, documents are automatically scanned for malware before becoming accessible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Must 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8</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US-507</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As a Lawyer, I can view the version history of a document and download any previous version</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Should 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8</w:t>
            </w:r>
          </w:p>
        </w:tc>
      </w:tr>
      <w:tr>
        <w:tc>
          <w:tcPr>
            <w:tcW w:type="dxa" w:w="1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US-508</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As a Tenant Admin, I can archive documents and set lifecycle policies per document category</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Should 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5</w:t>
            </w:r>
          </w:p>
        </w:tc>
      </w:tr>
    </w:tbl>
    <w:p>
      <w:pPr>
        <w:spacing w:before="0" w:after="80"/>
      </w:pPr>
      <w:r>
        <w:t xml:space="preserve"/>
      </w:r>
    </w:p>
    <w:p>
      <w:pPr>
        <w:pStyle w:val="Heading2"/>
        <w:spacing w:before="280" w:after="100"/>
      </w:pPr>
      <w:r>
        <w:rPr>
          <w:rFonts w:ascii="Arial" w:cs="Arial" w:eastAsia="Arial" w:hAnsi="Arial"/>
          <w:b/>
          <w:bCs/>
          <w:color w:val="334155"/>
          <w:sz w:val="26"/>
          <w:szCs w:val="26"/>
        </w:rPr>
        <w:t xml:space="preserve">6.3 Phased Roadmap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200"/>
        <w:gridCol w:w="2560"/>
      </w:tblGrid>
      <w:tr>
        <w:trPr>
          <w:tblHeader/>
        </w:trPr>
        <w:tc>
          <w:tcPr>
            <w:tcW w:type="dxa" w:w="1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4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Key Deliverables</w:t>
            </w:r>
          </w:p>
        </w:tc>
        <w:tc>
          <w:tcPr>
            <w:tcW w:type="dxa" w:w="25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Success Criteria</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Phase 0: Foundation</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Weeks 1–4</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Azure infrastructure setup, CI/CD pipelines, design system v1, auth integration, database schema, tenant provisioning engine</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Dev environment operational; first tenant provisionable; design system approved</w:t>
            </w:r>
          </w:p>
        </w:tc>
      </w:tr>
      <w:tr>
        <w:tc>
          <w:tcPr>
            <w:tcW w:type="dxa" w:w="1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Phase 1: Core Platform</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Weeks 5–10</w:t>
            </w:r>
          </w:p>
        </w:tc>
        <w:tc>
          <w:tcPr>
            <w:tcW w:type="dxa" w:w="4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Subscription request + approval flow; tenant admin panel; user management; seat management; courts config; basic dashboard</w:t>
            </w:r>
          </w:p>
        </w:tc>
        <w:tc>
          <w:tcPr>
            <w:tcW w:type="dxa" w:w="2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Platform Admin can approve requests; Tenant Admin can configure firm; UAT sign-off</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Phase 2: Case &amp; Customer</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Weeks 11–16</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Customer management module; case management module (create, status, calendar, expenses); RBAC enforcement throughout</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Lawyer can manage full case lifecycle end-to-end; RBAC verified by security review</w:t>
            </w:r>
          </w:p>
        </w:tc>
      </w:tr>
      <w:tr>
        <w:tc>
          <w:tcPr>
            <w:tcW w:type="dxa" w:w="1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Phase 3: Documents</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Weeks 17–20</w:t>
            </w:r>
          </w:p>
        </w:tc>
        <w:tc>
          <w:tcPr>
            <w:tcW w:type="dxa" w:w="4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Document management module; Azure Blob integration; SAS token access; document access control; virus scanning; version history</w:t>
            </w:r>
          </w:p>
        </w:tc>
        <w:tc>
          <w:tcPr>
            <w:tcW w:type="dxa" w:w="2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Documents uploadable/downloadable; access logs working; antivirus integration live</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Phase 4: Hardening</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Weeks 21–24</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Security audit; performance testing; audit log polish; backup/restore workflow; onboarding wizard; beta customer onboarding</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Security audit passed; 3 beta tenants live; SLA metrics baselining; GA ready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8"/>
              <w:bottom w:val="single" w:color="E2E8F0" w:sz="1"/>
              <w:right w:val="single" w:color="E2E8F0" w:sz="1"/>
            </w:tcBorders>
            <w:shd w:fill="DCFCE7" w:val="clear"/>
            <w:tcMar>
              <w:top w:type="dxa" w:w="120"/>
              <w:left w:type="dxa" w:w="200"/>
              <w:bottom w:type="dxa" w:w="120"/>
              <w:right w:type="dxa" w:w="120"/>
            </w:tcMar>
          </w:tcPr>
          <w:p>
            <w:pPr>
              <w:spacing w:before="60" w:after="60"/>
            </w:pPr>
            <w:r>
              <w:rPr>
                <w:rFonts w:ascii="Arial" w:cs="Arial" w:eastAsia="Arial" w:hAnsi="Arial"/>
                <w:b/>
                <w:bCs/>
                <w:color w:val="16A34A"/>
                <w:sz w:val="22"/>
                <w:szCs w:val="22"/>
              </w:rPr>
              <w:t xml:space="preserve">Timeline Summary</w:t>
            </w:r>
          </w:p>
          <w:p>
            <w:pPr>
              <w:spacing w:before="30" w:after="30"/>
            </w:pPr>
            <w:r>
              <w:rPr>
                <w:rFonts w:ascii="Arial" w:cs="Arial" w:eastAsia="Arial" w:hAnsi="Arial"/>
                <w:color w:val="1E293B"/>
                <w:sz w:val="20"/>
                <w:szCs w:val="20"/>
              </w:rPr>
              <w:t xml:space="preserve">Wave 1 MVP Duration:  24 weeks  (~6 months) from project kickoff to GA launch</w:t>
            </w:r>
          </w:p>
          <w:p>
            <w:pPr>
              <w:spacing w:before="30" w:after="30"/>
            </w:pPr>
            <w:r>
              <w:rPr>
                <w:rFonts w:ascii="Arial" w:cs="Arial" w:eastAsia="Arial" w:hAnsi="Arial"/>
                <w:color w:val="1E293B"/>
                <w:sz w:val="20"/>
                <w:szCs w:val="20"/>
              </w:rPr>
              <w:t xml:space="preserve">Milestone M1:  End of Week 4   — Infrastructure &amp; Foundation complete</w:t>
            </w:r>
          </w:p>
          <w:p>
            <w:pPr>
              <w:spacing w:before="30" w:after="30"/>
            </w:pPr>
            <w:r>
              <w:rPr>
                <w:rFonts w:ascii="Arial" w:cs="Arial" w:eastAsia="Arial" w:hAnsi="Arial"/>
                <w:color w:val="1E293B"/>
                <w:sz w:val="20"/>
                <w:szCs w:val="20"/>
              </w:rPr>
              <w:t xml:space="preserve">Milestone M2:  End of Week 10  — Platform &amp; Tenant Admin complete; internal demo</w:t>
            </w:r>
          </w:p>
          <w:p>
            <w:pPr>
              <w:spacing w:before="30" w:after="30"/>
            </w:pPr>
            <w:r>
              <w:rPr>
                <w:rFonts w:ascii="Arial" w:cs="Arial" w:eastAsia="Arial" w:hAnsi="Arial"/>
                <w:color w:val="1E293B"/>
                <w:sz w:val="20"/>
                <w:szCs w:val="20"/>
              </w:rPr>
              <w:t xml:space="preserve">Milestone M3:  End of Week 16  — Case &amp; Customer modules complete; UAT begins</w:t>
            </w:r>
          </w:p>
          <w:p>
            <w:pPr>
              <w:spacing w:before="30" w:after="30"/>
            </w:pPr>
            <w:r>
              <w:rPr>
                <w:rFonts w:ascii="Arial" w:cs="Arial" w:eastAsia="Arial" w:hAnsi="Arial"/>
                <w:color w:val="1E293B"/>
                <w:sz w:val="20"/>
                <w:szCs w:val="20"/>
              </w:rPr>
              <w:t xml:space="preserve">Milestone M4:  End of Week 20  — Document module complete; security audit begins</w:t>
            </w:r>
          </w:p>
          <w:p>
            <w:pPr>
              <w:spacing w:before="30" w:after="30"/>
            </w:pPr>
            <w:r>
              <w:rPr>
                <w:rFonts w:ascii="Arial" w:cs="Arial" w:eastAsia="Arial" w:hAnsi="Arial"/>
                <w:color w:val="1E293B"/>
                <w:sz w:val="20"/>
                <w:szCs w:val="20"/>
              </w:rPr>
              <w:t xml:space="preserve">Milestone M5:  End of Week 24  — GA launch; first 3 paying tenants onboarded</w:t>
            </w:r>
          </w:p>
        </w:tc>
      </w:tr>
    </w:tbl>
    <w:p>
      <w:pPr>
        <w:spacing w:before="0" w:after="80"/>
      </w:pPr>
      <w:r>
        <w:t xml:space="preserve"/>
      </w:r>
    </w:p>
    <w:p>
      <w:pPr>
        <w:pStyle w:val="Heading2"/>
        <w:spacing w:before="280" w:after="100"/>
      </w:pPr>
      <w:r>
        <w:rPr>
          <w:rFonts w:ascii="Arial" w:cs="Arial" w:eastAsia="Arial" w:hAnsi="Arial"/>
          <w:b/>
          <w:bCs/>
          <w:color w:val="334155"/>
          <w:sz w:val="26"/>
          <w:szCs w:val="26"/>
        </w:rPr>
        <w:t xml:space="preserve">6.4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4200"/>
        <w:gridCol w:w="1760"/>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Count</w:t>
            </w:r>
          </w:p>
        </w:tc>
        <w:tc>
          <w:tcPr>
            <w:tcW w:type="dxa" w:w="4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c>
          <w:tcPr>
            <w:tcW w:type="dxa" w:w="17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Technical Architect / Lead</w:t>
            </w:r>
          </w:p>
        </w:tc>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1</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Architecture decisions, technical governance, security design, code reviews</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All phases</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Backend Engineers (ASP.NET Core)</w:t>
            </w:r>
          </w:p>
        </w:tc>
        <w:tc>
          <w:tcPr>
            <w:tcW w:type="dxa" w:w="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2</w:t>
            </w:r>
          </w:p>
        </w:tc>
        <w:tc>
          <w:tcPr>
            <w:tcW w:type="dxa" w:w="4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API services, business logic, database layer, Azure integrations</w:t>
            </w:r>
          </w:p>
        </w:tc>
        <w:tc>
          <w:tcPr>
            <w:tcW w:type="dxa" w:w="1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Phases 0–4</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Frontend Engineers (React/TS)</w:t>
            </w:r>
          </w:p>
        </w:tc>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2</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UI implementation, design system, component library, UX fidelity</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Phases 0–4</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UX / Product Designer</w:t>
            </w:r>
          </w:p>
        </w:tc>
        <w:tc>
          <w:tcPr>
            <w:tcW w:type="dxa" w:w="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1</w:t>
            </w:r>
          </w:p>
        </w:tc>
        <w:tc>
          <w:tcPr>
            <w:tcW w:type="dxa" w:w="4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Figma designs, prototypes, user testing, design system ownership</w:t>
            </w:r>
          </w:p>
        </w:tc>
        <w:tc>
          <w:tcPr>
            <w:tcW w:type="dxa" w:w="1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Phases 0–3</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DevOps / Cloud Engineer</w:t>
            </w:r>
          </w:p>
        </w:tc>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1</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Azure infrastructure (Bicep), CI/CD, monitoring, security controls</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All phases</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QA Engineer</w:t>
            </w:r>
          </w:p>
        </w:tc>
        <w:tc>
          <w:tcPr>
            <w:tcW w:type="dxa" w:w="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1</w:t>
            </w:r>
          </w:p>
        </w:tc>
        <w:tc>
          <w:tcPr>
            <w:tcW w:type="dxa" w:w="4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Test plans, regression testing, security testing coordination, UAT support</w:t>
            </w:r>
          </w:p>
        </w:tc>
        <w:tc>
          <w:tcPr>
            <w:tcW w:type="dxa" w:w="1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Phases 1–4</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Product Manager</w:t>
            </w:r>
          </w:p>
        </w:tc>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1</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Backlog grooming, sprint planning, stakeholder management, roadmap</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All phases</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Part-time: Security Consultant</w:t>
            </w:r>
          </w:p>
        </w:tc>
        <w:tc>
          <w:tcPr>
            <w:tcW w:type="dxa" w:w="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0.5</w:t>
            </w:r>
          </w:p>
        </w:tc>
        <w:tc>
          <w:tcPr>
            <w:tcW w:type="dxa" w:w="4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Security audit (Phase 4), threat modelling, penetration test coordination</w:t>
            </w:r>
          </w:p>
        </w:tc>
        <w:tc>
          <w:tcPr>
            <w:tcW w:type="dxa" w:w="1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Phases 0, 4</w:t>
            </w:r>
          </w:p>
        </w:tc>
      </w:tr>
    </w:tbl>
    <w:p>
      <w:pPr>
        <w:spacing w:before="0" w:after="80"/>
      </w:pPr>
      <w:r>
        <w:t xml:space="preserve"/>
      </w:r>
    </w:p>
    <w:p>
      <w:pPr>
        <w:pStyle w:val="Heading2"/>
        <w:spacing w:before="280" w:after="100"/>
      </w:pPr>
      <w:r>
        <w:rPr>
          <w:rFonts w:ascii="Arial" w:cs="Arial" w:eastAsia="Arial" w:hAnsi="Arial"/>
          <w:b/>
          <w:bCs/>
          <w:color w:val="334155"/>
          <w:sz w:val="26"/>
          <w:szCs w:val="26"/>
        </w:rPr>
        <w:t xml:space="preserve">6.5 Wave 2 Recommendation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8"/>
              <w:bottom w:val="single" w:color="E2E8F0" w:sz="1"/>
              <w:right w:val="single" w:color="E2E8F0" w:sz="1"/>
            </w:tcBorders>
            <w:shd w:fill="EDE9FE" w:val="clear"/>
            <w:tcMar>
              <w:top w:type="dxa" w:w="120"/>
              <w:left w:type="dxa" w:w="200"/>
              <w:bottom w:type="dxa" w:w="120"/>
              <w:right w:type="dxa" w:w="120"/>
            </w:tcMar>
          </w:tcPr>
          <w:p>
            <w:pPr>
              <w:spacing w:before="60" w:after="60"/>
            </w:pPr>
            <w:r>
              <w:rPr>
                <w:rFonts w:ascii="Arial" w:cs="Arial" w:eastAsia="Arial" w:hAnsi="Arial"/>
                <w:b/>
                <w:bCs/>
                <w:color w:val="7C3AED"/>
                <w:sz w:val="22"/>
                <w:szCs w:val="22"/>
              </w:rPr>
              <w:t xml:space="preserve">Wave 2 Scope (Indicative — Q3/Q4 Post-Launch)</w:t>
            </w:r>
          </w:p>
          <w:p>
            <w:pPr>
              <w:spacing w:before="30" w:after="30"/>
            </w:pPr>
            <w:r>
              <w:rPr>
                <w:rFonts w:ascii="Arial" w:cs="Arial" w:eastAsia="Arial" w:hAnsi="Arial"/>
                <w:color w:val="1E293B"/>
                <w:sz w:val="20"/>
                <w:szCs w:val="20"/>
              </w:rPr>
              <w:t xml:space="preserve">F1:  Accountant Module             — Payment tracking, invoice generation, accounts receivable, expense reconciliation</w:t>
            </w:r>
          </w:p>
          <w:p>
            <w:pPr>
              <w:spacing w:before="30" w:after="30"/>
            </w:pPr>
            <w:r>
              <w:rPr>
                <w:rFonts w:ascii="Arial" w:cs="Arial" w:eastAsia="Arial" w:hAnsi="Arial"/>
                <w:color w:val="1E293B"/>
                <w:sz w:val="20"/>
                <w:szCs w:val="20"/>
              </w:rPr>
              <w:t xml:space="preserve">F2:  Advanced Analytics            — Per-tenant dashboards, case outcome metrics, lawyer productivity reports</w:t>
            </w:r>
          </w:p>
          <w:p>
            <w:pPr>
              <w:spacing w:before="30" w:after="30"/>
            </w:pPr>
            <w:r>
              <w:rPr>
                <w:rFonts w:ascii="Arial" w:cs="Arial" w:eastAsia="Arial" w:hAnsi="Arial"/>
                <w:color w:val="1E293B"/>
                <w:sz w:val="20"/>
                <w:szCs w:val="20"/>
              </w:rPr>
              <w:t xml:space="preserve">F3:  Billing &amp; Stripe Integration  — Automated subscription billing, invoice PDF generation, card management</w:t>
            </w:r>
          </w:p>
          <w:p>
            <w:pPr>
              <w:spacing w:before="30" w:after="30"/>
            </w:pPr>
            <w:r>
              <w:rPr>
                <w:rFonts w:ascii="Arial" w:cs="Arial" w:eastAsia="Arial" w:hAnsi="Arial"/>
                <w:color w:val="1E293B"/>
                <w:sz w:val="20"/>
                <w:szCs w:val="20"/>
              </w:rPr>
              <w:t xml:space="preserve">F4:  Document AI Features          — OCR for scanned docs, contract clause detection, document summarization</w:t>
            </w:r>
          </w:p>
          <w:p>
            <w:pPr>
              <w:spacing w:before="30" w:after="30"/>
            </w:pPr>
            <w:r>
              <w:rPr>
                <w:rFonts w:ascii="Arial" w:cs="Arial" w:eastAsia="Arial" w:hAnsi="Arial"/>
                <w:color w:val="1E293B"/>
                <w:sz w:val="20"/>
                <w:szCs w:val="20"/>
              </w:rPr>
              <w:t xml:space="preserve">F5:  Client Portal                 — External client-facing portal for document sharing and case status updates</w:t>
            </w:r>
          </w:p>
          <w:p>
            <w:pPr>
              <w:spacing w:before="30" w:after="30"/>
            </w:pPr>
            <w:r>
              <w:rPr>
                <w:rFonts w:ascii="Arial" w:cs="Arial" w:eastAsia="Arial" w:hAnsi="Arial"/>
                <w:color w:val="1E293B"/>
                <w:sz w:val="20"/>
                <w:szCs w:val="20"/>
              </w:rPr>
              <w:t xml:space="preserve">F6:  Calendar Integrations         — Google Calendar / Outlook sync for appointments</w:t>
            </w:r>
          </w:p>
          <w:p>
            <w:pPr>
              <w:spacing w:before="30" w:after="30"/>
            </w:pPr>
            <w:r>
              <w:rPr>
                <w:rFonts w:ascii="Arial" w:cs="Arial" w:eastAsia="Arial" w:hAnsi="Arial"/>
                <w:color w:val="1E293B"/>
                <w:sz w:val="20"/>
                <w:szCs w:val="20"/>
              </w:rPr>
              <w:t xml:space="preserve">F7:  SSO / Enterprise Auth         — SAML 2.0 federation for Enterprise plan tenants</w:t>
            </w:r>
          </w:p>
          <w:p>
            <w:pPr>
              <w:spacing w:before="30" w:after="30"/>
            </w:pPr>
            <w:r>
              <w:rPr>
                <w:rFonts w:ascii="Arial" w:cs="Arial" w:eastAsia="Arial" w:hAnsi="Arial"/>
                <w:color w:val="1E293B"/>
                <w:sz w:val="20"/>
                <w:szCs w:val="20"/>
              </w:rPr>
              <w:t xml:space="preserve">F8:  Customer-Managed Keys (CMK)   — Bring-your-own-key encryption via Azure Key Vault for Enterprise</w:t>
            </w:r>
          </w:p>
          <w:p>
            <w:pPr>
              <w:spacing w:before="30" w:after="30"/>
            </w:pPr>
            <w:r>
              <w:rPr>
                <w:rFonts w:ascii="Arial" w:cs="Arial" w:eastAsia="Arial" w:hAnsi="Arial"/>
                <w:color w:val="1E293B"/>
                <w:sz w:val="20"/>
                <w:szCs w:val="20"/>
              </w:rPr>
              <w:t xml:space="preserve">F9:  Multi-Region Deployment       — Active-active multi-region for Enterprise SLA (99.99% uptime target)</w:t>
            </w:r>
          </w:p>
          <w:p>
            <w:pPr>
              <w:spacing w:before="30" w:after="30"/>
            </w:pPr>
            <w:r>
              <w:rPr>
                <w:rFonts w:ascii="Arial" w:cs="Arial" w:eastAsia="Arial" w:hAnsi="Arial"/>
                <w:color w:val="1E293B"/>
                <w:sz w:val="20"/>
                <w:szCs w:val="20"/>
              </w:rPr>
              <w:t xml:space="preserve">F10: Mobile App (React Native)     — iOS/Android companion app for Lawyers (offline case viewing, doc scan)</w:t>
            </w:r>
          </w:p>
        </w:tc>
      </w:tr>
    </w:tbl>
    <w:p>
      <w:pPr>
        <w:spacing w:before="0" w:after="80"/>
      </w:pPr>
      <w:r>
        <w:t xml:space="preserve"/>
      </w:r>
    </w:p>
    <w:p>
      <w:pPr>
        <w:pStyle w:val="Heading2"/>
        <w:spacing w:before="280" w:after="100"/>
      </w:pPr>
      <w:r>
        <w:rPr>
          <w:rFonts w:ascii="Arial" w:cs="Arial" w:eastAsia="Arial" w:hAnsi="Arial"/>
          <w:b/>
          <w:bCs/>
          <w:color w:val="334155"/>
          <w:sz w:val="26"/>
          <w:szCs w:val="26"/>
        </w:rPr>
        <w:t xml:space="preserve">6.6 Risk Assessment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41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Mitigation Strategy</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Tenant data leak due to schema isolation failure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Low</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Critical</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RLS as secondary control; quarterly isolation penetration tests; schema migration CI validation</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Azure Blob access via leaked SAS tokens</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Medium</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High</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15-min token TTL; access log monitoring; anomaly detection alerting; token revocation endpoint</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Subscription enforcement bypass by API manipulation</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High</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Server-side seat/plan checks on every API call; no client-side enforcement; automated contract tests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Scope creep delaying Wave 1 launch</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High</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High</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Strict MoSCoW prioritization; weekly backlog review; Wave 2 parking lot; clear MVP Definition of Done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Key personnel departure (e.g., architect)</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High</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Architecture Decision Records (ADRs) maintained; pair programming; documented runbooks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Azure service outage impacting availability</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Low</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High</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Multi-zone deployment; automated failover; Azure SLA backed; DR runbook with quarterly drills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Compliance gap for specific jurisdictions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Medium</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Legal review of data residency requirements pre-launch; configurable data region per tenant in Wave 2</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Performance degradation at tenant scale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Medium</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Medium</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Load testing at 100-tenant simulation; connection pooling (PgBouncer); read replicas for reporting</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Security audit findings blocking launch</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High</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Begin threat modelling in Phase 0; security consultant engaged from project start; OWASP ASVS level 2 target</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Poor UX adoption reducing retention</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Medium</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Medium</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Usability testing with 5 lawyers during UAT; onboarding wizard; in-app help tooltips</w:t>
            </w:r>
          </w:p>
        </w:tc>
      </w:tr>
    </w:tbl>
    <w:p>
      <w:pPr>
        <w:spacing w:before="0" w:after="80"/>
      </w:pPr>
      <w:r>
        <w:t xml:space="preserve"/>
      </w:r>
    </w:p>
    <w:p>
      <w:pPr>
        <w:pStyle w:val="Heading2"/>
        <w:spacing w:before="280" w:after="100"/>
      </w:pPr>
      <w:r>
        <w:rPr>
          <w:rFonts w:ascii="Arial" w:cs="Arial" w:eastAsia="Arial" w:hAnsi="Arial"/>
          <w:b/>
          <w:bCs/>
          <w:color w:val="334155"/>
          <w:sz w:val="26"/>
          <w:szCs w:val="26"/>
        </w:rPr>
        <w:t xml:space="preserve">6.7 High-Level Cost Estimation Approach</w:t>
      </w:r>
    </w:p>
    <w:p>
      <w:pPr>
        <w:spacing w:before="60" w:after="100"/>
      </w:pPr>
      <w:r>
        <w:rPr>
          <w:rFonts w:ascii="Arial" w:cs="Arial" w:eastAsia="Arial" w:hAnsi="Arial"/>
          <w:b w:val="false"/>
          <w:bCs w:val="false"/>
          <w:i w:val="false"/>
          <w:iCs w:val="false"/>
          <w:color w:val="1E293B"/>
          <w:sz w:val="22"/>
          <w:szCs w:val="22"/>
        </w:rPr>
        <w:t xml:space="preserve">Cost estimation should be modelled across three dimensions: People (team salaries), Infrastructure (Azure consumption), and Third-Party Services.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Cost Category</w:t>
            </w:r>
          </w:p>
        </w:tc>
        <w:tc>
          <w:tcPr>
            <w:tcW w:type="dxa" w:w="3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37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Estimation Approach</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People — Team</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9-person team (7 FTE + 0.5 PT security) × 6 months</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Market rates by role and geography; recommend fixed-cost engagement for audit</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Azure — Compute</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App Service P2v3 × 2 instances + APIM Standard</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Azure pricing calculator; estimate ~$800–1,200/month at launch scale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Azure — Database</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PostgreSQL Flexible General Purpose D4s v3, zone-redundant</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Estimate ~$400–600/month; scales with tenant growth</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Azure — Storage</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Blob Storage GRS + CDN (Azure Front Door)</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Estimate ~$50–150/month at launch; scales with document volume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Azure — Supporting</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Key Vault, Service Bus, Redis Cache, App Insights, Defender</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Estimate ~$300–500/month bundled</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Third-Party</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SendGrid (email), antivirus scanning API, security audit</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SendGrid Essentials ~$20/month; AV API varies; audit $15–30K one-time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Contingency</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15% buffer on all estimates</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Standard software project contingency for scope uncertainty</w:t>
            </w:r>
          </w:p>
        </w:tc>
      </w:tr>
    </w:tbl>
    <w:p>
      <w:pPr>
        <w:spacing w:before="60" w:after="100"/>
      </w:pPr>
      <w:r>
        <w:rPr>
          <w:rFonts w:ascii="Arial" w:cs="Arial" w:eastAsia="Arial" w:hAnsi="Arial"/>
          <w:b w:val="false"/>
          <w:bCs w:val="false"/>
          <w:i/>
          <w:iCs/>
          <w:color w:val="475569"/>
          <w:sz w:val="22"/>
          <w:szCs w:val="22"/>
        </w:rPr>
        <w:t xml:space="preserve">Note: Detailed cost modelling requires team rate cards and finalized Azure region selection. Azure Hybrid Benefit or MSDN credits can reduce infrastructure costs by 20–40% for eligible organizations.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36"/>
                <w:szCs w:val="36"/>
              </w:rPr>
              <w:t xml:space="preserve">SECTION 7</w:t>
            </w:r>
          </w:p>
          <w:p>
            <w:r>
              <w:rPr>
                <w:rFonts w:ascii="Arial" w:cs="Arial" w:eastAsia="Arial" w:hAnsi="Arial"/>
                <w:color w:val="BFDBFE"/>
                <w:sz w:val="22"/>
                <w:szCs w:val="22"/>
              </w:rPr>
              <w:t xml:space="preserve">API Design &amp; Integration</w:t>
            </w:r>
          </w:p>
        </w:tc>
      </w:tr>
    </w:tbl>
    <w:p>
      <w:pPr>
        <w:spacing w:before="0" w:after="80"/>
      </w:pPr>
      <w:r>
        <w:t xml:space="preserve"/>
      </w:r>
    </w:p>
    <w:p>
      <w:pPr>
        <w:pStyle w:val="Heading1"/>
        <w:spacing w:before="360" w:after="120"/>
      </w:pPr>
      <w:r>
        <w:rPr>
          <w:rFonts w:ascii="Arial" w:cs="Arial" w:eastAsia="Arial" w:hAnsi="Arial"/>
          <w:b/>
          <w:bCs/>
          <w:color w:val="1B3A6B"/>
          <w:sz w:val="32"/>
          <w:szCs w:val="32"/>
        </w:rPr>
        <w:t xml:space="preserve">API Design Approach</w:t>
      </w:r>
    </w:p>
    <w:p>
      <w:pPr>
        <w:pStyle w:val="Heading2"/>
        <w:spacing w:before="280" w:after="100"/>
      </w:pPr>
      <w:r>
        <w:rPr>
          <w:rFonts w:ascii="Arial" w:cs="Arial" w:eastAsia="Arial" w:hAnsi="Arial"/>
          <w:b/>
          <w:bCs/>
          <w:color w:val="334155"/>
          <w:sz w:val="26"/>
          <w:szCs w:val="26"/>
        </w:rPr>
        <w:t xml:space="preserve">7.1 API Design Principles</w:t>
      </w:r>
    </w:p>
    <w:p>
      <w:pPr>
        <w:pStyle w:val="ListParagraph"/>
        <w:numPr>
          <w:ilvl w:val="0"/>
          <w:numId w:val="2"/>
        </w:numPr>
        <w:spacing w:before="40" w:after="60"/>
      </w:pPr>
      <w:r>
        <w:rPr>
          <w:rFonts w:ascii="Arial" w:cs="Arial" w:eastAsia="Arial" w:hAnsi="Arial"/>
          <w:color w:val="1E293B"/>
          <w:sz w:val="21"/>
          <w:szCs w:val="21"/>
        </w:rPr>
        <w:t xml:space="preserve">RESTful with OpenAPI 3.1 specification published at /api/docs (Swagger UI)</w:t>
      </w:r>
    </w:p>
    <w:p>
      <w:pPr>
        <w:pStyle w:val="ListParagraph"/>
        <w:numPr>
          <w:ilvl w:val="0"/>
          <w:numId w:val="2"/>
        </w:numPr>
        <w:spacing w:before="40" w:after="60"/>
      </w:pPr>
      <w:r>
        <w:rPr>
          <w:rFonts w:ascii="Arial" w:cs="Arial" w:eastAsia="Arial" w:hAnsi="Arial"/>
          <w:color w:val="1E293B"/>
          <w:sz w:val="21"/>
          <w:szCs w:val="21"/>
        </w:rPr>
        <w:t xml:space="preserve">Versioning: URI path versioning — /api/v1/... Versioning policy: minimum 12-month deprecation notice</w:t>
      </w:r>
    </w:p>
    <w:p>
      <w:pPr>
        <w:pStyle w:val="ListParagraph"/>
        <w:numPr>
          <w:ilvl w:val="0"/>
          <w:numId w:val="2"/>
        </w:numPr>
        <w:spacing w:before="40" w:after="60"/>
      </w:pPr>
      <w:r>
        <w:rPr>
          <w:rFonts w:ascii="Arial" w:cs="Arial" w:eastAsia="Arial" w:hAnsi="Arial"/>
          <w:color w:val="1E293B"/>
          <w:sz w:val="21"/>
          <w:szCs w:val="21"/>
        </w:rPr>
        <w:t xml:space="preserve">All endpoints require Bearer JWT authentication except /auth/* and /subscriptions/request (public)</w:t>
      </w:r>
    </w:p>
    <w:p>
      <w:pPr>
        <w:pStyle w:val="ListParagraph"/>
        <w:numPr>
          <w:ilvl w:val="0"/>
          <w:numId w:val="2"/>
        </w:numPr>
        <w:spacing w:before="40" w:after="60"/>
      </w:pPr>
      <w:r>
        <w:rPr>
          <w:rFonts w:ascii="Arial" w:cs="Arial" w:eastAsia="Arial" w:hAnsi="Arial"/>
          <w:color w:val="1E293B"/>
          <w:sz w:val="21"/>
          <w:szCs w:val="21"/>
        </w:rPr>
        <w:t xml:space="preserve">Tenant scoping: Tenant ID extracted from JWT claims and injected into every data query; never accepted from request body or query string</w:t>
      </w:r>
    </w:p>
    <w:p>
      <w:pPr>
        <w:pStyle w:val="ListParagraph"/>
        <w:numPr>
          <w:ilvl w:val="0"/>
          <w:numId w:val="2"/>
        </w:numPr>
        <w:spacing w:before="40" w:after="60"/>
      </w:pPr>
      <w:r>
        <w:rPr>
          <w:rFonts w:ascii="Arial" w:cs="Arial" w:eastAsia="Arial" w:hAnsi="Arial"/>
          <w:color w:val="1E293B"/>
          <w:sz w:val="21"/>
          <w:szCs w:val="21"/>
        </w:rPr>
        <w:t xml:space="preserve">Response envelope: { data, meta, errors } — consistent across all endpoints</w:t>
      </w:r>
    </w:p>
    <w:p>
      <w:pPr>
        <w:pStyle w:val="ListParagraph"/>
        <w:numPr>
          <w:ilvl w:val="0"/>
          <w:numId w:val="2"/>
        </w:numPr>
        <w:spacing w:before="40" w:after="60"/>
      </w:pPr>
      <w:r>
        <w:rPr>
          <w:rFonts w:ascii="Arial" w:cs="Arial" w:eastAsia="Arial" w:hAnsi="Arial"/>
          <w:color w:val="1E293B"/>
          <w:sz w:val="21"/>
          <w:szCs w:val="21"/>
        </w:rPr>
        <w:t xml:space="preserve">Pagination: Cursor-based for large collections (cases, documents, audit logs); page-based for small lists</w:t>
      </w:r>
    </w:p>
    <w:p>
      <w:pPr>
        <w:pStyle w:val="ListParagraph"/>
        <w:numPr>
          <w:ilvl w:val="0"/>
          <w:numId w:val="2"/>
        </w:numPr>
        <w:spacing w:before="40" w:after="60"/>
      </w:pPr>
      <w:r>
        <w:rPr>
          <w:rFonts w:ascii="Arial" w:cs="Arial" w:eastAsia="Arial" w:hAnsi="Arial"/>
          <w:color w:val="1E293B"/>
          <w:sz w:val="21"/>
          <w:szCs w:val="21"/>
        </w:rPr>
        <w:t xml:space="preserve">Error format: RFC 7807 Problem Details — type, title, status, detail, instance</w:t>
      </w:r>
    </w:p>
    <w:p>
      <w:pPr>
        <w:spacing w:before="0" w:after="80"/>
      </w:pPr>
      <w:r>
        <w:t xml:space="preserve"/>
      </w:r>
    </w:p>
    <w:p>
      <w:pPr>
        <w:pStyle w:val="Heading2"/>
        <w:spacing w:before="280" w:after="100"/>
      </w:pPr>
      <w:r>
        <w:rPr>
          <w:rFonts w:ascii="Arial" w:cs="Arial" w:eastAsia="Arial" w:hAnsi="Arial"/>
          <w:b/>
          <w:bCs/>
          <w:color w:val="334155"/>
          <w:sz w:val="26"/>
          <w:szCs w:val="26"/>
        </w:rPr>
        <w:t xml:space="preserve">7.2 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800"/>
        <w:gridCol w:w="2160"/>
      </w:tblGrid>
      <w:tr>
        <w:trPr>
          <w:tblHeader/>
        </w:trPr>
        <w:tc>
          <w:tcPr>
            <w:tcW w:type="dxa" w:w="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1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Roles</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POST</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/api/v1/subscription-requests</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Submit a new subscription request</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Public</w:t>
            </w:r>
          </w:p>
        </w:tc>
      </w:tr>
      <w:tr>
        <w:tc>
          <w:tcPr>
            <w:tcW w:type="dxa" w:w="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GET</w:t>
            </w:r>
          </w:p>
        </w:tc>
        <w:tc>
          <w:tcPr>
            <w:tcW w:type="dxa" w:w="3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/api/v1/platform/subscription-requests</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List all subscription requests</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Platform Admin</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PATCH</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/api/v1/platform/subscription-requests/{id}/approve</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Approve a subscription request</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Platform Admin</w:t>
            </w:r>
          </w:p>
        </w:tc>
      </w:tr>
      <w:tr>
        <w:tc>
          <w:tcPr>
            <w:tcW w:type="dxa" w:w="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GET</w:t>
            </w:r>
          </w:p>
        </w:tc>
        <w:tc>
          <w:tcPr>
            <w:tcW w:type="dxa" w:w="3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/api/v1/tenants</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List all tenants</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Platform Admin</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GET</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/api/v1/tenants/{id}</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Get tenant detail</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Platform Admin, Tenant Admin</w:t>
            </w:r>
          </w:p>
        </w:tc>
      </w:tr>
      <w:tr>
        <w:tc>
          <w:tcPr>
            <w:tcW w:type="dxa" w:w="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GET</w:t>
            </w:r>
          </w:p>
        </w:tc>
        <w:tc>
          <w:tcPr>
            <w:tcW w:type="dxa" w:w="3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/api/v1/users</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List users in tenant</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Tenant Admin</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POST</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/api/v1/users/invite</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Invite a user to the tenant</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Tenant Admin</w:t>
            </w:r>
          </w:p>
        </w:tc>
      </w:tr>
      <w:tr>
        <w:tc>
          <w:tcPr>
            <w:tcW w:type="dxa" w:w="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GET</w:t>
            </w:r>
          </w:p>
        </w:tc>
        <w:tc>
          <w:tcPr>
            <w:tcW w:type="dxa" w:w="3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/api/v1/customers</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List customers (filtered by role)</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Lawyer, Tenant Admin</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POST</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/api/v1/customers</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Create a new customer</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Lawyer, Tenant Admin</w:t>
            </w:r>
          </w:p>
        </w:tc>
      </w:tr>
      <w:tr>
        <w:tc>
          <w:tcPr>
            <w:tcW w:type="dxa" w:w="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GET</w:t>
            </w:r>
          </w:p>
        </w:tc>
        <w:tc>
          <w:tcPr>
            <w:tcW w:type="dxa" w:w="3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/api/v1/customers/{id}</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Get customer detail with tabs</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Lawyer, Tenant Admin</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GET</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/api/v1/cases</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List cases (filtered by role)</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Lawyer, Tenant Admin</w:t>
            </w:r>
          </w:p>
        </w:tc>
      </w:tr>
      <w:tr>
        <w:tc>
          <w:tcPr>
            <w:tcW w:type="dxa" w:w="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POST</w:t>
            </w:r>
          </w:p>
        </w:tc>
        <w:tc>
          <w:tcPr>
            <w:tcW w:type="dxa" w:w="3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/api/v1/cases</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Create a new case</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Lawyer, Tenant Admin</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PATCH</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/api/v1/cases/{id}/status</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Update case status</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Lawyer, Tenant Admin</w:t>
            </w:r>
          </w:p>
        </w:tc>
      </w:tr>
      <w:tr>
        <w:tc>
          <w:tcPr>
            <w:tcW w:type="dxa" w:w="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POST</w:t>
            </w:r>
          </w:p>
        </w:tc>
        <w:tc>
          <w:tcPr>
            <w:tcW w:type="dxa" w:w="3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/api/v1/cases/{id}/appointments</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Create case appointment</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Lawyer, Tenant Admin</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POST</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/api/v1/documents/upload-url</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Request a pre-signed Azure Blob upload URL</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Lawyer, Tenant Admin</w:t>
            </w:r>
          </w:p>
        </w:tc>
      </w:tr>
      <w:tr>
        <w:tc>
          <w:tcPr>
            <w:tcW w:type="dxa" w:w="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GET</w:t>
            </w:r>
          </w:p>
        </w:tc>
        <w:tc>
          <w:tcPr>
            <w:tcW w:type="dxa" w:w="3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/api/v1/documents/{id}/download-url</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Request a short-lived SAS download URL</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Authorized users</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GET</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/api/v1/documents/{id}/access-log</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View document access log</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Tenant Admin</w:t>
            </w:r>
          </w:p>
        </w:tc>
      </w:tr>
      <w:tr>
        <w:tc>
          <w:tcPr>
            <w:tcW w:type="dxa" w:w="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GET</w:t>
            </w:r>
          </w:p>
        </w:tc>
        <w:tc>
          <w:tcPr>
            <w:tcW w:type="dxa" w:w="3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/api/v1/audit-logs</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Query tenant audit logs</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Tenant Admin</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POST</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/api/v1/backup/restore-requests</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Submit a restore request</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Tenant Admin</w:t>
            </w:r>
          </w:p>
        </w:tc>
      </w:tr>
    </w:tbl>
    <w:p>
      <w:pPr>
        <w:spacing w:before="0" w:after="80"/>
      </w:pPr>
      <w:r>
        <w:t xml:space="preserve"/>
      </w:r>
    </w:p>
    <w:p>
      <w:pPr>
        <w:pStyle w:val="Heading2"/>
        <w:spacing w:before="280" w:after="100"/>
      </w:pPr>
      <w:r>
        <w:rPr>
          <w:rFonts w:ascii="Arial" w:cs="Arial" w:eastAsia="Arial" w:hAnsi="Arial"/>
          <w:b/>
          <w:bCs/>
          <w:color w:val="334155"/>
          <w:sz w:val="26"/>
          <w:szCs w:val="26"/>
        </w:rPr>
        <w:t xml:space="preserve">7.3 Document Upload Flow</w:t>
      </w:r>
    </w:p>
    <w:p>
      <w:pPr>
        <w:spacing w:before="60" w:after="100"/>
      </w:pPr>
      <w:r>
        <w:rPr>
          <w:rFonts w:ascii="Arial" w:cs="Arial" w:eastAsia="Arial" w:hAnsi="Arial"/>
          <w:b w:val="false"/>
          <w:bCs w:val="false"/>
          <w:i w:val="false"/>
          <w:iCs w:val="false"/>
          <w:color w:val="1E293B"/>
          <w:sz w:val="22"/>
          <w:szCs w:val="22"/>
        </w:rPr>
        <w:t xml:space="preserve">To maintain security and avoid routing file bytes through the application tier, document uploads use a pre-signed URL pattern:</w:t>
      </w:r>
    </w:p>
    <w:p>
      <w:pPr>
        <w:pStyle w:val="ListParagraph"/>
        <w:numPr>
          <w:ilvl w:val="0"/>
          <w:numId w:val="3"/>
        </w:numPr>
        <w:spacing w:before="40" w:after="60"/>
      </w:pPr>
      <w:r>
        <w:rPr>
          <w:rFonts w:ascii="Arial" w:cs="Arial" w:eastAsia="Arial" w:hAnsi="Arial"/>
          <w:color w:val="1E293B"/>
          <w:sz w:val="21"/>
          <w:szCs w:val="21"/>
        </w:rPr>
        <w:t xml:space="preserve">Client calls POST /api/v1/documents/upload-url with filename, MIME type, entity linkage (case ID or customer ID), and category</w:t>
      </w:r>
    </w:p>
    <w:p>
      <w:pPr>
        <w:pStyle w:val="ListParagraph"/>
        <w:numPr>
          <w:ilvl w:val="0"/>
          <w:numId w:val="3"/>
        </w:numPr>
        <w:spacing w:before="40" w:after="60"/>
      </w:pPr>
      <w:r>
        <w:rPr>
          <w:rFonts w:ascii="Arial" w:cs="Arial" w:eastAsia="Arial" w:hAnsi="Arial"/>
          <w:color w:val="1E293B"/>
          <w:sz w:val="21"/>
          <w:szCs w:val="21"/>
        </w:rPr>
        <w:t xml:space="preserve">Document Service validates the request (RBAC, seat limits, file type allowlist), creates a document record with status DRAFT, and generates a short-lived Azure Blob SAS upload URL (5-minute TTL)</w:t>
      </w:r>
    </w:p>
    <w:p>
      <w:pPr>
        <w:pStyle w:val="ListParagraph"/>
        <w:numPr>
          <w:ilvl w:val="0"/>
          <w:numId w:val="3"/>
        </w:numPr>
        <w:spacing w:before="40" w:after="60"/>
      </w:pPr>
      <w:r>
        <w:rPr>
          <w:rFonts w:ascii="Arial" w:cs="Arial" w:eastAsia="Arial" w:hAnsi="Arial"/>
          <w:color w:val="1E293B"/>
          <w:sz w:val="21"/>
          <w:szCs w:val="21"/>
        </w:rPr>
        <w:t xml:space="preserve">Client uploads the file binary directly to Azure Blob Storage using the SAS URL (PUT request to Blob endpoint)</w:t>
      </w:r>
    </w:p>
    <w:p>
      <w:pPr>
        <w:pStyle w:val="ListParagraph"/>
        <w:numPr>
          <w:ilvl w:val="0"/>
          <w:numId w:val="3"/>
        </w:numPr>
        <w:spacing w:before="40" w:after="60"/>
      </w:pPr>
      <w:r>
        <w:rPr>
          <w:rFonts w:ascii="Arial" w:cs="Arial" w:eastAsia="Arial" w:hAnsi="Arial"/>
          <w:color w:val="1E293B"/>
          <w:sz w:val="21"/>
          <w:szCs w:val="21"/>
        </w:rPr>
        <w:t xml:space="preserve">Client notifies Document Service via POST /api/v1/documents/{id}/confirm-upload</w:t>
      </w:r>
    </w:p>
    <w:p>
      <w:pPr>
        <w:pStyle w:val="ListParagraph"/>
        <w:numPr>
          <w:ilvl w:val="0"/>
          <w:numId w:val="3"/>
        </w:numPr>
        <w:spacing w:before="40" w:after="60"/>
      </w:pPr>
      <w:r>
        <w:rPr>
          <w:rFonts w:ascii="Arial" w:cs="Arial" w:eastAsia="Arial" w:hAnsi="Arial"/>
          <w:color w:val="1E293B"/>
          <w:sz w:val="21"/>
          <w:szCs w:val="21"/>
        </w:rPr>
        <w:t xml:space="preserve">Document Service triggers async antivirus scan via Azure Defender for Storage; sets document status to SCANNING</w:t>
      </w:r>
    </w:p>
    <w:p>
      <w:pPr>
        <w:pStyle w:val="ListParagraph"/>
        <w:numPr>
          <w:ilvl w:val="0"/>
          <w:numId w:val="3"/>
        </w:numPr>
        <w:spacing w:before="40" w:after="60"/>
      </w:pPr>
      <w:r>
        <w:rPr>
          <w:rFonts w:ascii="Arial" w:cs="Arial" w:eastAsia="Arial" w:hAnsi="Arial"/>
          <w:color w:val="1E293B"/>
          <w:sz w:val="21"/>
          <w:szCs w:val="21"/>
        </w:rPr>
        <w:t xml:space="preserve">On scan completion (webhook), Document Service updates status to ACTIVE (pass) or QUARANTINED (fail)</w:t>
      </w:r>
    </w:p>
    <w:p>
      <w:pPr>
        <w:pStyle w:val="ListParagraph"/>
        <w:numPr>
          <w:ilvl w:val="0"/>
          <w:numId w:val="3"/>
        </w:numPr>
        <w:spacing w:before="40" w:after="60"/>
      </w:pPr>
      <w:r>
        <w:rPr>
          <w:rFonts w:ascii="Arial" w:cs="Arial" w:eastAsia="Arial" w:hAnsi="Arial"/>
          <w:color w:val="1E293B"/>
          <w:sz w:val="21"/>
          <w:szCs w:val="21"/>
        </w:rPr>
        <w:t xml:space="preserve">QUARANTINED blobs are auto-deleted after 24 hours; user is notified via in-app notification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36"/>
                <w:szCs w:val="36"/>
              </w:rPr>
              <w:t xml:space="preserve">APPENDIX</w:t>
            </w:r>
          </w:p>
          <w:p>
            <w:r>
              <w:rPr>
                <w:rFonts w:ascii="Arial" w:cs="Arial" w:eastAsia="Arial" w:hAnsi="Arial"/>
                <w:color w:val="BFDBFE"/>
                <w:sz w:val="22"/>
                <w:szCs w:val="22"/>
              </w:rPr>
              <w:t xml:space="preserve">Architectural Assumptions &amp; Glossary</w:t>
            </w:r>
          </w:p>
        </w:tc>
      </w:tr>
    </w:tbl>
    <w:p>
      <w:pPr>
        <w:spacing w:before="0" w:after="80"/>
      </w:pPr>
      <w:r>
        <w:t xml:space="preserve"/>
      </w:r>
    </w:p>
    <w:p>
      <w:pPr>
        <w:pStyle w:val="Heading1"/>
        <w:spacing w:before="360" w:after="120"/>
      </w:pPr>
      <w:r>
        <w:rPr>
          <w:rFonts w:ascii="Arial" w:cs="Arial" w:eastAsia="Arial" w:hAnsi="Arial"/>
          <w:b/>
          <w:bCs/>
          <w:color w:val="1B3A6B"/>
          <w:sz w:val="32"/>
          <w:szCs w:val="32"/>
        </w:rPr>
        <w:t xml:space="preserve">Appendix: Architectural Assumptions</w:t>
      </w:r>
    </w:p>
    <w:p>
      <w:pPr>
        <w:pStyle w:val="Heading2"/>
        <w:spacing w:before="280" w:after="100"/>
      </w:pPr>
      <w:r>
        <w:rPr>
          <w:rFonts w:ascii="Arial" w:cs="Arial" w:eastAsia="Arial" w:hAnsi="Arial"/>
          <w:b/>
          <w:bCs/>
          <w:color w:val="334155"/>
          <w:sz w:val="26"/>
          <w:szCs w:val="26"/>
        </w:rPr>
        <w:t xml:space="preserve">A.1 Explicit Assumptions</w:t>
      </w:r>
    </w:p>
    <w:p>
      <w:pPr>
        <w:pStyle w:val="ListParagraph"/>
        <w:numPr>
          <w:ilvl w:val="0"/>
          <w:numId w:val="2"/>
        </w:numPr>
        <w:spacing w:before="40" w:after="60"/>
      </w:pPr>
      <w:r>
        <w:rPr>
          <w:rFonts w:ascii="Arial" w:cs="Arial" w:eastAsia="Arial" w:hAnsi="Arial"/>
          <w:color w:val="1E293B"/>
          <w:sz w:val="21"/>
          <w:szCs w:val="21"/>
        </w:rPr>
        <w:t xml:space="preserve">Azure is the selected cloud provider based on the stated Azure Blob Storage requirement and enterprise compliance needs</w:t>
      </w:r>
    </w:p>
    <w:p>
      <w:pPr>
        <w:pStyle w:val="ListParagraph"/>
        <w:numPr>
          <w:ilvl w:val="0"/>
          <w:numId w:val="2"/>
        </w:numPr>
        <w:spacing w:before="40" w:after="60"/>
      </w:pPr>
      <w:r>
        <w:rPr>
          <w:rFonts w:ascii="Arial" w:cs="Arial" w:eastAsia="Arial" w:hAnsi="Arial"/>
          <w:color w:val="1E293B"/>
          <w:sz w:val="21"/>
          <w:szCs w:val="21"/>
        </w:rPr>
        <w:t xml:space="preserve">The development team is proficient in C#/.NET and React/TypeScript or can be hired/contracted at these skills</w:t>
      </w:r>
    </w:p>
    <w:p>
      <w:pPr>
        <w:pStyle w:val="ListParagraph"/>
        <w:numPr>
          <w:ilvl w:val="0"/>
          <w:numId w:val="2"/>
        </w:numPr>
        <w:spacing w:before="40" w:after="60"/>
      </w:pPr>
      <w:r>
        <w:rPr>
          <w:rFonts w:ascii="Arial" w:cs="Arial" w:eastAsia="Arial" w:hAnsi="Arial"/>
          <w:color w:val="1E293B"/>
          <w:sz w:val="21"/>
          <w:szCs w:val="21"/>
        </w:rPr>
        <w:t xml:space="preserve">The platform targets English-language markets in Wave 1; i18n framework is included but translation bundles are Wave 2</w:t>
      </w:r>
    </w:p>
    <w:p>
      <w:pPr>
        <w:pStyle w:val="ListParagraph"/>
        <w:numPr>
          <w:ilvl w:val="0"/>
          <w:numId w:val="2"/>
        </w:numPr>
        <w:spacing w:before="40" w:after="60"/>
      </w:pPr>
      <w:r>
        <w:rPr>
          <w:rFonts w:ascii="Arial" w:cs="Arial" w:eastAsia="Arial" w:hAnsi="Arial"/>
          <w:color w:val="1E293B"/>
          <w:sz w:val="21"/>
          <w:szCs w:val="21"/>
        </w:rPr>
        <w:t xml:space="preserve">Individual (Solo) plans support a single lawyer persona; organizational features (team management, cross-lawyer visibility) require an organizational plan</w:t>
      </w:r>
    </w:p>
    <w:p>
      <w:pPr>
        <w:pStyle w:val="ListParagraph"/>
        <w:numPr>
          <w:ilvl w:val="0"/>
          <w:numId w:val="2"/>
        </w:numPr>
        <w:spacing w:before="40" w:after="60"/>
      </w:pPr>
      <w:r>
        <w:rPr>
          <w:rFonts w:ascii="Arial" w:cs="Arial" w:eastAsia="Arial" w:hAnsi="Arial"/>
          <w:color w:val="1E293B"/>
          <w:sz w:val="21"/>
          <w:szCs w:val="21"/>
        </w:rPr>
        <w:t xml:space="preserve">Payment processing for subscriptions is out of scope for Wave 1 (manual billing or payment link handled externally)</w:t>
      </w:r>
    </w:p>
    <w:p>
      <w:pPr>
        <w:pStyle w:val="ListParagraph"/>
        <w:numPr>
          <w:ilvl w:val="0"/>
          <w:numId w:val="2"/>
        </w:numPr>
        <w:spacing w:before="40" w:after="60"/>
      </w:pPr>
      <w:r>
        <w:rPr>
          <w:rFonts w:ascii="Arial" w:cs="Arial" w:eastAsia="Arial" w:hAnsi="Arial"/>
          <w:color w:val="1E293B"/>
          <w:sz w:val="21"/>
          <w:szCs w:val="21"/>
        </w:rPr>
        <w:t xml:space="preserve">Court configuration is a static list managed by the Tenant Admin; integration with live court databases is Wave 2</w:t>
      </w:r>
    </w:p>
    <w:p>
      <w:pPr>
        <w:pStyle w:val="ListParagraph"/>
        <w:numPr>
          <w:ilvl w:val="0"/>
          <w:numId w:val="2"/>
        </w:numPr>
        <w:spacing w:before="40" w:after="60"/>
      </w:pPr>
      <w:r>
        <w:rPr>
          <w:rFonts w:ascii="Arial" w:cs="Arial" w:eastAsia="Arial" w:hAnsi="Arial"/>
          <w:color w:val="1E293B"/>
          <w:sz w:val="21"/>
          <w:szCs w:val="21"/>
        </w:rPr>
        <w:t xml:space="preserve">All personally identifiable information (PII) is stored in the Azure region selected at tenant provisioning; data residency guarantees are tenant-configurable in Wave 2</w:t>
      </w:r>
    </w:p>
    <w:p>
      <w:pPr>
        <w:pStyle w:val="ListParagraph"/>
        <w:numPr>
          <w:ilvl w:val="0"/>
          <w:numId w:val="2"/>
        </w:numPr>
        <w:spacing w:before="40" w:after="60"/>
      </w:pPr>
      <w:r>
        <w:rPr>
          <w:rFonts w:ascii="Arial" w:cs="Arial" w:eastAsia="Arial" w:hAnsi="Arial"/>
          <w:color w:val="1E293B"/>
          <w:sz w:val="21"/>
          <w:szCs w:val="21"/>
        </w:rPr>
        <w:t xml:space="preserve">The antivirus/malware scanning requirement leverages Microsoft Defender for Storage (built-in to Azure Blob), minimizing third-party integration cost</w:t>
      </w:r>
    </w:p>
    <w:p>
      <w:pPr>
        <w:spacing w:before="0" w:after="80"/>
      </w:pPr>
      <w:r>
        <w:t xml:space="preserve"/>
      </w:r>
    </w:p>
    <w:p>
      <w:pPr>
        <w:pStyle w:val="Heading2"/>
        <w:spacing w:before="280" w:after="100"/>
      </w:pPr>
      <w:r>
        <w:rPr>
          <w:rFonts w:ascii="Arial" w:cs="Arial" w:eastAsia="Arial" w:hAnsi="Arial"/>
          <w:b/>
          <w:bCs/>
          <w:color w:val="334155"/>
          <w:sz w:val="26"/>
          <w:szCs w:val="26"/>
        </w:rPr>
        <w:t xml:space="preserve">A.2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65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Tenant</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 law firm or individual practitioner with an approved subscription; each tenant has an isolated data schema</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Seat</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 licensed user slot within a tenant's subscription plan; each active user consumes one seat</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Schema</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 PostgreSQL namespace (schema) dedicated to one tenant, providing logical data isolation</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SAS Token</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Shared Access Signature — a cryptographically signed URL granting time-limited access to a specific Azure Blob</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RBAC</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Role-Based Access Control — the security model governing what actions each user role may perform</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APIM</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Azure API Management — the gateway service providing routing, auth validation, and rate limiting</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OIDC</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OpenID Connect — the identity protocol used for authentication via Azure Entra ID B2C</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SPA</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Single Page Application — the React-based frontend that runs in the browser</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IaC</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Infrastructure as Code — Azure Bicep templates defining all cloud resources declaratively</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POA</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Power of Attorney — a common customer document type in legal practice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PITR</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Point-In-Time Recovery — the ability to restore a database to any point within the retention window</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RLS</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Row-Level Security — PostgreSQL feature adding secondary data isolation enforcement at the database layer</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ADR</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Architecture Decision Record — a documented record of a significant architectural decision and its rationale</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Wave 1</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1E293B"/>
                <w:sz w:val="19"/>
                <w:szCs w:val="19"/>
              </w:rPr>
              <w:t xml:space="preserve">The MVP phase of the product; the scope defined in this document</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Wave 2</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19"/>
                <w:szCs w:val="19"/>
              </w:rPr>
              <w:t xml:space="preserve">The second development wave; planned post-MVP features including billing, analytics, and integrations</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200"/>
              <w:left w:type="dxa" w:w="280"/>
              <w:bottom w:type="dxa" w:w="200"/>
              <w:right w:type="dxa" w:w="280"/>
            </w:tcMar>
          </w:tcPr>
          <w:p>
            <w:pPr>
              <w:jc w:val="center"/>
            </w:pPr>
            <w:r>
              <w:rPr>
                <w:rFonts w:ascii="Arial" w:cs="Arial" w:eastAsia="Arial" w:hAnsi="Arial"/>
                <w:b/>
                <w:bCs/>
                <w:color w:val="FFFFFF"/>
                <w:sz w:val="28"/>
                <w:szCs w:val="28"/>
              </w:rPr>
              <w:t xml:space="preserve">LegalSaaS Platform Architecture</w:t>
            </w:r>
          </w:p>
          <w:p>
            <w:pPr>
              <w:jc w:val="center"/>
            </w:pPr>
            <w:r>
              <w:rPr>
                <w:rFonts w:ascii="Arial" w:cs="Arial" w:eastAsia="Arial" w:hAnsi="Arial"/>
                <w:color w:val="93C5FD"/>
                <w:sz w:val="20"/>
                <w:szCs w:val="20"/>
              </w:rPr>
              <w:t xml:space="preserve">Wave 1 MVP Technical Specification — Version 1.0 — February 2026</w:t>
            </w:r>
          </w:p>
          <w:p>
            <w:pPr>
              <w:jc w:val="center"/>
            </w:pPr>
            <w:r>
              <w:rPr>
                <w:rFonts w:ascii="Arial" w:cs="Arial" w:eastAsia="Arial" w:hAnsi="Arial"/>
                <w:i/>
                <w:iCs/>
                <w:color w:val="BFDBFE"/>
                <w:sz w:val="18"/>
                <w:szCs w:val="18"/>
              </w:rPr>
              <w:t xml:space="preserve">This document is confidential and intended for authorized recipients only.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2E8F0" w:sz="2"/>
            <w:left w:val="none" w:color="FFFFFF" w:sz="0"/>
            <w:bottom w:val="none" w:color="FFFFFF" w:sz="0"/>
            <w:right w:val="none" w:color="FFFFFF" w:sz="0"/>
          </w:tcBorders>
          <w:tcMar>
            <w:top w:type="dxa" w:w="60"/>
            <w:left w:type="dxa" w:w="0"/>
            <w:bottom w:type="dxa" w:w="0"/>
            <w:right w:type="dxa" w:w="120"/>
          </w:tcMar>
        </w:tcPr>
        <w:p>
          <w:r>
            <w:rPr>
              <w:rFonts w:ascii="Arial" w:cs="Arial" w:eastAsia="Arial" w:hAnsi="Arial"/>
              <w:color w:val="475569"/>
              <w:sz w:val="17"/>
              <w:szCs w:val="17"/>
            </w:rPr>
            <w:t xml:space="preserve">© 2026 LegalSaaS. All rights reserved.</w:t>
          </w:r>
        </w:p>
      </w:tc>
      <w:tc>
        <w:tcPr>
          <w:tcW w:type="dxa" w:w="5040"/>
          <w:tcBorders>
            <w:top w:val="single" w:color="E2E8F0" w:sz="2"/>
            <w:left w:val="none" w:color="FFFFFF" w:sz="0"/>
            <w:bottom w:val="none" w:color="FFFFFF" w:sz="0"/>
            <w:right w:val="none" w:color="FFFFFF" w:sz="0"/>
          </w:tcBorders>
          <w:tcMar>
            <w:top w:type="dxa" w:w="60"/>
            <w:left w:type="dxa" w:w="120"/>
            <w:bottom w:type="dxa" w:w="0"/>
            <w:right w:type="dxa" w:w="0"/>
          </w:tcMar>
        </w:tcPr>
        <w:p>
          <w:pPr>
            <w:jc w:val="right"/>
          </w:pPr>
          <w:r>
            <w:rPr>
              <w:rFonts w:ascii="Arial" w:cs="Arial" w:eastAsia="Arial" w:hAnsi="Arial"/>
              <w:color w:val="475569"/>
              <w:sz w:val="17"/>
              <w:szCs w:val="17"/>
            </w:rPr>
            <w:t xml:space="preserve">Page </w:t>
          </w:r>
          <w:r>
            <w:rPr>
              <w:rFonts w:ascii="Arial" w:cs="Arial" w:eastAsia="Arial" w:hAnsi="Arial"/>
              <w:color w:val="475569"/>
              <w:sz w:val="17"/>
              <w:szCs w:val="17"/>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color="FFFFFF" w:sz="0"/>
            <w:left w:val="none" w:color="FFFFFF" w:sz="0"/>
            <w:bottom w:val="single" w:color="1B3A6B" w:sz="2"/>
            <w:right w:val="none" w:color="FFFFFF" w:sz="0"/>
          </w:tcBorders>
          <w:tcMar>
            <w:top w:type="dxa" w:w="0"/>
            <w:left w:type="dxa" w:w="0"/>
            <w:bottom w:type="dxa" w:w="60"/>
            <w:right w:type="dxa" w:w="120"/>
          </w:tcMar>
        </w:tcPr>
        <w:p>
          <w:r>
            <w:rPr>
              <w:rFonts w:ascii="Arial" w:cs="Arial" w:eastAsia="Arial" w:hAnsi="Arial"/>
              <w:color w:val="1B3A6B"/>
              <w:sz w:val="18"/>
              <w:szCs w:val="18"/>
            </w:rPr>
            <w:t xml:space="preserve">LegalSaaS Platform — Wave 1 Architecture Specification</w:t>
          </w:r>
        </w:p>
      </w:tc>
      <w:tc>
        <w:tcPr>
          <w:tcW w:type="dxa" w:w="3000"/>
          <w:tcBorders>
            <w:top w:val="none" w:color="FFFFFF" w:sz="0"/>
            <w:left w:val="none" w:color="FFFFFF" w:sz="0"/>
            <w:bottom w:val="single" w:color="1B3A6B" w:sz="2"/>
            <w:right w:val="none" w:color="FFFFFF" w:sz="0"/>
          </w:tcBorders>
          <w:tcMar>
            <w:top w:type="dxa" w:w="0"/>
            <w:left w:type="dxa" w:w="120"/>
            <w:bottom w:type="dxa" w:w="60"/>
            <w:right w:type="dxa" w:w="0"/>
          </w:tcMar>
        </w:tcPr>
        <w:p>
          <w:pPr>
            <w:jc w:val="right"/>
          </w:pPr>
          <w:r>
            <w:rPr>
              <w:rFonts w:ascii="Arial" w:cs="Arial" w:eastAsia="Arial" w:hAnsi="Arial"/>
              <w:b/>
              <w:bCs/>
              <w:color w:val="DC2626"/>
              <w:sz w:val="18"/>
              <w:szCs w:val="18"/>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2E8F0" w:sz="4" w:space="1"/>
      </w:pBdr>
      <w:spacing w:before="36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334155"/>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2026-02-18T09:43:18.410Z</dcterms:created>
  <dcterms:modified xsi:type="dcterms:W3CDTF">2026-02-18T09:43:18.412Z</dcterms:modified>
</cp:coreProperties>
</file>

<file path=docProps/custom.xml><?xml version="1.0" encoding="utf-8"?>
<Properties xmlns="http://schemas.openxmlformats.org/officeDocument/2006/custom-properties" xmlns:vt="http://schemas.openxmlformats.org/officeDocument/2006/docPropsVTypes"/>
</file>