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2355B"/>
          <w:sz w:val="56"/>
        </w:rPr>
        <w:t>Echelon Institute — Business Plan</w:t>
      </w:r>
    </w:p>
    <w:p>
      <w:pPr>
        <w:jc w:val="center"/>
      </w:pPr>
      <w:r>
        <w:rPr>
          <w:color w:val="4B6578"/>
          <w:sz w:val="28"/>
        </w:rPr>
        <w:t>Certification infrastructure for skilled trades, beginning with water and wastewater operators</w:t>
      </w:r>
    </w:p>
    <w:p>
      <w:pPr>
        <w:jc w:val="center"/>
      </w:pPr>
      <w:r>
        <w:t>Updated August 11, 2026</w:t>
      </w:r>
    </w:p>
    <w:p>
      <w:r>
        <w:br w:type="page"/>
      </w:r>
    </w:p>
    <w:p>
      <w:pPr>
        <w:pStyle w:val="Heading1"/>
      </w:pPr>
      <w:r>
        <w:t>Executive summary</w:t>
      </w:r>
    </w:p>
    <w:p>
      <w:r>
        <w:rPr>
          <w:b w:val="0"/>
        </w:rPr>
        <w:t>Echelon Institute is a certification-preparation platform for skilled-trades operators. Its beachhead is water and wastewater certification in Canada and WPI-aligned US jurisdictions. The platform combines more than 18,000 practice questions with mock exams, AI-assisted tutoring, process guides, learner analytics, and institutional licensing.</w:t>
      </w:r>
    </w:p>
    <w:p>
      <w:r>
        <w:rPr>
          <w:b w:val="0"/>
        </w:rPr>
        <w:t>The company should win narrowly before expanding broadly. The next proof is not a new trade vertical; it is repeatable municipal acquisition, reliable activation, measurable learning engagement, verified exam outcomes, and renewal. Utilities Kingston provides early institutional traction. City of Winnipeg is the next potential paid pilot, currently expected to begin with approximately 10 Course Passes rather than the previously discussed 25.</w:t>
      </w:r>
    </w:p>
    <w:p>
      <w:pPr>
        <w:pStyle w:val="Heading1"/>
      </w:pPr>
      <w:r>
        <w:t>Company and product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2355B"/>
          </w:tcPr>
          <w:p>
            <w:r>
              <w:rPr>
                <w:b/>
                <w:color w:val="FFFFFF"/>
              </w:rPr>
              <w:t>Customer</w:t>
            </w:r>
          </w:p>
        </w:tc>
        <w:tc>
          <w:tcPr>
            <w:tcW w:type="dxa" w:w="3264"/>
            <w:vAlign w:val="center"/>
            <w:shd w:fill="12355B"/>
          </w:tcPr>
          <w:p>
            <w:r>
              <w:rPr>
                <w:b/>
                <w:color w:val="FFFFFF"/>
              </w:rPr>
              <w:t>Job to be done</w:t>
            </w:r>
          </w:p>
        </w:tc>
        <w:tc>
          <w:tcPr>
            <w:tcW w:type="dxa" w:w="3264"/>
            <w:vAlign w:val="center"/>
            <w:shd w:fill="12355B"/>
          </w:tcPr>
          <w:p>
            <w:r>
              <w:rPr>
                <w:b/>
                <w:color w:val="FFFFFF"/>
              </w:rPr>
              <w:t>Echelon product</w:t>
            </w:r>
          </w:p>
        </w:tc>
      </w:tr>
      <w:tr>
        <w:tc>
          <w:tcPr>
            <w:tcW w:type="dxa" w:w="3264"/>
          </w:tcPr>
          <w:p>
            <w:r>
              <w:t>Individual operator</w:t>
            </w:r>
          </w:p>
        </w:tc>
        <w:tc>
          <w:tcPr>
            <w:tcW w:type="dxa" w:w="3264"/>
          </w:tcPr>
          <w:p>
            <w:r>
              <w:t>Prepare efficiently for a certification exam</w:t>
            </w:r>
          </w:p>
        </w:tc>
        <w:tc>
          <w:tcPr>
            <w:tcW w:type="dxa" w:w="3264"/>
          </w:tcPr>
          <w:p>
            <w:r>
              <w:t>Course access, practice, mocks, tutor, guides, progress</w:t>
            </w:r>
          </w:p>
        </w:tc>
      </w:tr>
      <w:tr>
        <w:tc>
          <w:tcPr>
            <w:tcW w:type="dxa" w:w="3264"/>
          </w:tcPr>
          <w:p>
            <w:r>
              <w:t>Utility or municipality</w:t>
            </w:r>
          </w:p>
        </w:tc>
        <w:tc>
          <w:tcPr>
            <w:tcW w:type="dxa" w:w="3264"/>
          </w:tcPr>
          <w:p>
            <w:r>
              <w:t>Assign training and identify who needs support</w:t>
            </w:r>
          </w:p>
        </w:tc>
        <w:tc>
          <w:tcPr>
            <w:tcW w:type="dxa" w:w="3264"/>
          </w:tcPr>
          <w:p>
            <w:r>
              <w:t>Annual licences or Course Passes, bulk onboarding, manager reporting</w:t>
            </w:r>
          </w:p>
        </w:tc>
      </w:tr>
      <w:tr>
        <w:tc>
          <w:tcPr>
            <w:tcW w:type="dxa" w:w="3264"/>
          </w:tcPr>
          <w:p>
            <w:r>
              <w:t>Future training partner</w:t>
            </w:r>
          </w:p>
        </w:tc>
        <w:tc>
          <w:tcPr>
            <w:tcW w:type="dxa" w:w="3264"/>
          </w:tcPr>
          <w:p>
            <w:r>
              <w:t>Deliver measurable certification preparation</w:t>
            </w:r>
          </w:p>
        </w:tc>
        <w:tc>
          <w:tcPr>
            <w:tcW w:type="dxa" w:w="3264"/>
          </w:tcPr>
          <w:p>
            <w:r>
              <w:t>Cohort access, reporting, curriculum integration</w:t>
            </w:r>
          </w:p>
        </w:tc>
      </w:tr>
    </w:tbl>
    <w:p>
      <w:pPr>
        <w:pStyle w:val="Heading1"/>
      </w:pPr>
      <w:r>
        <w:t>Current product truth</w:t>
      </w:r>
    </w:p>
    <w:p>
      <w:pPr>
        <w:pStyle w:val="ListBullet"/>
      </w:pPr>
      <w:r>
        <w:t>18,000+ practice questions across the current catalogue; exact course totals are displayed at purchase.</w:t>
      </w:r>
    </w:p>
    <w:p>
      <w:pPr>
        <w:pStyle w:val="ListBullet"/>
      </w:pPr>
      <w:r>
        <w:t>Ontario and WPI-aligned courses across water treatment, wastewater treatment, water distribution, and wastewater collection.</w:t>
      </w:r>
    </w:p>
    <w:p>
      <w:pPr>
        <w:pStyle w:val="ListBullet"/>
      </w:pPr>
      <w:r>
        <w:t>Seven interactive Process Guides with bookmarks, resumable progress, and practice handoff.</w:t>
      </w:r>
    </w:p>
    <w:p>
      <w:pPr>
        <w:pStyle w:val="ListBullet"/>
      </w:pPr>
      <w:r>
        <w:t>Institutional annual licences and three- or six-month Course Passes, including bulk cohort onboarding.</w:t>
      </w:r>
    </w:p>
    <w:p>
      <w:pPr>
        <w:pStyle w:val="ListBullet"/>
      </w:pPr>
      <w:r>
        <w:t>Independent exam preparation; Echelon is not affiliated with MOECP, OWWCO, WPI, EOCP, or US state authorities.</w:t>
      </w:r>
    </w:p>
    <w:p>
      <w:pPr>
        <w:pStyle w:val="Heading1"/>
      </w:pPr>
      <w:r>
        <w:t>Problem and opportunity</w:t>
      </w:r>
    </w:p>
    <w:p>
      <w:r>
        <w:rPr>
          <w:b w:val="0"/>
        </w:rPr>
        <w:t>Operator certification is fragmented by jurisdiction, technical, and consequential for both careers and public infrastructure. Candidates often study from static manuals and disconnected question sets. Employers pay for training but may lack a simple way to assign preparation, see activation, identify weak areas, and document outcomes.</w:t>
      </w:r>
    </w:p>
    <w:p>
      <w:r>
        <w:rPr>
          <w:b w:val="0"/>
        </w:rPr>
        <w:t>Statistics Canada classifies water and waste treatment plant operators under NOC 92101 and notes that they operate computerized treatment systems for municipalities and industrial facilities. In the United States, the Bureau of Labor Statistics reported a US$58,260 median annual wage in May 2024 and approximately 10,700 annual openings over 2024–2034, driven by replacement even as total employment is projected to decline 7%. This is a replacement-and-certification market, not a growth-employment claim.</w:t>
      </w:r>
    </w:p>
    <w:p>
      <w:pPr>
        <w:pStyle w:val="Heading1"/>
      </w:pPr>
      <w:r>
        <w:t>Market entry strategy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2355B"/>
          </w:tcPr>
          <w:p>
            <w:r>
              <w:rPr>
                <w:b/>
                <w:color w:val="FFFFFF"/>
              </w:rPr>
              <w:t>Stage</w:t>
            </w:r>
          </w:p>
        </w:tc>
        <w:tc>
          <w:tcPr>
            <w:tcW w:type="dxa" w:w="3264"/>
            <w:vAlign w:val="center"/>
            <w:shd w:fill="12355B"/>
          </w:tcPr>
          <w:p>
            <w:r>
              <w:rPr>
                <w:b/>
                <w:color w:val="FFFFFF"/>
              </w:rPr>
              <w:t>Focus</w:t>
            </w:r>
          </w:p>
        </w:tc>
        <w:tc>
          <w:tcPr>
            <w:tcW w:type="dxa" w:w="3264"/>
            <w:vAlign w:val="center"/>
            <w:shd w:fill="12355B"/>
          </w:tcPr>
          <w:p>
            <w:r>
              <w:rPr>
                <w:b/>
                <w:color w:val="FFFFFF"/>
              </w:rPr>
              <w:t>Proof required</w:t>
            </w:r>
          </w:p>
        </w:tc>
      </w:tr>
      <w:tr>
        <w:tc>
          <w:tcPr>
            <w:tcW w:type="dxa" w:w="3264"/>
          </w:tcPr>
          <w:p>
            <w:r>
              <w:t>1. Beachhead</w:t>
            </w:r>
          </w:p>
        </w:tc>
        <w:tc>
          <w:tcPr>
            <w:tcW w:type="dxa" w:w="3264"/>
          </w:tcPr>
          <w:p>
            <w:r>
              <w:t>Ontario and WPI-aligned water/wastewater certification</w:t>
            </w:r>
          </w:p>
        </w:tc>
        <w:tc>
          <w:tcPr>
            <w:tcW w:type="dxa" w:w="3264"/>
          </w:tcPr>
          <w:p>
            <w:r>
              <w:t>Paid use, activation, engagement, outcomes</w:t>
            </w:r>
          </w:p>
        </w:tc>
      </w:tr>
      <w:tr>
        <w:tc>
          <w:tcPr>
            <w:tcW w:type="dxa" w:w="3264"/>
          </w:tcPr>
          <w:p>
            <w:r>
              <w:t>2. Institutional repeatability</w:t>
            </w:r>
          </w:p>
        </w:tc>
        <w:tc>
          <w:tcPr>
            <w:tcW w:type="dxa" w:w="3264"/>
          </w:tcPr>
          <w:p>
            <w:r>
              <w:t>Municipal and utility cohorts</w:t>
            </w:r>
          </w:p>
        </w:tc>
        <w:tc>
          <w:tcPr>
            <w:tcW w:type="dxa" w:w="3264"/>
          </w:tcPr>
          <w:p>
            <w:r>
              <w:t>Short sales cycle, low onboarding friction, renewal</w:t>
            </w:r>
          </w:p>
        </w:tc>
      </w:tr>
      <w:tr>
        <w:tc>
          <w:tcPr>
            <w:tcW w:type="dxa" w:w="3264"/>
          </w:tcPr>
          <w:p>
            <w:r>
              <w:t>3. Geographic depth</w:t>
            </w:r>
          </w:p>
        </w:tc>
        <w:tc>
          <w:tcPr>
            <w:tcW w:type="dxa" w:w="3264"/>
          </w:tcPr>
          <w:p>
            <w:r>
              <w:t>US states with verified full coverage</w:t>
            </w:r>
          </w:p>
        </w:tc>
        <w:tc>
          <w:tcPr>
            <w:tcW w:type="dxa" w:w="3264"/>
          </w:tcPr>
          <w:p>
            <w:r>
              <w:t>State-level conversion and content fit</w:t>
            </w:r>
          </w:p>
        </w:tc>
      </w:tr>
      <w:tr>
        <w:tc>
          <w:tcPr>
            <w:tcW w:type="dxa" w:w="3264"/>
          </w:tcPr>
          <w:p>
            <w:r>
              <w:t>4. Adjacent trades</w:t>
            </w:r>
          </w:p>
        </w:tc>
        <w:tc>
          <w:tcPr>
            <w:tcW w:type="dxa" w:w="3264"/>
          </w:tcPr>
          <w:p>
            <w:r>
              <w:t>Power engineering or another regulated trade</w:t>
            </w:r>
          </w:p>
        </w:tc>
        <w:tc>
          <w:tcPr>
            <w:tcW w:type="dxa" w:w="3264"/>
          </w:tcPr>
          <w:p>
            <w:r>
              <w:t>Reusable content engine and proven unit economics</w:t>
            </w:r>
          </w:p>
        </w:tc>
      </w:tr>
    </w:tbl>
    <w:p>
      <w:pPr>
        <w:pStyle w:val="Heading1"/>
      </w:pPr>
      <w:r>
        <w:t>Business model</w:t>
      </w:r>
    </w:p>
    <w:p>
      <w:r>
        <w:rPr>
          <w:b w:val="0"/>
        </w:rPr>
        <w:t>Revenue comes from individual course access and subscriptions, Team annual licences, and time-limited Course Passes. Annual single-stream Team pricing begins at CA$449 per operator before volume discounts; all-stream pricing is higher. Course Pass prices vary by course and term and are shown in checkout. Public documents should not quote a price unless it is generated from the same product configuration used by checkout.</w:t>
      </w:r>
    </w:p>
    <w:p>
      <w:pPr>
        <w:pStyle w:val="Heading1"/>
      </w:pPr>
      <w:r>
        <w:t>Go-to-market</w:t>
      </w:r>
    </w:p>
    <w:p>
      <w:pPr>
        <w:pStyle w:val="ListBullet"/>
      </w:pPr>
      <w:r>
        <w:t>Land municipal pilots through a specific cohort and certification need, not a generic enterprise pitch.</w:t>
      </w:r>
    </w:p>
    <w:p>
      <w:pPr>
        <w:pStyle w:val="ListBullet"/>
      </w:pPr>
      <w:r>
        <w:t>Use a paid pilot to produce an implementation record: purchase, activation, weekly engagement, intervention, mock readiness, exam result, and renewal decision.</w:t>
      </w:r>
    </w:p>
    <w:p>
      <w:pPr>
        <w:pStyle w:val="ListBullet"/>
      </w:pPr>
      <w:r>
        <w:t>Convert Utilities Kingston and Winnipeg evidence into a municipal case study only after consent and verified data.</w:t>
      </w:r>
    </w:p>
    <w:p>
      <w:pPr>
        <w:pStyle w:val="ListBullet"/>
      </w:pPr>
      <w:r>
        <w:t>Build targeted state acquisition only where content coverage is explicitly full; partial and limited states require clear qualification.</w:t>
      </w:r>
    </w:p>
    <w:p>
      <w:pPr>
        <w:pStyle w:val="ListBullet"/>
      </w:pPr>
      <w:r>
        <w:t>Partner with colleges and training providers after institutional onboarding and reporting are production-proven.</w:t>
      </w:r>
    </w:p>
    <w:p>
      <w:pPr>
        <w:pStyle w:val="Heading1"/>
      </w:pPr>
      <w:r>
        <w:t>Operating metrics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2355B"/>
          </w:tcPr>
          <w:p>
            <w:r>
              <w:rPr>
                <w:b/>
                <w:color w:val="FFFFFF"/>
              </w:rPr>
              <w:t>Funnel</w:t>
            </w:r>
          </w:p>
        </w:tc>
        <w:tc>
          <w:tcPr>
            <w:tcW w:type="dxa" w:w="3264"/>
            <w:vAlign w:val="center"/>
            <w:shd w:fill="12355B"/>
          </w:tcPr>
          <w:p>
            <w:r>
              <w:rPr>
                <w:b/>
                <w:color w:val="FFFFFF"/>
              </w:rPr>
              <w:t>Primary metric</w:t>
            </w:r>
          </w:p>
        </w:tc>
        <w:tc>
          <w:tcPr>
            <w:tcW w:type="dxa" w:w="3264"/>
            <w:vAlign w:val="center"/>
            <w:shd w:fill="12355B"/>
          </w:tcPr>
          <w:p>
            <w:r>
              <w:rPr>
                <w:b/>
                <w:color w:val="FFFFFF"/>
              </w:rPr>
              <w:t>Decision use</w:t>
            </w:r>
          </w:p>
        </w:tc>
      </w:tr>
      <w:tr>
        <w:tc>
          <w:tcPr>
            <w:tcW w:type="dxa" w:w="3264"/>
          </w:tcPr>
          <w:p>
            <w:r>
              <w:t>Acquisition</w:t>
            </w:r>
          </w:p>
        </w:tc>
        <w:tc>
          <w:tcPr>
            <w:tcW w:type="dxa" w:w="3264"/>
          </w:tcPr>
          <w:p>
            <w:r>
              <w:t>Qualified visitor → free practice</w:t>
            </w:r>
          </w:p>
        </w:tc>
        <w:tc>
          <w:tcPr>
            <w:tcW w:type="dxa" w:w="3264"/>
          </w:tcPr>
          <w:p>
            <w:r>
              <w:t>Message and channel fit</w:t>
            </w:r>
          </w:p>
        </w:tc>
      </w:tr>
      <w:tr>
        <w:tc>
          <w:tcPr>
            <w:tcW w:type="dxa" w:w="3264"/>
          </w:tcPr>
          <w:p>
            <w:r>
              <w:t>Conversion</w:t>
            </w:r>
          </w:p>
        </w:tc>
        <w:tc>
          <w:tcPr>
            <w:tcW w:type="dxa" w:w="3264"/>
          </w:tcPr>
          <w:p>
            <w:r>
              <w:t>Free practice → checkout</w:t>
            </w:r>
          </w:p>
        </w:tc>
        <w:tc>
          <w:tcPr>
            <w:tcW w:type="dxa" w:w="3264"/>
          </w:tcPr>
          <w:p>
            <w:r>
              <w:t>Product-market and price fit</w:t>
            </w:r>
          </w:p>
        </w:tc>
      </w:tr>
      <w:tr>
        <w:tc>
          <w:tcPr>
            <w:tcW w:type="dxa" w:w="3264"/>
          </w:tcPr>
          <w:p>
            <w:r>
              <w:t>Activation</w:t>
            </w:r>
          </w:p>
        </w:tc>
        <w:tc>
          <w:tcPr>
            <w:tcW w:type="dxa" w:w="3264"/>
          </w:tcPr>
          <w:p>
            <w:r>
              <w:t>Paid learner active within 7 days</w:t>
            </w:r>
          </w:p>
        </w:tc>
        <w:tc>
          <w:tcPr>
            <w:tcW w:type="dxa" w:w="3264"/>
          </w:tcPr>
          <w:p>
            <w:r>
              <w:t>Onboarding quality</w:t>
            </w:r>
          </w:p>
        </w:tc>
      </w:tr>
      <w:tr>
        <w:tc>
          <w:tcPr>
            <w:tcW w:type="dxa" w:w="3264"/>
          </w:tcPr>
          <w:p>
            <w:r>
              <w:t>Learning</w:t>
            </w:r>
          </w:p>
        </w:tc>
        <w:tc>
          <w:tcPr>
            <w:tcW w:type="dxa" w:w="3264"/>
          </w:tcPr>
          <w:p>
            <w:r>
              <w:t>Weekly questions, guide mastery, mock readiness</w:t>
            </w:r>
          </w:p>
        </w:tc>
        <w:tc>
          <w:tcPr>
            <w:tcW w:type="dxa" w:w="3264"/>
          </w:tcPr>
          <w:p>
            <w:r>
              <w:t>Engagement and intervention</w:t>
            </w:r>
          </w:p>
        </w:tc>
      </w:tr>
      <w:tr>
        <w:tc>
          <w:tcPr>
            <w:tcW w:type="dxa" w:w="3264"/>
          </w:tcPr>
          <w:p>
            <w:r>
              <w:t>Outcome</w:t>
            </w:r>
          </w:p>
        </w:tc>
        <w:tc>
          <w:tcPr>
            <w:tcW w:type="dxa" w:w="3264"/>
          </w:tcPr>
          <w:p>
            <w:r>
              <w:t>Verified first-attempt and overall pass rate</w:t>
            </w:r>
          </w:p>
        </w:tc>
        <w:tc>
          <w:tcPr>
            <w:tcW w:type="dxa" w:w="3264"/>
          </w:tcPr>
          <w:p>
            <w:r>
              <w:t>Product efficacy</w:t>
            </w:r>
          </w:p>
        </w:tc>
      </w:tr>
      <w:tr>
        <w:tc>
          <w:tcPr>
            <w:tcW w:type="dxa" w:w="3264"/>
          </w:tcPr>
          <w:p>
            <w:r>
              <w:t>Institution</w:t>
            </w:r>
          </w:p>
        </w:tc>
        <w:tc>
          <w:tcPr>
            <w:tcW w:type="dxa" w:w="3264"/>
          </w:tcPr>
          <w:p>
            <w:r>
              <w:t>Licence activation, cohort engagement, renewal</w:t>
            </w:r>
          </w:p>
        </w:tc>
        <w:tc>
          <w:tcPr>
            <w:tcW w:type="dxa" w:w="3264"/>
          </w:tcPr>
          <w:p>
            <w:r>
              <w:t>B2B value and expansion</w:t>
            </w:r>
          </w:p>
        </w:tc>
      </w:tr>
    </w:tbl>
    <w:p>
      <w:pPr>
        <w:pStyle w:val="Heading1"/>
      </w:pPr>
      <w:r>
        <w:t>Financial model: disciplined assumptions</w:t>
      </w:r>
    </w:p>
    <w:p>
      <w:r>
        <w:rPr>
          <w:b w:val="0"/>
        </w:rPr>
        <w:t>Historical documents included unsupported CAC, LTV, margin, and market-size figures. They should not be presented as facts. The management model should be driven by observed cohort economics. Until enough data exists, use scenarios rather than forecasts disguised as certainty.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2355B"/>
          </w:tcPr>
          <w:p>
            <w:r>
              <w:rPr>
                <w:b/>
                <w:color w:val="FFFFFF"/>
              </w:rPr>
              <w:t>Scenario</w:t>
            </w:r>
          </w:p>
        </w:tc>
        <w:tc>
          <w:tcPr>
            <w:tcW w:type="dxa" w:w="3264"/>
            <w:vAlign w:val="center"/>
            <w:shd w:fill="12355B"/>
          </w:tcPr>
          <w:p>
            <w:r>
              <w:rPr>
                <w:b/>
                <w:color w:val="FFFFFF"/>
              </w:rPr>
              <w:t>Institutional motion</w:t>
            </w:r>
          </w:p>
        </w:tc>
        <w:tc>
          <w:tcPr>
            <w:tcW w:type="dxa" w:w="3264"/>
            <w:vAlign w:val="center"/>
            <w:shd w:fill="12355B"/>
          </w:tcPr>
          <w:p>
            <w:r>
              <w:rPr>
                <w:b/>
                <w:color w:val="FFFFFF"/>
              </w:rPr>
              <w:t>Annual objective</w:t>
            </w:r>
          </w:p>
        </w:tc>
      </w:tr>
      <w:tr>
        <w:tc>
          <w:tcPr>
            <w:tcW w:type="dxa" w:w="3264"/>
          </w:tcPr>
          <w:p>
            <w:r>
              <w:t>Downside</w:t>
            </w:r>
          </w:p>
        </w:tc>
        <w:tc>
          <w:tcPr>
            <w:tcW w:type="dxa" w:w="3264"/>
          </w:tcPr>
          <w:p>
            <w:r>
              <w:t>Two small pilots; limited expansion</w:t>
            </w:r>
          </w:p>
        </w:tc>
        <w:tc>
          <w:tcPr>
            <w:tcW w:type="dxa" w:w="3264"/>
          </w:tcPr>
          <w:p>
            <w:r>
              <w:t>Validate onboarding and outcome capture</w:t>
            </w:r>
          </w:p>
        </w:tc>
      </w:tr>
      <w:tr>
        <w:tc>
          <w:tcPr>
            <w:tcW w:type="dxa" w:w="3264"/>
          </w:tcPr>
          <w:p>
            <w:r>
              <w:t>Base</w:t>
            </w:r>
          </w:p>
        </w:tc>
        <w:tc>
          <w:tcPr>
            <w:tcW w:type="dxa" w:w="3264"/>
          </w:tcPr>
          <w:p>
            <w:r>
              <w:t>Four to six municipal cohorts; one renewal</w:t>
            </w:r>
          </w:p>
        </w:tc>
        <w:tc>
          <w:tcPr>
            <w:tcW w:type="dxa" w:w="3264"/>
          </w:tcPr>
          <w:p>
            <w:r>
              <w:t>Prove repeatable paid delivery</w:t>
            </w:r>
          </w:p>
        </w:tc>
      </w:tr>
      <w:tr>
        <w:tc>
          <w:tcPr>
            <w:tcW w:type="dxa" w:w="3264"/>
          </w:tcPr>
          <w:p>
            <w:r>
              <w:t>Upside</w:t>
            </w:r>
          </w:p>
        </w:tc>
        <w:tc>
          <w:tcPr>
            <w:tcW w:type="dxa" w:w="3264"/>
          </w:tcPr>
          <w:p>
            <w:r>
              <w:t>Eight or more cohorts plus channel partner</w:t>
            </w:r>
          </w:p>
        </w:tc>
        <w:tc>
          <w:tcPr>
            <w:tcW w:type="dxa" w:w="3264"/>
          </w:tcPr>
          <w:p>
            <w:r>
              <w:t>Demonstrate scalable acquisition and support</w:t>
            </w:r>
          </w:p>
        </w:tc>
      </w:tr>
    </w:tbl>
    <w:p>
      <w:r>
        <w:rPr>
          <w:b w:val="0"/>
        </w:rPr>
        <w:t>Each scenario must report booked revenue, cash collected, gross margin after Stripe/email/AI/hosting, acquisition cost, activation rate, support hours, and renewal. Revenue above CA$8,500 is early traction, not yet a stable run rate.</w:t>
      </w:r>
    </w:p>
    <w:p>
      <w:pPr>
        <w:pStyle w:val="Heading1"/>
      </w:pPr>
      <w:r>
        <w:t>Trust, compliance, and content governance</w:t>
      </w:r>
    </w:p>
    <w:p>
      <w:pPr>
        <w:pStyle w:val="ListBullet"/>
      </w:pPr>
      <w:r>
        <w:t>Every regulatory statement must carry jurisdiction, source, exact section where applicable, review date, and technical reviewer.</w:t>
      </w:r>
    </w:p>
    <w:p>
      <w:pPr>
        <w:pStyle w:val="ListBullet"/>
      </w:pPr>
      <w:r>
        <w:t>WPI-aligned content must respect WPI usage restrictions and direct candidates to confirm current materials with their jurisdiction.</w:t>
      </w:r>
    </w:p>
    <w:p>
      <w:pPr>
        <w:pStyle w:val="ListBullet"/>
      </w:pPr>
      <w:r>
        <w:t>Employer dashboards must disclose what managers can see; private AI Tutor conversation text should remain private.</w:t>
      </w:r>
    </w:p>
    <w:p>
      <w:pPr>
        <w:pStyle w:val="ListBullet"/>
      </w:pPr>
      <w:r>
        <w:t>Public claims, prices, testimonials, ratings, and outcome statistics require a named owner, source, review date, and expiry.</w:t>
      </w:r>
    </w:p>
    <w:p>
      <w:pPr>
        <w:pStyle w:val="ListBullet"/>
      </w:pPr>
      <w:r>
        <w:t>Merged, deployed, and production-proven remain separate release states.</w:t>
      </w:r>
    </w:p>
    <w:p>
      <w:pPr>
        <w:pStyle w:val="Heading1"/>
      </w:pPr>
      <w:r>
        <w:t>12-month execution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2355B"/>
          </w:tcPr>
          <w:p>
            <w:r>
              <w:rPr>
                <w:b/>
                <w:color w:val="FFFFFF"/>
              </w:rPr>
              <w:t>Quarter</w:t>
            </w:r>
          </w:p>
        </w:tc>
        <w:tc>
          <w:tcPr>
            <w:tcW w:type="dxa" w:w="3264"/>
            <w:vAlign w:val="center"/>
            <w:shd w:fill="12355B"/>
          </w:tcPr>
          <w:p>
            <w:r>
              <w:rPr>
                <w:b/>
                <w:color w:val="FFFFFF"/>
              </w:rPr>
              <w:t>Company objective</w:t>
            </w:r>
          </w:p>
        </w:tc>
        <w:tc>
          <w:tcPr>
            <w:tcW w:type="dxa" w:w="3264"/>
            <w:vAlign w:val="center"/>
            <w:shd w:fill="12355B"/>
          </w:tcPr>
          <w:p>
            <w:r>
              <w:rPr>
                <w:b/>
                <w:color w:val="FFFFFF"/>
              </w:rPr>
              <w:t>Exit criterion</w:t>
            </w:r>
          </w:p>
        </w:tc>
      </w:tr>
      <w:tr>
        <w:tc>
          <w:tcPr>
            <w:tcW w:type="dxa" w:w="3264"/>
          </w:tcPr>
          <w:p>
            <w:r>
              <w:t>Q3 2026</w:t>
            </w:r>
          </w:p>
        </w:tc>
        <w:tc>
          <w:tcPr>
            <w:tcW w:type="dxa" w:w="3264"/>
          </w:tcPr>
          <w:p>
            <w:r>
              <w:t>Trust and production hardening</w:t>
            </w:r>
          </w:p>
        </w:tc>
        <w:tc>
          <w:tcPr>
            <w:tcW w:type="dxa" w:w="3264"/>
          </w:tcPr>
          <w:p>
            <w:r>
              <w:t>P0/P1 release deployed; Winnipeg smoke test evidenced</w:t>
            </w:r>
          </w:p>
        </w:tc>
      </w:tr>
      <w:tr>
        <w:tc>
          <w:tcPr>
            <w:tcW w:type="dxa" w:w="3264"/>
          </w:tcPr>
          <w:p>
            <w:r>
              <w:t>Q4 2026</w:t>
            </w:r>
          </w:p>
        </w:tc>
        <w:tc>
          <w:tcPr>
            <w:tcW w:type="dxa" w:w="3264"/>
          </w:tcPr>
          <w:p>
            <w:r>
              <w:t>Municipal proof</w:t>
            </w:r>
          </w:p>
        </w:tc>
        <w:tc>
          <w:tcPr>
            <w:tcW w:type="dxa" w:w="3264"/>
          </w:tcPr>
          <w:p>
            <w:r>
              <w:t>At least one paid cohort activated and reporting weekly</w:t>
            </w:r>
          </w:p>
        </w:tc>
      </w:tr>
      <w:tr>
        <w:tc>
          <w:tcPr>
            <w:tcW w:type="dxa" w:w="3264"/>
          </w:tcPr>
          <w:p>
            <w:r>
              <w:t>Q1 2027</w:t>
            </w:r>
          </w:p>
        </w:tc>
        <w:tc>
          <w:tcPr>
            <w:tcW w:type="dxa" w:w="3264"/>
          </w:tcPr>
          <w:p>
            <w:r>
              <w:t>Outcome evidence</w:t>
            </w:r>
          </w:p>
        </w:tc>
        <w:tc>
          <w:tcPr>
            <w:tcW w:type="dxa" w:w="3264"/>
          </w:tcPr>
          <w:p>
            <w:r>
              <w:t>Verified exam outcomes and first renewal/expansion decision</w:t>
            </w:r>
          </w:p>
        </w:tc>
      </w:tr>
      <w:tr>
        <w:tc>
          <w:tcPr>
            <w:tcW w:type="dxa" w:w="3264"/>
          </w:tcPr>
          <w:p>
            <w:r>
              <w:t>Q2 2027</w:t>
            </w:r>
          </w:p>
        </w:tc>
        <w:tc>
          <w:tcPr>
            <w:tcW w:type="dxa" w:w="3264"/>
          </w:tcPr>
          <w:p>
            <w:r>
              <w:t>Repeatable sales motion</w:t>
            </w:r>
          </w:p>
        </w:tc>
        <w:tc>
          <w:tcPr>
            <w:tcW w:type="dxa" w:w="3264"/>
          </w:tcPr>
          <w:p>
            <w:r>
              <w:t>Documented pipeline, CAC/payback, onboarding SLA, case study</w:t>
            </w:r>
          </w:p>
        </w:tc>
      </w:tr>
    </w:tbl>
    <w:p>
      <w:pPr>
        <w:pStyle w:val="Heading1"/>
      </w:pPr>
      <w:r>
        <w:t>Risks and mitigations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2355B"/>
          </w:tcPr>
          <w:p>
            <w:r>
              <w:rPr>
                <w:b/>
                <w:color w:val="FFFFFF"/>
              </w:rPr>
              <w:t>Risk</w:t>
            </w:r>
          </w:p>
        </w:tc>
        <w:tc>
          <w:tcPr>
            <w:tcW w:type="dxa" w:w="4896"/>
            <w:vAlign w:val="center"/>
            <w:shd w:fill="12355B"/>
          </w:tcPr>
          <w:p>
            <w:r>
              <w:rPr>
                <w:b/>
                <w:color w:val="FFFFFF"/>
              </w:rPr>
              <w:t>Mitigation</w:t>
            </w:r>
          </w:p>
        </w:tc>
      </w:tr>
      <w:tr>
        <w:tc>
          <w:tcPr>
            <w:tcW w:type="dxa" w:w="4896"/>
          </w:tcPr>
          <w:p>
            <w:r>
              <w:t>Unverified or stale content</w:t>
            </w:r>
          </w:p>
        </w:tc>
        <w:tc>
          <w:tcPr>
            <w:tcW w:type="dxa" w:w="4896"/>
          </w:tcPr>
          <w:p>
            <w:r>
              <w:t>Named technical reviewer and citation ledger</w:t>
            </w:r>
          </w:p>
        </w:tc>
      </w:tr>
      <w:tr>
        <w:tc>
          <w:tcPr>
            <w:tcW w:type="dxa" w:w="4896"/>
          </w:tcPr>
          <w:p>
            <w:r>
              <w:t>Overstated US coverage</w:t>
            </w:r>
          </w:p>
        </w:tc>
        <w:tc>
          <w:tcPr>
            <w:tcW w:type="dxa" w:w="4896"/>
          </w:tcPr>
          <w:p>
            <w:r>
              <w:t>State-level full/partial/limited labels</w:t>
            </w:r>
          </w:p>
        </w:tc>
      </w:tr>
      <w:tr>
        <w:tc>
          <w:tcPr>
            <w:tcW w:type="dxa" w:w="4896"/>
          </w:tcPr>
          <w:p>
            <w:r>
              <w:t>Municipal onboarding failure</w:t>
            </w:r>
          </w:p>
        </w:tc>
        <w:tc>
          <w:tcPr>
            <w:tcW w:type="dxa" w:w="4896"/>
          </w:tcPr>
          <w:p>
            <w:r>
              <w:t>Production smoke test and bulk workflow</w:t>
            </w:r>
          </w:p>
        </w:tc>
      </w:tr>
      <w:tr>
        <w:tc>
          <w:tcPr>
            <w:tcW w:type="dxa" w:w="4896"/>
          </w:tcPr>
          <w:p>
            <w:r>
              <w:t>Outcome claims polluted by anonymous data</w:t>
            </w:r>
          </w:p>
        </w:tc>
        <w:tc>
          <w:tcPr>
            <w:tcW w:type="dxa" w:w="4896"/>
          </w:tcPr>
          <w:p>
            <w:r>
              <w:t>Authenticated or verified outcome capture</w:t>
            </w:r>
          </w:p>
        </w:tc>
      </w:tr>
      <w:tr>
        <w:tc>
          <w:tcPr>
            <w:tcW w:type="dxa" w:w="4896"/>
          </w:tcPr>
          <w:p>
            <w:r>
              <w:t>AI costs or abuse</w:t>
            </w:r>
          </w:p>
        </w:tc>
        <w:tc>
          <w:tcPr>
            <w:tcW w:type="dxa" w:w="4896"/>
          </w:tcPr>
          <w:p>
            <w:r>
              <w:t>Rate limits, input bounds, token caps, monitoring</w:t>
            </w:r>
          </w:p>
        </w:tc>
      </w:tr>
      <w:tr>
        <w:tc>
          <w:tcPr>
            <w:tcW w:type="dxa" w:w="4896"/>
          </w:tcPr>
          <w:p>
            <w:r>
              <w:t>Premature vertical expansion</w:t>
            </w:r>
          </w:p>
        </w:tc>
        <w:tc>
          <w:tcPr>
            <w:tcW w:type="dxa" w:w="4896"/>
          </w:tcPr>
          <w:p>
            <w:r>
              <w:t>Stage gate tied to renewal and unit economics</w:t>
            </w:r>
          </w:p>
        </w:tc>
      </w:tr>
    </w:tbl>
    <w:p>
      <w:pPr>
        <w:pStyle w:val="Heading1"/>
      </w:pPr>
      <w:r>
        <w:t>Immediate decisions</w:t>
      </w:r>
    </w:p>
    <w:p>
      <w:pPr>
        <w:pStyle w:val="ListBullet"/>
      </w:pPr>
      <w:r>
        <w:t>Complete and deploy the trust/hardening release before new feature work.</w:t>
      </w:r>
    </w:p>
    <w:p>
      <w:pPr>
        <w:pStyle w:val="ListBullet"/>
      </w:pPr>
      <w:r>
        <w:t>Run the real Course Pass journey after the first paid Winnipeg order.</w:t>
      </w:r>
    </w:p>
    <w:p>
      <w:pPr>
        <w:pStyle w:val="ListBullet"/>
      </w:pPr>
      <w:r>
        <w:t>Appoint a qualified water/wastewater technical reviewer.</w:t>
      </w:r>
    </w:p>
    <w:p>
      <w:pPr>
        <w:pStyle w:val="ListBullet"/>
      </w:pPr>
      <w:r>
        <w:t>Create a claims register and remove any claim without evidence or consent.</w:t>
      </w:r>
    </w:p>
    <w:p>
      <w:pPr>
        <w:pStyle w:val="ListBullet"/>
      </w:pPr>
      <w:r>
        <w:t>Resume Process Guide Mastery only after production reliability is proven.</w:t>
      </w:r>
    </w:p>
    <w:p>
      <w:pPr>
        <w:pStyle w:val="Heading1"/>
      </w:pPr>
      <w:r>
        <w:t>Sources and evidence</w:t>
      </w:r>
    </w:p>
    <w:p>
      <w:r>
        <w:rPr>
          <w:b w:val="0"/>
        </w:rPr>
        <w:t>US Bureau of Labor Statistics, Water and Wastewater Treatment Plant and System Operators: https://www.bls.gov/ooh/production/water-and-wastewater-treatment-plant-and-system-operators.htm</w:t>
      </w:r>
    </w:p>
    <w:p>
      <w:r>
        <w:rPr>
          <w:b w:val="0"/>
        </w:rPr>
        <w:t>Statistics Canada, NOC 92101: https://www23.statcan.gc.ca/imdb/p3VD.pl?CLV=3&amp;CPV=92101&amp;CST=01052021&amp;CVD=1369154&amp;Function=getVD&amp;MLV=3&amp;TVD=1369127</w:t>
      </w:r>
    </w:p>
    <w:p>
      <w:r>
        <w:rPr>
          <w:b w:val="0"/>
        </w:rPr>
        <w:t>Ontario, Drinking water operator certification: https://www.ontario.ca/page/drinking-water-operator-certification</w:t>
      </w:r>
    </w:p>
    <w:p>
      <w:r>
        <w:rPr>
          <w:b w:val="0"/>
        </w:rPr>
        <w:t>Ontario, Wastewater operator licensing: https://www.ontario.ca/page/wastewater-operator-licensing</w:t>
      </w:r>
    </w:p>
    <w:p>
      <w:r>
        <w:rPr>
          <w:b w:val="0"/>
        </w:rPr>
        <w:t>Ontario, Certification guide for operators and water quality analysts: https://www.ontario.ca/page/certification-guide-operators-and-water-quality-analysts</w:t>
      </w:r>
    </w:p>
    <w:p>
      <w:r>
        <w:rPr>
          <w:b w:val="0"/>
        </w:rPr>
        <w:t>Echelon repository and internal operating context, reviewed August 11,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B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