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7 September 2026. The history of versions and changes, with the owner's words behind each rule,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the interior container, which both still name USO/ pending the rename pass.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owner's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(aybllc/autonomous)</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interior is named USO/, not L8/.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w:t>
      </w:r>
    </w:p>
    <w:p>
      <w:r>
        <w:rPr>
          <w:b/>
        </w:rPr>
        <w:t>Auditonomous</w:t>
      </w:r>
      <w:r>
        <w:t xml:space="preserve"> (aybllc/auditonomous)</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interior is named USO/, not L8/.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 The scaffold and the exemplars carry USO/ until the rename pass.</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 The repositories carry lowercase until the rename pass.</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Reported, not resolved</w:t>
            </w:r>
          </w:p>
        </w:tc>
        <w:tc>
          <w:tcPr>
            <w:tcW w:type="dxa" w:w="2880"/>
          </w:tcPr>
          <w:p>
            <w:r>
              <w:t>The peering enumeration begins at 1 while the layers count from 0 under "First is always 0"; the owner's call.</w:t>
            </w:r>
          </w:p>
        </w:tc>
      </w:tr>
    </w:tbl>
    <w:p>
      <w:r>
        <w:t>The dated lists of what changed in each version stand at L8/L6/history/specification-history.md in the scaffold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7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7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