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Folio · Documento de prueba</w:t>
      </w:r>
    </w:p>
    <w:p>
      <w:r>
        <w:t>Ejemplo sintético. No contiene datos reales ni evidencia científica.</w:t>
      </w:r>
    </w:p>
    <w:p>
      <w:pPr>
        <w:pStyle w:val="Heading1"/>
      </w:pPr>
      <w:r>
        <w:t>Lectura y estructura</w:t>
      </w:r>
    </w:p>
    <w:p>
      <w:r>
        <w:t xml:space="preserve">La conversión debe conservar </w:t>
      </w:r>
      <w:r>
        <w:rPr>
          <w:b/>
        </w:rPr>
        <w:t>negrita</w:t>
      </w:r>
      <w:r>
        <w:t xml:space="preserve">, </w:t>
      </w:r>
      <w:r>
        <w:rPr>
          <w:i/>
        </w:rPr>
        <w:t>cursiva</w:t>
      </w:r>
      <w:r>
        <w:t xml:space="preserve"> y caracteres como á, ñ, ± y μ. Marcador de control: 9281.</w:t>
      </w:r>
    </w:p>
    <w:p>
      <w:pPr>
        <w:pStyle w:val="ListBullet"/>
      </w:pPr>
      <w:r>
        <w:t>Conservar el orden de los párrafos.</w:t>
      </w:r>
    </w:p>
    <w:p>
      <w:pPr>
        <w:pStyle w:val="ListBullet"/>
      </w:pPr>
      <w:r>
        <w:t>Mantener los valores de las tablas.</w:t>
      </w:r>
    </w:p>
    <w:p>
      <w:pPr>
        <w:pStyle w:val="ListNumber"/>
      </w:pPr>
      <w:r>
        <w:t>Seleccionar un documento.</w:t>
      </w:r>
    </w:p>
    <w:p>
      <w:pPr>
        <w:pStyle w:val="ListNumber"/>
      </w:pPr>
      <w:r>
        <w:t>Convertirlo y revisar el resultado.</w:t>
      </w:r>
    </w:p>
    <w:p>
      <w:pPr>
        <w:pStyle w:val="Heading1"/>
      </w:pPr>
      <w:r>
        <w:t>Tabla de ejemplo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</w:tcPr>
          <w:p>
            <w:r>
              <w:t>Grupo</w:t>
            </w:r>
          </w:p>
        </w:tc>
        <w:tc>
          <w:tcPr>
            <w:tcW w:type="dxa" w:w="3216"/>
          </w:tcPr>
          <w:p>
            <w:r>
              <w:t>Muestra</w:t>
            </w:r>
          </w:p>
        </w:tc>
        <w:tc>
          <w:tcPr>
            <w:tcW w:type="dxa" w:w="3216"/>
          </w:tcPr>
          <w:p>
            <w:r>
              <w:t>Cambio</w:t>
            </w:r>
          </w:p>
        </w:tc>
      </w:tr>
      <w:tr>
        <w:tc>
          <w:tcPr>
            <w:tcW w:type="dxa" w:w="3216"/>
          </w:tcPr>
          <w:p>
            <w:r>
              <w:t>A</w:t>
            </w:r>
          </w:p>
        </w:tc>
        <w:tc>
          <w:tcPr>
            <w:tcW w:type="dxa" w:w="3216"/>
          </w:tcPr>
          <w:p>
            <w:r>
              <w:t>120</w:t>
            </w:r>
          </w:p>
        </w:tc>
        <w:tc>
          <w:tcPr>
            <w:tcW w:type="dxa" w:w="3216"/>
          </w:tcPr>
          <w:p>
            <w:r>
              <w:t>−2,5</w:t>
            </w:r>
          </w:p>
        </w:tc>
      </w:tr>
      <w:tr>
        <w:tc>
          <w:tcPr>
            <w:tcW w:type="dxa" w:w="3216"/>
          </w:tcPr>
          <w:p>
            <w:r>
              <w:t>B</w:t>
            </w:r>
          </w:p>
        </w:tc>
        <w:tc>
          <w:tcPr>
            <w:tcW w:type="dxa" w:w="3216"/>
          </w:tcPr>
          <w:p>
            <w:r>
              <w:t>98</w:t>
            </w:r>
          </w:p>
        </w:tc>
        <w:tc>
          <w:tcPr>
            <w:tcW w:type="dxa" w:w="3216"/>
          </w:tcPr>
          <w:p>
            <w:r>
              <w:t>+1,2</w:t>
            </w:r>
          </w:p>
        </w:tc>
      </w:tr>
    </w:tbl>
    <w:p>
      <w:r>
        <w:t>Párrafo posterior a la tabla: el orden debe mantenerse.</w:t>
      </w:r>
    </w:p>
    <w:p>
      <w:pPr>
        <w:pStyle w:val="Heading2"/>
      </w:pPr>
      <w:r>
        <w:t>Enlace</w:t>
      </w:r>
    </w:p>
    <w:p>
      <w:hyperlink r:id="rId9">
        <w:r>
          <w:t>Documentación de python-docx</w:t>
        </w:r>
      </w:hyperlink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F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F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F3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ython-docx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