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2B4C"/>
          <w:sz w:val="48"/>
        </w:rPr>
        <w:t>Early Risk Alert AI</w:t>
      </w:r>
    </w:p>
    <w:p>
      <w:pPr>
        <w:spacing w:after="320"/>
        <w:jc w:val="center"/>
      </w:pPr>
      <w:r>
        <w:rPr>
          <w:b/>
          <w:color w:val="2E4E79"/>
          <w:sz w:val="30"/>
        </w:rPr>
        <w:t>Pilot Success Criteria Sheet &amp; Workflow Integration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DEBF7"/>
          </w:tcPr>
          <w:p>
            <w:r>
              <w:rPr>
                <w:b/>
                <w:sz w:val="20"/>
              </w:rPr>
              <w:t>Program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r>
              <w:rPr>
                <w:sz w:val="20"/>
              </w:rPr>
              <w:t>HCP-Facing Clinical Command Center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DEBF7"/>
          </w:tcPr>
          <w:p>
            <w:r>
              <w:rPr>
                <w:b/>
                <w:sz w:val="20"/>
              </w:rPr>
              <w:t>Pilot Window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r>
              <w:rPr>
                <w:sz w:val="20"/>
              </w:rPr>
              <w:t>90-Day Scoped Pilot Evaluation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DEBF7"/>
          </w:tcPr>
          <w:p>
            <w:r>
              <w:rPr>
                <w:b/>
                <w:sz w:val="20"/>
              </w:rPr>
              <w:t>Prepared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D"/>
          </w:tcPr>
          <w:p>
            <w:r>
              <w:rPr>
                <w:sz w:val="20"/>
              </w:rPr>
              <w:t>March 2026 · Milton Munroe, Founder &amp; CEO</w:t>
            </w:r>
          </w:p>
        </w:tc>
      </w:tr>
    </w:tbl>
    <w:p/>
    <w:p>
      <w:pPr>
        <w:spacing w:before="160" w:after="80"/>
      </w:pPr>
      <w:r>
        <w:rPr>
          <w:b/>
          <w:color w:val="163760"/>
          <w:sz w:val="32"/>
        </w:rPr>
        <w:t>1. Pilot Success Criteria Sheet</w:t>
      </w:r>
    </w:p>
    <w:p>
      <w:pPr>
        <w:spacing w:after="160"/>
      </w:pPr>
      <w:r>
        <w:rPr>
          <w:i/>
          <w:color w:val="5A6473"/>
          <w:sz w:val="21"/>
        </w:rPr>
        <w:t>Objective, pilot phases, success thresholds, and closeout criteria.</w:t>
      </w:r>
    </w:p>
    <w:p>
      <w:pPr>
        <w:spacing w:after="160"/>
      </w:pPr>
      <w:r>
        <w:rPr>
          <w:b/>
          <w:sz w:val="23"/>
        </w:rPr>
        <w:t>Objective</w:t>
      </w:r>
    </w:p>
    <w:p>
      <w:pPr>
        <w:spacing w:after="160"/>
      </w:pPr>
      <w:r>
        <w:rPr>
          <w:sz w:val="21"/>
        </w:rPr>
        <w:t>Demonstrate that Early Risk Alert AI can provide supportive patient visibility and prioritization context in a hospital command center while preserving independent clinician judgment, maintaining low burden, and operating under strict governance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F8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b/>
                <w:sz w:val="22"/>
              </w:rPr>
              <w:t>Scope Options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Phase 1: Retrospective validation on de-identified historical data (lowest risk, recommended first step).</w:t>
            </w:r>
          </w:p>
          <w:p>
            <w:pPr>
              <w:pStyle w:val="ListBullet"/>
              <w:spacing w:after="40"/>
            </w:pPr>
            <w:r>
              <w:rPr>
                <w:sz w:val="21"/>
              </w:rPr>
              <w:t>Phase 2: Small prospective pilot on 1 unit or command center (with full audit and independent HCP review).</w:t>
            </w:r>
          </w:p>
        </w:tc>
      </w:tr>
    </w:tbl>
    <w:p>
      <w:pPr>
        <w:spacing w:before="160" w:after="80"/>
      </w:pPr>
      <w:r>
        <w:rPr>
          <w:b/>
          <w:color w:val="163760"/>
          <w:sz w:val="32"/>
        </w:rPr>
        <w:t>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184"/>
      </w:tblGrid>
      <w:tr>
        <w:tc>
          <w:tcPr>
            <w:tcW w:type="dxa" w:w="510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510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sz w:val="20"/>
              </w:rPr>
              <w:t>Measures</w:t>
            </w:r>
          </w:p>
        </w:tc>
      </w:tr>
      <w:tr>
        <w:tc>
          <w:tcPr>
            <w:tcW w:type="dxa" w:w="44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AFD"/>
          </w:tcPr>
          <w:p>
            <w:r>
              <w:rPr>
                <w:b/>
                <w:sz w:val="20"/>
              </w:rPr>
              <w:t>Primary Success Metrics</w:t>
            </w:r>
          </w:p>
        </w:tc>
        <w:tc>
          <w:tcPr>
            <w:tcW w:type="dxa" w:w="51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sz w:val="20"/>
              </w:rPr>
              <w:t>Clinician engagement: ≥65% of supportive review recommendations are opened and independently reviewed.</w:t>
              <w:br/>
              <w:t>Operational awareness: ≥20% improvement in command-center team confidence in patient prioritization.</w:t>
              <w:br/>
              <w:t>Workflow efficiency: reduction in time spent on manual high-priority patient screening, if measurable.</w:t>
            </w:r>
          </w:p>
        </w:tc>
      </w:tr>
      <w:tr>
        <w:tc>
          <w:tcPr>
            <w:tcW w:type="dxa" w:w="44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AFD"/>
          </w:tcPr>
          <w:p>
            <w:r>
              <w:rPr>
                <w:b/>
                <w:sz w:val="20"/>
              </w:rPr>
              <w:t>Safety &amp; Compliance Metrics</w:t>
            </w:r>
          </w:p>
        </w:tc>
        <w:tc>
          <w:tcPr>
            <w:tcW w:type="dxa" w:w="51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sz w:val="20"/>
              </w:rPr>
              <w:t>100% audit trail completeness for all user interactions.</w:t>
              <w:br/>
              <w:t>Zero increase in escalation events or adverse outcomes attributable to the platform.</w:t>
              <w:br/>
              <w:t>Full documentation of independent HCP review.</w:t>
              <w:br/>
              <w:t>Configurable thresholds and access controls used only under pilot governance rules.</w:t>
            </w:r>
          </w:p>
        </w:tc>
      </w:tr>
      <w:tr>
        <w:tc>
          <w:tcPr>
            <w:tcW w:type="dxa" w:w="44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7FAFD"/>
          </w:tcPr>
          <w:p>
            <w:r>
              <w:rPr>
                <w:b/>
                <w:sz w:val="20"/>
              </w:rPr>
              <w:t>Governance &amp; Technical Metrics</w:t>
            </w:r>
          </w:p>
        </w:tc>
        <w:tc>
          <w:tcPr>
            <w:tcW w:type="dxa" w:w="51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sz w:val="20"/>
              </w:rPr>
              <w:t>System uptime ≥99% during the pilot period.</w:t>
              <w:br/>
              <w:t>All changes tracked through approved change-control.</w:t>
              <w:br/>
              <w:t>Successful user provisioning/deprovisioning and data retention/deletion procedures at closeout.</w:t>
              <w:br/>
              <w:t>No violations of approved support language or banned claims.</w:t>
            </w:r>
          </w:p>
        </w:tc>
      </w:tr>
    </w:tbl>
    <w:p>
      <w:pPr>
        <w:spacing w:before="160" w:after="80"/>
      </w:pPr>
      <w:r>
        <w:rPr>
          <w:b/>
          <w:color w:val="163760"/>
          <w:sz w:val="32"/>
        </w:rPr>
        <w:t>90-Day Success Thresholds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51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Green (Proceed)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Primary metrics met, positive clinician feedback, and full governance compliance. Discuss expansion or the next phase.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Yellow (Extend/Refine)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Partial achievement with no safety issues. Adjust and re-evaluate for 30–60 days.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Red (Orderly Closeout)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Safety concerns or very low engagement. Immediate pilot pause with data return/deletion per policy.</w:t>
            </w:r>
          </w:p>
        </w:tc>
      </w:tr>
    </w:tbl>
    <w:p>
      <w:pPr>
        <w:spacing w:before="160" w:after="80"/>
      </w:pPr>
      <w:r>
        <w:rPr>
          <w:b/>
          <w:color w:val="163760"/>
          <w:sz w:val="32"/>
        </w:rPr>
        <w:t>Exit Criteria &amp; Recommended Next Step</w:t>
      </w:r>
    </w:p>
    <w:p>
      <w:pPr>
        <w:pStyle w:val="ListBullet"/>
        <w:spacing w:after="40"/>
      </w:pPr>
      <w:r>
        <w:rPr>
          <w:sz w:val="21"/>
        </w:rPr>
        <w:t>Clear off-ramp language included in the pilot agreement.</w:t>
      </w:r>
    </w:p>
    <w:p>
      <w:pPr>
        <w:pStyle w:val="ListBullet"/>
        <w:spacing w:after="40"/>
      </w:pPr>
      <w:r>
        <w:rPr>
          <w:sz w:val="21"/>
        </w:rPr>
        <w:t>All pilot data returned or securely deleted per the data governance policy.</w:t>
      </w:r>
    </w:p>
    <w:p>
      <w:pPr>
        <w:pStyle w:val="ListBullet"/>
        <w:spacing w:after="40"/>
      </w:pPr>
      <w:r>
        <w:rPr>
          <w:sz w:val="21"/>
        </w:rPr>
        <w:t>Full complaint / issue log and change approval documentation provided to the hospital.</w:t>
      </w:r>
    </w:p>
    <w:p>
      <w:pPr>
        <w:pStyle w:val="ListBullet"/>
        <w:spacing w:after="40"/>
      </w:pPr>
      <w:r>
        <w:rPr>
          <w:sz w:val="21"/>
        </w:rPr>
        <w:t>Recommended starting point: a no-cost retrospective validation to establish baseline performance before any prospective use.</w:t>
      </w:r>
    </w:p>
    <w:p>
      <w:pPr>
        <w:sectPr>
          <w:pgSz w:w="12240" w:h="15840"/>
          <w:pgMar w:top="964" w:right="1020" w:bottom="850" w:left="1020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b/>
          <w:color w:val="163760"/>
          <w:sz w:val="32"/>
        </w:rPr>
        <w:t>2. Workflow Integration Guide</w:t>
      </w:r>
    </w:p>
    <w:p>
      <w:pPr>
        <w:spacing w:after="160"/>
      </w:pPr>
      <w:r>
        <w:rPr>
          <w:i/>
          <w:color w:val="5A6473"/>
          <w:sz w:val="21"/>
        </w:rPr>
        <w:t>Short clinician-facing guidance for command-center adoption during pilot evaluation.</w:t>
      </w:r>
    </w:p>
    <w:p>
      <w:pPr>
        <w:spacing w:after="80"/>
      </w:pPr>
      <w:r>
        <w:rPr>
          <w:b/>
          <w:sz w:val="23"/>
        </w:rPr>
        <w:t>Purpose</w:t>
      </w:r>
    </w:p>
    <w:p>
      <w:r>
        <w:rPr>
          <w:sz w:val="21"/>
        </w:rPr>
        <w:t>Early Risk Alert AI is designed as a supportive teammate in the command center — not a replacement for clinical judgment. It provides monitored patient visibility and explainable review context so authorized HCPs can prioritize reviews more efficiently while retaining full independent decision-making.</w:t>
      </w:r>
    </w:p>
    <w:p>
      <w:pPr>
        <w:spacing w:before="160" w:after="80"/>
      </w:pPr>
      <w:r>
        <w:rPr>
          <w:b/>
          <w:color w:val="163760"/>
          <w:sz w:val="32"/>
        </w:rPr>
        <w:t>Key Design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680"/>
            <w:shd w:fill="F7FAFD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sz w:val="20"/>
              </w:rPr>
              <w:t>Supportive review context only (never presented as a directive).</w:t>
            </w:r>
          </w:p>
        </w:tc>
        <w:tc>
          <w:tcPr>
            <w:tcW w:type="dxa" w:w="4680"/>
            <w:shd w:fill="F7FAFD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sz w:val="20"/>
              </w:rPr>
              <w:t>Explicit separation between workflow tracking status and clinical recommendations.</w:t>
            </w:r>
          </w:p>
        </w:tc>
      </w:tr>
      <w:tr>
        <w:tc>
          <w:tcPr>
            <w:tcW w:type="dxa" w:w="4680"/>
            <w:shd w:fill="F7FAFD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sz w:val="20"/>
              </w:rPr>
              <w:t>Full explainability: review basis, contributing factors, confidence, limitations, data freshness, and “what the software does not know.”</w:t>
            </w:r>
          </w:p>
        </w:tc>
        <w:tc>
          <w:tcPr>
            <w:tcW w:type="dxa" w:w="4680"/>
            <w:shd w:fill="F7FAFD"/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sz w:val="20"/>
              </w:rPr>
              <w:t>Review-focused naming: Near-Term Review Context, Review Priority Summary, Supportive Review Visibility.</w:t>
            </w:r>
          </w:p>
        </w:tc>
      </w:tr>
    </w:tbl>
    <w:p>
      <w:pPr>
        <w:spacing w:before="160" w:after="80"/>
      </w:pPr>
      <w:r>
        <w:rPr>
          <w:b/>
          <w:color w:val="163760"/>
          <w:sz w:val="32"/>
        </w:rPr>
        <w:t>Example Daily Workflow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1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Step</w:t>
            </w:r>
          </w:p>
        </w:tc>
        <w:tc>
          <w:tcPr>
            <w:tcW w:type="dxa" w:w="51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Application in Command Center</w:t>
            </w:r>
          </w:p>
        </w:tc>
      </w:tr>
      <w:tr>
        <w:tc>
          <w:tcPr>
            <w:tcW w:type="dxa" w:w="3024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Shift Huddle / Handover (5–10 minutes)</w:t>
            </w:r>
          </w:p>
        </w:tc>
        <w:tc>
          <w:tcPr>
            <w:tcW w:type="dxa" w:w="6624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Charge nurse opens the Clinical Command Center, reviews the unit-restricted patient list and Review Priority Summary, opens the explainable panel for high-priority patients, independently reviews the chart, and documents assessment in the EHR.</w:t>
            </w:r>
          </w:p>
        </w:tc>
      </w:tr>
      <w:tr>
        <w:tc>
          <w:tcPr>
            <w:tcW w:type="dxa" w:w="3024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Routine Monitoring</w:t>
            </w:r>
          </w:p>
        </w:tc>
        <w:tc>
          <w:tcPr>
            <w:tcW w:type="dxa" w:w="6624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Teams monitor trends and timeline views during rounds. Data freshness confirms recency. Workflow status such as “reviewed” is tracked separately from supportive clinical context.</w:t>
            </w:r>
          </w:p>
        </w:tc>
      </w:tr>
      <w:tr>
        <w:tc>
          <w:tcPr>
            <w:tcW w:type="dxa" w:w="3024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Rapid Response / Escalation Review</w:t>
            </w:r>
          </w:p>
        </w:tc>
        <w:tc>
          <w:tcPr>
            <w:tcW w:type="dxa" w:w="6624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When a patient appears in the prioritization view, the team uses the explainable panel to understand contributing factors, then performs its own independent clinical assessment before any action.</w:t>
            </w:r>
          </w:p>
        </w:tc>
      </w:tr>
    </w:tbl>
    <w:p>
      <w:pPr>
        <w:spacing w:before="160" w:after="80"/>
      </w:pPr>
      <w:r>
        <w:rPr>
          <w:b/>
          <w:color w:val="163760"/>
          <w:sz w:val="32"/>
        </w:rPr>
        <w:t>Important Reminders for Pilot Users</w:t>
      </w:r>
    </w:p>
    <w:p>
      <w:pPr>
        <w:pStyle w:val="ListBullet"/>
        <w:spacing w:after="40"/>
      </w:pPr>
      <w:r>
        <w:rPr>
          <w:sz w:val="21"/>
        </w:rPr>
        <w:t>The platform supports further clinical evaluation — it does not diagnose or direct treatment.</w:t>
      </w:r>
    </w:p>
    <w:p>
      <w:pPr>
        <w:pStyle w:val="ListBullet"/>
        <w:spacing w:after="40"/>
      </w:pPr>
      <w:r>
        <w:rPr>
          <w:sz w:val="21"/>
        </w:rPr>
        <w:t>Authorized HCPs must independently review both the patient and the displayed basis for outputs.</w:t>
      </w:r>
    </w:p>
    <w:p>
      <w:pPr>
        <w:pStyle w:val="ListBullet"/>
        <w:spacing w:after="40"/>
      </w:pPr>
      <w:r>
        <w:rPr>
          <w:sz w:val="21"/>
        </w:rPr>
        <w:t>All interactions are audit-logged for governance and compliance.</w:t>
      </w:r>
    </w:p>
    <w:p>
      <w:pPr>
        <w:spacing w:before="160" w:after="80"/>
      </w:pPr>
      <w:r>
        <w:rPr>
          <w:b/>
          <w:color w:val="163760"/>
          <w:sz w:val="32"/>
        </w:rPr>
        <w:t>Training Support &amp; Expected Benefits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Training Support</w:t>
            </w:r>
          </w:p>
        </w:tc>
        <w:tc>
          <w:tcPr>
            <w:tcW w:type="dxa" w:w="51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Expected Benefits</w:t>
            </w:r>
          </w:p>
        </w:tc>
      </w:tr>
      <w:tr>
        <w:tc>
          <w:tcPr>
            <w:tcW w:type="dxa" w:w="4536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In-platform section-by-section guidance available via /pilot-docs.</w:t>
              <w:br/>
              <w:t>Short clinician-facing demo video available on request.</w:t>
              <w:br/>
              <w:t>Pilot user instructions sheet included in the governance bundle.</w:t>
            </w:r>
          </w:p>
        </w:tc>
        <w:tc>
          <w:tcPr>
            <w:tcW w:type="dxa" w:w="4536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r>
              <w:t>Improved situational awareness across the command center.</w:t>
              <w:br/>
              <w:t>Faster identification of patients who may warrant further review.</w:t>
              <w:br/>
              <w:t>Reduced cognitive load through explainable, transparent context.</w:t>
              <w:br/>
              <w:t>Maintained clinician autonomy and workflow control.</w:t>
            </w:r>
          </w:p>
        </w:tc>
      </w:tr>
    </w:tbl>
    <w:p>
      <w:pPr>
        <w:spacing w:before="200" w:after="80"/>
      </w:pPr>
      <w:r>
        <w:rPr>
          <w:b/>
          <w:sz w:val="23"/>
        </w:rPr>
        <w:t>Contact</w:t>
      </w:r>
    </w:p>
    <w:p>
      <w:r>
        <w:rPr>
          <w:sz w:val="21"/>
        </w:rPr>
        <w:t>Milton Munroe</w:t>
        <w:br/>
        <w:t>Founder &amp; CEO</w:t>
        <w:br/>
        <w:t>Early Risk Alert AI</w:t>
        <w:br/>
        <w:t>info@earlyriskalertai.com | 732-724-7267</w:t>
      </w:r>
    </w:p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