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62B4D"/>
          <w:sz w:val="48"/>
        </w:rPr>
        <w:t>Early Risk Alert AI</w:t>
      </w:r>
    </w:p>
    <w:p>
      <w:pPr>
        <w:jc w:val="center"/>
      </w:pPr>
      <w:r>
        <w:rPr>
          <w:rFonts w:ascii="Aptos Display" w:hAnsi="Aptos Display"/>
          <w:b/>
          <w:color w:val="284878"/>
          <w:sz w:val="30"/>
        </w:rPr>
        <w:t>Model Card</w:t>
      </w:r>
    </w:p>
    <w:p>
      <w:pPr>
        <w:jc w:val="center"/>
      </w:pPr>
      <w:r>
        <w:rPr>
          <w:i/>
          <w:color w:val="5A5A5A"/>
          <w:sz w:val="21"/>
        </w:rPr>
        <w:t>HCP-Facing Decision-Support and Workflow-Support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6F5"/>
          </w:tcPr>
          <w:p>
            <w:r>
              <w:rPr>
                <w:b/>
                <w:sz w:val="21"/>
              </w:rPr>
              <w:t>Version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9FC"/>
          </w:tcPr>
          <w:p>
            <w:r>
              <w:rPr>
                <w:sz w:val="20"/>
              </w:rPr>
              <w:t>Stable pilot documentation set - March 2026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6F5"/>
          </w:tcPr>
          <w:p>
            <w:r>
              <w:rPr>
                <w:b/>
                <w:sz w:val="21"/>
              </w:rPr>
              <w:t>Prepared By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9FC"/>
          </w:tcPr>
          <w:p>
            <w:r>
              <w:rPr>
                <w:sz w:val="20"/>
              </w:rPr>
              <w:t>Milton Munroe, Founder &amp; CEO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6F5"/>
          </w:tcPr>
          <w:p>
            <w:r>
              <w:rPr>
                <w:b/>
                <w:sz w:val="21"/>
              </w:rPr>
              <w:t>Primary Use Context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9FC"/>
          </w:tcPr>
          <w:p>
            <w:r>
              <w:rPr>
                <w:sz w:val="20"/>
              </w:rPr>
              <w:t>Controlled pilot evaluation in monitored-care or command-center settings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6F5"/>
          </w:tcPr>
          <w:p>
            <w:r>
              <w:rPr>
                <w:b/>
                <w:sz w:val="21"/>
              </w:rPr>
              <w:t>Contact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9FC"/>
          </w:tcPr>
          <w:p>
            <w:r>
              <w:rPr>
                <w:sz w:val="20"/>
              </w:rPr>
              <w:t>info@earlyriskalertai.com | 732-724-7267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6F4C00"/>
              </w:rPr>
              <w:t xml:space="preserve">Important positioning: </w:t>
            </w:r>
            <w:r>
              <w:rPr>
                <w:color w:val="6F4C00"/>
              </w:rPr>
              <w:t>Early Risk Alert AI is intended to support authorized health care professionals in identifying patients who may warrant further clinical evaluation, supporting patient prioritization, and improving command-center operational awareness. It does not replace clinician judgment and is not intended to diagnose, direct treatment, or independently trigger escalation.</w:t>
            </w:r>
          </w:p>
        </w:tc>
      </w:tr>
    </w:tbl>
    <w:p>
      <w:pPr>
        <w:pStyle w:val="Heading1"/>
        <w:spacing w:before="200" w:after="80"/>
      </w:pPr>
      <w:r>
        <w:rPr>
          <w:rFonts w:ascii="Aptos Display" w:hAnsi="Aptos Display"/>
          <w:b/>
          <w:color w:val="162B4D"/>
          <w:sz w:val="26"/>
        </w:rPr>
        <w:t>1. Purpose and positioning</w:t>
      </w:r>
    </w:p>
    <w:p>
      <w:pPr>
        <w:spacing w:after="80" w:line="269" w:lineRule="auto"/>
      </w:pPr>
      <w:r>
        <w:t>Early Risk Alert AI is an HCP-facing decision-support and workflow-support platform designed for controlled pilot evaluation. The platform is structured to provide monitored patient visibility, patient prioritization support, explainable review context, and command-center operational awareness.</w:t>
      </w:r>
    </w:p>
    <w:p>
      <w:pPr>
        <w:spacing w:after="80" w:line="269" w:lineRule="auto"/>
      </w:pPr>
      <w:r>
        <w:t>The system is presented with a conservative regulatory and clinical posture. Outputs are framed as supportive review context rather than diagnostic conclusions, treatment directives, or autonomous clinical actions.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162B4D"/>
          <w:sz w:val="26"/>
        </w:rPr>
        <w:t>2. Intended users and operating environment</w:t>
      </w:r>
    </w:p>
    <w:p>
      <w:pPr>
        <w:pStyle w:val="ListBullet"/>
        <w:spacing w:after="20" w:line="252" w:lineRule="auto"/>
      </w:pPr>
      <w:r>
        <w:t>Authorized health care professionals such as charge nurses, rapid response teams, command-center staff, clinical administrators, and pilot reviewers.</w:t>
      </w:r>
    </w:p>
    <w:p>
      <w:pPr>
        <w:pStyle w:val="ListBullet"/>
        <w:spacing w:after="20" w:line="252" w:lineRule="auto"/>
      </w:pPr>
      <w:r>
        <w:t>Hospital or health-system environments evaluating monitored-care workflows, centralized visibility functions, or command-center prioritization support.</w:t>
      </w:r>
    </w:p>
    <w:p>
      <w:pPr>
        <w:pStyle w:val="ListBullet"/>
        <w:spacing w:after="20" w:line="252" w:lineRule="auto"/>
      </w:pPr>
      <w:r>
        <w:t>Controlled pilot environments with role-based access, unit-restricted visibility where appropriate, audit logging, and governed configuration changes.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162B4D"/>
          <w:sz w:val="26"/>
        </w:rPr>
        <w:t>3. Supported inputs</w:t>
      </w:r>
    </w:p>
    <w:p>
      <w:pPr>
        <w:pStyle w:val="ListBullet"/>
        <w:spacing w:after="20" w:line="252" w:lineRule="auto"/>
      </w:pPr>
      <w:r>
        <w:t>Structured patient medical information available to the authorized reviewer.</w:t>
      </w:r>
    </w:p>
    <w:p>
      <w:pPr>
        <w:pStyle w:val="ListBullet"/>
        <w:spacing w:after="20" w:line="252" w:lineRule="auto"/>
      </w:pPr>
      <w:r>
        <w:t>Trended vital-sign summaries and monitored patient context.</w:t>
      </w:r>
    </w:p>
    <w:p>
      <w:pPr>
        <w:pStyle w:val="ListBullet"/>
        <w:spacing w:after="20" w:line="252" w:lineRule="auto"/>
      </w:pPr>
      <w:r>
        <w:t>Workflow state and review context used for command-center operational awareness.</w:t>
      </w:r>
    </w:p>
    <w:p>
      <w:pPr>
        <w:pStyle w:val="ListBullet"/>
        <w:spacing w:after="20" w:line="252" w:lineRule="auto"/>
      </w:pPr>
      <w:r>
        <w:t>Approved medical information made available to the health care professional during pilot evaluation.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162B4D"/>
          <w:sz w:val="26"/>
        </w:rPr>
        <w:t>4. Supported outputs</w:t>
      </w:r>
    </w:p>
    <w:p>
      <w:pPr>
        <w:pStyle w:val="ListBullet"/>
        <w:spacing w:after="20" w:line="252" w:lineRule="auto"/>
      </w:pPr>
      <w:r>
        <w:t>Patient prioritization support for additional review.</w:t>
      </w:r>
    </w:p>
    <w:p>
      <w:pPr>
        <w:pStyle w:val="ListBullet"/>
        <w:spacing w:after="20" w:line="252" w:lineRule="auto"/>
      </w:pPr>
      <w:r>
        <w:t>Explainable review basis and contributing factors.</w:t>
      </w:r>
    </w:p>
    <w:p>
      <w:pPr>
        <w:pStyle w:val="ListBullet"/>
        <w:spacing w:after="20" w:line="252" w:lineRule="auto"/>
      </w:pPr>
      <w:r>
        <w:t>Supportive review visibility, trend context, and data freshness indicators.</w:t>
      </w:r>
    </w:p>
    <w:p>
      <w:pPr>
        <w:pStyle w:val="ListBullet"/>
        <w:spacing w:after="20" w:line="252" w:lineRule="auto"/>
      </w:pPr>
      <w:r>
        <w:t>Workflow-aware operational visibility inside a command-center or monitored-care review surface.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162B4D"/>
          <w:sz w:val="26"/>
        </w:rPr>
        <w:t>5. Explainability and human review features</w:t>
      </w:r>
    </w:p>
    <w:p>
      <w:pPr>
        <w:pStyle w:val="ListBullet"/>
        <w:spacing w:after="20" w:line="252" w:lineRule="auto"/>
      </w:pPr>
      <w:r>
        <w:t>Visible review basis and contributing factors.</w:t>
      </w:r>
    </w:p>
    <w:p>
      <w:pPr>
        <w:pStyle w:val="ListBullet"/>
        <w:spacing w:after="20" w:line="252" w:lineRule="auto"/>
      </w:pPr>
      <w:r>
        <w:t>Confidence, limitations, and data freshness indicators.</w:t>
      </w:r>
    </w:p>
    <w:p>
      <w:pPr>
        <w:pStyle w:val="ListBullet"/>
        <w:spacing w:after="20" w:line="252" w:lineRule="auto"/>
      </w:pPr>
      <w:r>
        <w:t>Review Priority Summary and Near-Term Review Context wording designed for pilot-safe use.</w:t>
      </w:r>
    </w:p>
    <w:p>
      <w:pPr>
        <w:pStyle w:val="ListBullet"/>
        <w:spacing w:after="20" w:line="252" w:lineRule="auto"/>
      </w:pPr>
      <w:r>
        <w:t>Clear visibility into what changed, what the software does not know, and what requires independent HCP review.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162B4D"/>
          <w:sz w:val="26"/>
        </w:rPr>
        <w:t>6. Key limitations</w:t>
      </w:r>
    </w:p>
    <w:p>
      <w:pPr>
        <w:pStyle w:val="ListBullet"/>
        <w:spacing w:after="20" w:line="252" w:lineRule="auto"/>
      </w:pPr>
      <w:r>
        <w:t>Outputs are decision-support and workflow-support only and are not a diagnosis.</w:t>
      </w:r>
    </w:p>
    <w:p>
      <w:pPr>
        <w:pStyle w:val="ListBullet"/>
        <w:spacing w:after="20" w:line="252" w:lineRule="auto"/>
      </w:pPr>
      <w:r>
        <w:t>Incomplete, delayed, or missing data may affect outputs and supportive visibility.</w:t>
      </w:r>
    </w:p>
    <w:p>
      <w:pPr>
        <w:pStyle w:val="ListBullet"/>
        <w:spacing w:after="20" w:line="252" w:lineRule="auto"/>
      </w:pPr>
      <w:r>
        <w:t>Hospital policy, clinical context, and independent professional judgment govern all escalation, response, and treatment decisions.</w:t>
      </w:r>
    </w:p>
    <w:p>
      <w:pPr>
        <w:pStyle w:val="ListBullet"/>
        <w:spacing w:after="20" w:line="252" w:lineRule="auto"/>
      </w:pPr>
      <w:r>
        <w:t>The system is not intended to diagnose, direct treatment, or independently trigger escalation.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162B4D"/>
          <w:sz w:val="26"/>
        </w:rPr>
        <w:t>7. Workflow separation and guardrails</w:t>
      </w:r>
    </w:p>
    <w:p>
      <w:pPr>
        <w:spacing w:after="80" w:line="269" w:lineRule="auto"/>
      </w:pPr>
      <w:r>
        <w:t>Workflow-state tracking is kept separate from supportive review context. Operational actions such as acknowledge, assign, escalate, and resolve are logged as workflow states and are not presented as machine-directed clinical actions.</w:t>
      </w:r>
    </w:p>
    <w:p>
      <w:pPr>
        <w:spacing w:after="80" w:line="269" w:lineRule="auto"/>
      </w:pPr>
      <w:r>
        <w:t>The platform is designed so pilot users can review the displayed basis, confidence, limitations, freshness, and contextual factors before taking any action under hospital policy.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162B4D"/>
          <w:sz w:val="26"/>
        </w:rPr>
        <w:t>8. Validation and governance summary</w:t>
      </w:r>
    </w:p>
    <w:p>
      <w:pPr>
        <w:pStyle w:val="ListBullet"/>
        <w:spacing w:after="20" w:line="252" w:lineRule="auto"/>
      </w:pPr>
      <w:r>
        <w:t>Intended for retrospective validation first, with prospective pilot use only under explicit governance review.</w:t>
      </w:r>
    </w:p>
    <w:p>
      <w:pPr>
        <w:pStyle w:val="ListBullet"/>
        <w:spacing w:after="20" w:line="252" w:lineRule="auto"/>
      </w:pPr>
      <w:r>
        <w:t>Pilot governance materials include support-language controls, banned claims, change control, risk register, V&amp;V-lite documentation, and release notes.</w:t>
      </w:r>
    </w:p>
    <w:p>
      <w:pPr>
        <w:pStyle w:val="ListBullet"/>
        <w:spacing w:after="20" w:line="252" w:lineRule="auto"/>
      </w:pPr>
      <w:r>
        <w:t>All user interactions are expected to be audit logged under the approved pilot configuration.</w:t>
      </w:r>
    </w:p>
    <w:p>
      <w:pPr>
        <w:pStyle w:val="ListBullet"/>
        <w:spacing w:after="20" w:line="252" w:lineRule="auto"/>
      </w:pPr>
      <w:r>
        <w:t>Changes should be tracked through approved change-control procedures during the pilot period.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162B4D"/>
          <w:sz w:val="26"/>
        </w:rPr>
        <w:t>9. Access, security, and deployment posture</w:t>
      </w:r>
    </w:p>
    <w:p>
      <w:pPr>
        <w:pStyle w:val="ListBullet"/>
        <w:spacing w:after="20" w:line="252" w:lineRule="auto"/>
      </w:pPr>
      <w:r>
        <w:t>Role-based access and unit scoping may be used to control visibility.</w:t>
      </w:r>
    </w:p>
    <w:p>
      <w:pPr>
        <w:pStyle w:val="ListBullet"/>
        <w:spacing w:after="20" w:line="252" w:lineRule="auto"/>
      </w:pPr>
      <w:r>
        <w:t>Pilot deployment is intended for secure cloud configuration with governed administrative controls.</w:t>
      </w:r>
    </w:p>
    <w:p>
      <w:pPr>
        <w:pStyle w:val="ListBullet"/>
        <w:spacing w:after="20" w:line="252" w:lineRule="auto"/>
      </w:pPr>
      <w:r>
        <w:t>User provisioning, deprovisioning, data handling, and closeout steps should follow the agreed pilot governance process.</w:t>
      </w:r>
    </w:p>
    <w:p>
      <w:pPr>
        <w:pStyle w:val="ListBullet"/>
        <w:spacing w:after="20" w:line="252" w:lineRule="auto"/>
      </w:pPr>
      <w:r>
        <w:t>Deployment posture should remain aligned with approved support-language and pilot-safe operational controls.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162B4D"/>
          <w:sz w:val="26"/>
        </w:rPr>
        <w:t>10. Recommended evaluation path</w:t>
      </w:r>
    </w:p>
    <w:p>
      <w:pPr>
        <w:spacing w:after="80" w:line="269" w:lineRule="auto"/>
      </w:pPr>
      <w:r>
        <w:t>Recommended first step: retrospective validation on de-identified historical data to establish baseline performance and workflow relevance before any prospective use.</w:t>
      </w:r>
    </w:p>
    <w:p>
      <w:pPr>
        <w:spacing w:after="80" w:line="269" w:lineRule="auto"/>
      </w:pPr>
      <w:r>
        <w:t>Only after favorable retrospective review, positive stakeholder feedback, and governance approval should a small prospective pilot be considered.</w:t>
      </w:r>
    </w:p>
    <w:p>
      <w:pPr>
        <w:pStyle w:val="Heading1"/>
        <w:spacing w:before="200" w:after="80"/>
      </w:pPr>
      <w:r>
        <w:rPr>
          <w:rFonts w:ascii="Aptos Display" w:hAnsi="Aptos Display"/>
          <w:b/>
          <w:color w:val="162B4D"/>
          <w:sz w:val="26"/>
        </w:rPr>
        <w:t>11. Contact</w:t>
      </w:r>
    </w:p>
    <w:p>
      <w:pPr>
        <w:spacing w:after="80" w:line="269" w:lineRule="auto"/>
      </w:pPr>
      <w:r>
        <w:t>Milton Munroe</w:t>
        <w:br/>
        <w:t>Founder &amp; CEO</w:t>
        <w:br/>
        <w:t>Early Risk Alert AI</w:t>
        <w:br/>
        <w:t>info@earlyriskalertai.com | 732-724-7267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