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Heading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Paragraph"/>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Paragraph"/>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Heading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Analysis configurations of the magnetosta</w:t>
      </w:r>
      <w:r w:rsidR="00D3393B">
        <w:rPr>
          <w:rFonts w:ascii="Times New Roman" w:hAnsi="Times New Roman" w:cs="Times New Roman"/>
          <w:sz w:val="24"/>
          <w:lang w:val="en-US"/>
        </w:rPr>
        <w:t xml:space="preserve">tic,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emf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Heading2"/>
        <w:numPr>
          <w:ilvl w:val="1"/>
          <w:numId w:val="39"/>
        </w:numPr>
        <w:rPr>
          <w:lang w:val="en-US"/>
        </w:rPr>
      </w:pPr>
      <w:r>
        <w:rPr>
          <w:lang w:val="en-US"/>
        </w:rPr>
        <w:lastRenderedPageBreak/>
        <w:t>Magnetostatic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magnetostatic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of the electromechanical systems under static conditions, i.e. no-motion. For our study, magnetostatic analysis is applied to proposed generator model in order to calculate air gap flux density and flux path in the machine.</w:t>
      </w:r>
    </w:p>
    <w:p w:rsidR="0052133F" w:rsidRDefault="0052133F" w:rsidP="00FF5D97">
      <w:pPr>
        <w:pStyle w:val="Heading2"/>
        <w:numPr>
          <w:ilvl w:val="2"/>
          <w:numId w:val="39"/>
        </w:numPr>
        <w:rPr>
          <w:lang w:val="en-US"/>
        </w:rPr>
      </w:pPr>
      <w:r>
        <w:rPr>
          <w:lang w:val="en-US"/>
        </w:rPr>
        <w:t>Magnetostatic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modelling stage of the generator in ANSYS Maxwell, 1/54 symmetrical model is employed. Therefore excessive mesh computation and analysis time can be saved. In Fig. 5-1, mesh plot of the magnetostatic model is given.</w:t>
      </w:r>
    </w:p>
    <w:p w:rsidR="00FF5D97" w:rsidRDefault="00346821" w:rsidP="00720E9D">
      <w:pPr>
        <w:jc w:val="center"/>
        <w:rPr>
          <w:lang w:val="en-US"/>
        </w:rPr>
      </w:pPr>
      <w:r w:rsidRPr="00346821">
        <w:rPr>
          <w:noProof/>
          <w:lang w:val="tr-TR" w:eastAsia="tr-TR"/>
        </w:rPr>
        <w:drawing>
          <wp:inline distT="0" distB="0" distL="0" distR="0">
            <wp:extent cx="3459480" cy="2713941"/>
            <wp:effectExtent l="0" t="0" r="7620" b="0"/>
            <wp:docPr id="3" name="Picture 3" descr="C:\Users\Aydin\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Desktop\asdas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908" cy="2729966"/>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r>
        <w:rPr>
          <w:rFonts w:ascii="Times New Roman" w:hAnsi="Times New Roman" w:cs="Times New Roman"/>
          <w:szCs w:val="24"/>
          <w:lang w:val="en-US"/>
        </w:rPr>
        <w:t>Magnetostatic model mesh plot</w:t>
      </w:r>
    </w:p>
    <w:p w:rsidR="00FF5D97" w:rsidRDefault="00CC7813" w:rsidP="00CC78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Magnetostatic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Table 5-1. Magnetostatic FEA Configurations</w:t>
      </w:r>
    </w:p>
    <w:tbl>
      <w:tblPr>
        <w:tblStyle w:val="TableGrid"/>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Heading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771A14" w:rsidP="00771A14">
      <w:pPr>
        <w:spacing w:line="360" w:lineRule="auto"/>
        <w:jc w:val="center"/>
        <w:rPr>
          <w:rFonts w:ascii="Times New Roman" w:hAnsi="Times New Roman" w:cs="Times New Roman"/>
          <w:sz w:val="24"/>
          <w:lang w:val="en-US"/>
        </w:rPr>
      </w:pPr>
      <w:r>
        <w:rPr>
          <w:noProof/>
          <w:lang w:val="tr-TR" w:eastAsia="tr-TR"/>
        </w:rPr>
        <w:drawing>
          <wp:inline distT="0" distB="0" distL="0" distR="0" wp14:anchorId="1CC4FD14" wp14:editId="65128034">
            <wp:extent cx="4935415" cy="24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064" cy="2485403"/>
                    </a:xfrm>
                    <a:prstGeom prst="rect">
                      <a:avLst/>
                    </a:prstGeom>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Air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 xml:space="preserve">0.453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eGrid"/>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0.468</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0.453</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0.494</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0.510</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rsidR="004E6734" w:rsidRDefault="006D573A"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11ABC13">
            <wp:extent cx="5136231" cy="3833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954" cy="3848166"/>
                    </a:xfrm>
                    <a:prstGeom prst="rect">
                      <a:avLst/>
                    </a:prstGeom>
                    <a:noFill/>
                  </pic:spPr>
                </pic:pic>
              </a:graphicData>
            </a:graphic>
          </wp:inline>
        </w:drawing>
      </w:r>
    </w:p>
    <w:p w:rsidR="00901541" w:rsidRDefault="00867082" w:rsidP="0090154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r w:rsidR="00901541">
        <w:rPr>
          <w:rFonts w:ascii="Times New Roman" w:eastAsiaTheme="minorEastAsia" w:hAnsi="Times New Roman" w:cs="Times New Roman"/>
          <w:szCs w:val="20"/>
        </w:rPr>
        <w:t xml:space="preserve">Airgap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can not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262FB"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1F994C2C" wp14:editId="13DEFDB2">
            <wp:extent cx="5075555"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2939415"/>
                    </a:xfrm>
                    <a:prstGeom prst="rect">
                      <a:avLst/>
                    </a:prstGeom>
                  </pic:spPr>
                </pic:pic>
              </a:graphicData>
            </a:graphic>
          </wp:inline>
        </w:drawing>
      </w:r>
    </w:p>
    <w:p w:rsidR="006951DA" w:rsidRDefault="00BB11CF" w:rsidP="006951D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Airgap flux density vectors for the 5 MW proposed design.</w:t>
      </w:r>
    </w:p>
    <w:p w:rsidR="006951DA" w:rsidRDefault="006951DA" w:rsidP="006951D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951DA"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693CAB88" wp14:editId="730FAA19">
            <wp:extent cx="4923736" cy="28514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850" cy="2853874"/>
                    </a:xfrm>
                    <a:prstGeom prst="rect">
                      <a:avLst/>
                    </a:prstGeom>
                  </pic:spPr>
                </pic:pic>
              </a:graphicData>
            </a:graphic>
          </wp:inline>
        </w:drawing>
      </w:r>
    </w:p>
    <w:p w:rsidR="006951DA" w:rsidRDefault="00BB11CF" w:rsidP="0086708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bookmarkStart w:id="1" w:name="_GoBack"/>
      <w:bookmarkEnd w:id="1"/>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Pr="00867082" w:rsidRDefault="00867082" w:rsidP="00867082">
      <w:pPr>
        <w:pStyle w:val="Heading2"/>
        <w:numPr>
          <w:ilvl w:val="1"/>
          <w:numId w:val="39"/>
        </w:numPr>
        <w:rPr>
          <w:lang w:val="en-US"/>
        </w:rPr>
      </w:pPr>
      <w:r>
        <w:rPr>
          <w:lang w:val="en-US"/>
        </w:rPr>
        <w:lastRenderedPageBreak/>
        <w:t>Transient Analysis</w:t>
      </w:r>
    </w:p>
    <w:p w:rsidR="000E1DBA" w:rsidRDefault="000E1DBA" w:rsidP="00FF5D97">
      <w:pPr>
        <w:pStyle w:val="Heading2"/>
        <w:numPr>
          <w:ilvl w:val="2"/>
          <w:numId w:val="39"/>
        </w:numPr>
        <w:rPr>
          <w:lang w:val="en-US"/>
        </w:rPr>
      </w:pPr>
      <w:r>
        <w:rPr>
          <w:lang w:val="en-US"/>
        </w:rPr>
        <w:t>Transient FEA Configurations</w:t>
      </w:r>
    </w:p>
    <w:p w:rsidR="000E1DBA" w:rsidRPr="000E1DBA" w:rsidRDefault="000E1DBA" w:rsidP="00FF5D97">
      <w:pPr>
        <w:pStyle w:val="Heading2"/>
        <w:numPr>
          <w:ilvl w:val="2"/>
          <w:numId w:val="39"/>
        </w:numPr>
        <w:rPr>
          <w:lang w:val="en-US"/>
        </w:rPr>
      </w:pPr>
      <w:r>
        <w:rPr>
          <w:lang w:val="en-US"/>
        </w:rPr>
        <w:t>No-load Model</w:t>
      </w:r>
    </w:p>
    <w:p w:rsidR="000E1DBA" w:rsidRPr="000E1DBA" w:rsidRDefault="0082751F" w:rsidP="000E1DBA">
      <w:pPr>
        <w:pStyle w:val="Heading2"/>
        <w:numPr>
          <w:ilvl w:val="0"/>
          <w:numId w:val="44"/>
        </w:numPr>
        <w:rPr>
          <w:lang w:val="en-US"/>
        </w:rPr>
      </w:pPr>
      <w:r>
        <w:rPr>
          <w:lang w:val="en-US"/>
        </w:rPr>
        <w:t>Induced emf</w:t>
      </w:r>
      <w:r w:rsidR="006B34D6">
        <w:rPr>
          <w:lang w:val="en-US"/>
        </w:rPr>
        <w:t xml:space="preserve"> verification</w:t>
      </w:r>
    </w:p>
    <w:p w:rsidR="0082751F" w:rsidRDefault="006B34D6" w:rsidP="00FF5D97">
      <w:pPr>
        <w:pStyle w:val="Heading2"/>
        <w:numPr>
          <w:ilvl w:val="2"/>
          <w:numId w:val="39"/>
        </w:numPr>
        <w:rPr>
          <w:lang w:val="en-US"/>
        </w:rPr>
      </w:pPr>
      <w:r>
        <w:rPr>
          <w:lang w:val="en-US"/>
        </w:rPr>
        <w:t xml:space="preserve">Full-load </w:t>
      </w:r>
      <w:r w:rsidR="0082751F">
        <w:rPr>
          <w:lang w:val="en-US"/>
        </w:rPr>
        <w:t>Model</w:t>
      </w:r>
    </w:p>
    <w:p w:rsidR="0082751F" w:rsidRDefault="0082751F" w:rsidP="000E1DBA">
      <w:pPr>
        <w:pStyle w:val="Heading2"/>
        <w:numPr>
          <w:ilvl w:val="0"/>
          <w:numId w:val="45"/>
        </w:numPr>
        <w:rPr>
          <w:lang w:val="en-US"/>
        </w:rPr>
      </w:pPr>
      <w:r>
        <w:rPr>
          <w:lang w:val="en-US"/>
        </w:rPr>
        <w:t>Phase Voltage verification</w:t>
      </w:r>
    </w:p>
    <w:p w:rsidR="0082751F" w:rsidRDefault="0082751F" w:rsidP="000E1DBA">
      <w:pPr>
        <w:pStyle w:val="Heading2"/>
        <w:numPr>
          <w:ilvl w:val="0"/>
          <w:numId w:val="45"/>
        </w:numPr>
        <w:rPr>
          <w:lang w:val="en-US"/>
        </w:rPr>
      </w:pPr>
      <w:r>
        <w:rPr>
          <w:lang w:val="en-US"/>
        </w:rPr>
        <w:t>Eddy loss coefficient estimation</w:t>
      </w:r>
    </w:p>
    <w:p w:rsidR="0082751F" w:rsidRDefault="0082751F" w:rsidP="0082751F">
      <w:pPr>
        <w:rPr>
          <w:lang w:val="en-US"/>
        </w:rPr>
      </w:pPr>
    </w:p>
    <w:p w:rsidR="0082751F" w:rsidRDefault="0082751F" w:rsidP="0082751F">
      <w:pPr>
        <w:rPr>
          <w:lang w:val="en-US"/>
        </w:rPr>
      </w:pPr>
    </w:p>
    <w:p w:rsidR="0082751F" w:rsidRDefault="0082751F" w:rsidP="00FF5D97">
      <w:pPr>
        <w:pStyle w:val="Heading2"/>
        <w:numPr>
          <w:ilvl w:val="1"/>
          <w:numId w:val="39"/>
        </w:numPr>
        <w:rPr>
          <w:lang w:val="en-US"/>
        </w:rPr>
      </w:pPr>
      <w:r>
        <w:rPr>
          <w:lang w:val="en-US"/>
        </w:rPr>
        <w:t>Proposed model comparison</w:t>
      </w:r>
    </w:p>
    <w:p w:rsidR="0082751F" w:rsidRDefault="0082751F" w:rsidP="0082751F">
      <w:pPr>
        <w:rPr>
          <w:lang w:val="en-US"/>
        </w:rPr>
      </w:pPr>
    </w:p>
    <w:p w:rsidR="0082751F" w:rsidRPr="0082751F" w:rsidRDefault="0082751F" w:rsidP="0082751F">
      <w:pPr>
        <w:rPr>
          <w:lang w:val="en-US"/>
        </w:rPr>
      </w:pPr>
    </w:p>
    <w:p w:rsidR="0082751F" w:rsidRDefault="0082751F" w:rsidP="00FF5D97">
      <w:pPr>
        <w:pStyle w:val="Heading2"/>
        <w:numPr>
          <w:ilvl w:val="1"/>
          <w:numId w:val="39"/>
        </w:numPr>
        <w:rPr>
          <w:lang w:val="en-US"/>
        </w:rPr>
      </w:pPr>
      <w:r>
        <w:rPr>
          <w:lang w:val="en-US"/>
        </w:rPr>
        <w:t>Conclusion</w:t>
      </w:r>
    </w:p>
    <w:p w:rsidR="0082751F" w:rsidRDefault="0082751F" w:rsidP="0082751F"/>
    <w:p w:rsidR="0082751F" w:rsidRDefault="0082751F" w:rsidP="0082751F"/>
    <w:p w:rsidR="0082751F" w:rsidRDefault="0082751F" w:rsidP="0082751F"/>
    <w:p w:rsidR="0082751F" w:rsidRDefault="0082751F" w:rsidP="0082751F"/>
    <w:p w:rsidR="0082751F" w:rsidRDefault="0082751F" w:rsidP="0082751F"/>
    <w:p w:rsidR="00221681" w:rsidRPr="00BF6B81" w:rsidRDefault="0082751F"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1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05D" w:rsidRDefault="00DF105D" w:rsidP="009C3F1E">
      <w:pPr>
        <w:spacing w:after="0" w:line="240" w:lineRule="auto"/>
      </w:pPr>
      <w:r>
        <w:separator/>
      </w:r>
    </w:p>
  </w:endnote>
  <w:endnote w:type="continuationSeparator" w:id="0">
    <w:p w:rsidR="00DF105D" w:rsidRDefault="00DF105D"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BB11CF" w:rsidRPr="00BB11CF">
          <w:rPr>
            <w:rFonts w:cs="Times New Roman"/>
            <w:noProof/>
          </w:rPr>
          <w:t>7</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05D" w:rsidRDefault="00DF105D" w:rsidP="009C3F1E">
      <w:pPr>
        <w:spacing w:after="0" w:line="240" w:lineRule="auto"/>
      </w:pPr>
      <w:r>
        <w:separator/>
      </w:r>
    </w:p>
  </w:footnote>
  <w:footnote w:type="continuationSeparator" w:id="0">
    <w:p w:rsidR="00DF105D" w:rsidRDefault="00DF105D"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15:restartNumberingAfterBreak="0">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A82"/>
    <w:rsid w:val="001A7F4F"/>
    <w:rsid w:val="001B0BA6"/>
    <w:rsid w:val="001B18B3"/>
    <w:rsid w:val="001B18F6"/>
    <w:rsid w:val="001B2179"/>
    <w:rsid w:val="001B2309"/>
    <w:rsid w:val="001B2C68"/>
    <w:rsid w:val="001B2F38"/>
    <w:rsid w:val="001B3283"/>
    <w:rsid w:val="001B3719"/>
    <w:rsid w:val="001B3E7C"/>
    <w:rsid w:val="001B3EA1"/>
    <w:rsid w:val="001B473D"/>
    <w:rsid w:val="001B4C1A"/>
    <w:rsid w:val="001B4D40"/>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4E97"/>
    <w:rsid w:val="00216FEA"/>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6788"/>
    <w:rsid w:val="002C6862"/>
    <w:rsid w:val="002C6A76"/>
    <w:rsid w:val="002C6C2D"/>
    <w:rsid w:val="002C70E4"/>
    <w:rsid w:val="002C715C"/>
    <w:rsid w:val="002C7E78"/>
    <w:rsid w:val="002D02B0"/>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411E2"/>
    <w:rsid w:val="00641F56"/>
    <w:rsid w:val="006428DB"/>
    <w:rsid w:val="00642937"/>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62E"/>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95B"/>
    <w:rsid w:val="006B29FE"/>
    <w:rsid w:val="006B2DCD"/>
    <w:rsid w:val="006B34D6"/>
    <w:rsid w:val="006B3D5B"/>
    <w:rsid w:val="006B4445"/>
    <w:rsid w:val="006B4656"/>
    <w:rsid w:val="006B5626"/>
    <w:rsid w:val="006B6095"/>
    <w:rsid w:val="006B61BC"/>
    <w:rsid w:val="006B6523"/>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10C5"/>
    <w:rsid w:val="006D1281"/>
    <w:rsid w:val="006D1D91"/>
    <w:rsid w:val="006D1E0B"/>
    <w:rsid w:val="006D2790"/>
    <w:rsid w:val="006D2E7E"/>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CB3"/>
    <w:rsid w:val="00992D83"/>
    <w:rsid w:val="00992E8C"/>
    <w:rsid w:val="0099335B"/>
    <w:rsid w:val="0099380B"/>
    <w:rsid w:val="00993D4A"/>
    <w:rsid w:val="00993E15"/>
    <w:rsid w:val="00994086"/>
    <w:rsid w:val="0099461B"/>
    <w:rsid w:val="009948FB"/>
    <w:rsid w:val="00995A82"/>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3795"/>
    <w:rsid w:val="00A83EC6"/>
    <w:rsid w:val="00A85165"/>
    <w:rsid w:val="00A856D4"/>
    <w:rsid w:val="00A860EF"/>
    <w:rsid w:val="00A8682F"/>
    <w:rsid w:val="00A86A50"/>
    <w:rsid w:val="00A86C94"/>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685"/>
    <w:rsid w:val="00CF69C7"/>
    <w:rsid w:val="00CF750E"/>
    <w:rsid w:val="00CF79B6"/>
    <w:rsid w:val="00CF7E79"/>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816"/>
    <w:rsid w:val="00ED4CD4"/>
    <w:rsid w:val="00ED4CD8"/>
    <w:rsid w:val="00ED5985"/>
    <w:rsid w:val="00ED6494"/>
    <w:rsid w:val="00ED6998"/>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CA75379-DA99-4C53-8027-C6533F994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25058</TotalTime>
  <Pages>7</Pages>
  <Words>1522</Words>
  <Characters>8677</Characters>
  <Application>Microsoft Office Word</Application>
  <DocSecurity>0</DocSecurity>
  <Lines>72</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10179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27</cp:revision>
  <cp:lastPrinted>2016-10-24T14:12:00Z</cp:lastPrinted>
  <dcterms:created xsi:type="dcterms:W3CDTF">2016-05-02T15:52:00Z</dcterms:created>
  <dcterms:modified xsi:type="dcterms:W3CDTF">2017-12-12T20:42:00Z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