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sz w:val="22"/>
        </w:rPr>
        <w:t>Mẫu ĐATN-03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TRƯỜNG ĐẠI HỌC XÂY DỰNG HÀ NỘI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KHOA CÔNG NGHỆ THÔNG TIN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</w:t>
            </w:r>
          </w:p>
        </w:tc>
        <w:tc>
          <w:tcPr>
            <w:tcW w:type="dxa" w:w="481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HOÀ XÃ HỘI CHỦ NGHĨA VIỆT NAM</w:t>
            </w:r>
          </w:p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—————————————</w:t>
            </w:r>
          </w:p>
        </w:tc>
      </w:tr>
    </w:tbl>
    <w:p>
      <w:pPr>
        <w:spacing w:before="0" w:after="80"/>
      </w:pPr>
    </w:p>
    <w:p>
      <w:pPr>
        <w:spacing w:before="80" w:after="40" w:line="288" w:lineRule="auto"/>
        <w:jc w:val="center"/>
      </w:pPr>
      <w:r>
        <w:rPr>
          <w:rFonts w:ascii="Times New Roman" w:hAnsi="Times New Roman"/>
          <w:b/>
          <w:sz w:val="28"/>
        </w:rPr>
        <w:t>PHIẾU ĐÁNH GIÁ MỐC M1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i/>
          <w:sz w:val="20"/>
        </w:rPr>
        <w:t>(Ban hành kèm theo Quyết định số     /QĐ-ĐHXDHN ngày     tháng     năm 2026 của</w:t>
        <w:br/>
        <w:t>Hiệu trưởng Trường Đại học Xây dựng Hà Nội)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Họ và tên SV: </w:t>
            </w:r>
            <w:r>
              <w:rPr>
                <w:rFonts w:ascii="Times New Roman" w:hAnsi="Times New Roman"/>
                <w:b/>
                <w:sz w:val="24"/>
              </w:rPr>
              <w:t>Lê Hoàng Trúc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Mã SV: </w:t>
            </w:r>
            <w:r>
              <w:rPr>
                <w:rFonts w:ascii="Times New Roman" w:hAnsi="Times New Roman"/>
                <w:b/>
                <w:sz w:val="24"/>
              </w:rPr>
              <w:t>661234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Tên đề tài: </w:t>
            </w:r>
            <w:r>
              <w:rPr>
                <w:rFonts w:ascii="Times New Roman" w:hAnsi="Times New Roman"/>
                <w:b/>
                <w:sz w:val="24"/>
              </w:rPr>
              <w:t>Phân tích, thiết kế và xây dựng Hệ thống Quản trị Nguồn nhân lực (HRM)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Đợt: </w:t>
            </w:r>
            <w:r>
              <w:rPr>
                <w:rFonts w:ascii="Times New Roman" w:hAnsi="Times New Roman"/>
                <w:b/>
                <w:sz w:val="24"/>
              </w:rPr>
              <w:t>2026-1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GVHD/thành viên HĐ: </w:t>
            </w:r>
            <w:r>
              <w:rPr>
                <w:rFonts w:ascii="Times New Roman" w:hAnsi="Times New Roman"/>
                <w:b/>
                <w:sz w:val="24"/>
              </w:rPr>
              <w:t>TS. Nguyễn Văn A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Khoa/Nhóm: </w:t>
            </w:r>
            <w:r>
              <w:rPr>
                <w:rFonts w:ascii="Times New Roman" w:hAnsi="Times New Roman"/>
                <w:b/>
                <w:sz w:val="24"/>
              </w:rPr>
              <w:t>Khoa CNTT - Bộ môn CNPM</w:t>
            </w:r>
          </w:p>
        </w:tc>
      </w:tr>
      <w:tr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Ngày đánh giá: </w:t>
            </w:r>
            <w:r>
              <w:rPr>
                <w:rFonts w:ascii="Times New Roman" w:hAnsi="Times New Roman"/>
                <w:b/>
                <w:sz w:val="24"/>
              </w:rPr>
              <w:t>15/09/2026</w:t>
            </w:r>
          </w:p>
        </w:tc>
        <w:tc>
          <w:tcPr>
            <w:tcW w:type="dxa" w:w="4535"/>
          </w:tcPr>
          <w:p>
            <w:pPr>
              <w:spacing w:before="0" w:after="50" w:line="288" w:lineRule="auto"/>
            </w:pPr>
            <w:r>
              <w:rPr>
                <w:rFonts w:ascii="Times New Roman" w:hAnsi="Times New Roman"/>
                <w:sz w:val="24"/>
              </w:rPr>
              <w:t xml:space="preserve">Hình thức: </w:t>
            </w:r>
            <w:r>
              <w:rPr>
                <w:rFonts w:ascii="Times New Roman" w:hAnsi="Times New Roman"/>
                <w:b/>
                <w:sz w:val="24"/>
              </w:rPr>
              <w:t>Trực tiếp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5"/>
        </w:rPr>
        <w:t>I. Bảng đánh giá theo CLO (mốc M1)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/>
          <w:cantSplit/>
        </w:trPr>
        <w:tc>
          <w:tcPr>
            <w:tcW w:type="dxa" w:w="1020"/>
            <w:vMerge w:val="restart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</w:t>
            </w:r>
          </w:p>
        </w:tc>
        <w:tc>
          <w:tcPr>
            <w:tcW w:type="dxa" w:w="3402"/>
            <w:vMerge w:val="restart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Nội dung/tiêu chí đánh giá</w:t>
            </w:r>
          </w:p>
        </w:tc>
        <w:tc>
          <w:tcPr>
            <w:tcW w:type="dxa" w:w="2268"/>
            <w:gridSpan w:val="5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Mức đánh giá</w:t>
            </w:r>
          </w:p>
        </w:tc>
        <w:tc>
          <w:tcPr>
            <w:tcW w:type="dxa" w:w="2381"/>
            <w:vMerge w:val="restart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Nhận xét minh chứng</w:t>
            </w:r>
          </w:p>
        </w:tc>
      </w:tr>
      <w:tr>
        <w:trPr>
          <w:tblHeader/>
          <w:cantSplit/>
        </w:trPr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454"/>
            <w:shd w:fill="EAEAEA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454"/>
            <w:shd w:fill="EAEAEA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454"/>
            <w:shd w:fill="EAEAEA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454"/>
            <w:shd w:fill="EAEAEA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454"/>
            <w:shd w:fill="EAEAEA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134"/>
            <w:vMerge/>
          </w:tcPr>
          <w:p/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Áp dụng kiến thức chuyên ngành, phân tích vấn đề và đề xuất giải pháp.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☑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Đã hoàn thành xuất sắc phân tích nghiệp vụ Module Tổ chức. Các file đặc tả BA (Mô tả thực thể, Business rules, Sequence diagram Thêm/Sửa/Xóa) chi tiết từ UI đến DB.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CLO2</w:t>
            </w:r>
          </w:p>
        </w:tc>
        <w:tc>
          <w:tcPr>
            <w:tcW w:type="dxa" w:w="340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Thực hành chuyên sâu, thiết kế hệ thống.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☑</w:t>
            </w:r>
          </w:p>
        </w:tc>
        <w:tc>
          <w:tcPr>
            <w:tcW w:type="dxa" w:w="454"/>
            <w:tcMar>
              <w:top w:w="60" w:type="dxa"/>
              <w:bottom w:w="6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t>Đã thiết kế hoàn chỉnh kiến trúc và Prisma Schema cho Department, Position, Employee. Cấu trúc cây đệ quy phân cấp phòng ban hợp lý.</w:t>
            </w:r>
          </w:p>
        </w:tc>
      </w:tr>
    </w:tbl>
    <w:p>
      <w:pPr>
        <w:spacing w:before="160" w:after="40"/>
      </w:pPr>
      <w:r>
        <w:rPr>
          <w:b/>
        </w:rPr>
        <w:t>Kết luận mốc:  ☑ Đạt     ☐ Chưa đạt     ☐ Đạt nhưng yêu cầu chỉnh sửa</w:t>
      </w:r>
    </w:p>
    <w:p>
      <w:pPr>
        <w:spacing w:after="80"/>
      </w:pPr>
      <w:r>
        <w:rPr>
          <w:b/>
        </w:rPr>
        <w:t>Điểm mốc (tham khảo, nếu áp dụng): 8.5 / 10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II. Ghi chú/yêu cầu chỉnh sửa bắt buộc (nếu có)</w:t>
      </w:r>
    </w:p>
    <w:p>
      <w:pPr>
        <w:spacing w:before="0" w:after="50" w:line="288" w:lineRule="auto"/>
        <w:ind w:left="340"/>
      </w:pPr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sz w:val="24"/>
        </w:rPr>
        <w:t>Bổ sung thêm đặc tả kỹ thuật cho luồng phân quyền người dùng (RBAC) và cơ chế xác thực Token bảo vệ API.</w:t>
      </w:r>
    </w:p>
    <w:p>
      <w:pPr>
        <w:spacing w:before="0" w:after="50" w:line="288" w:lineRule="auto"/>
        <w:ind w:left="340"/>
      </w:pPr>
      <w:r>
        <w:rPr>
          <w:rFonts w:ascii="Times New Roman" w:hAnsi="Times New Roman"/>
          <w:sz w:val="24"/>
        </w:rPr>
        <w:t xml:space="preserve">- </w:t>
      </w:r>
      <w:r>
        <w:rPr>
          <w:rFonts w:ascii="Times New Roman" w:hAnsi="Times New Roman"/>
          <w:sz w:val="24"/>
        </w:rPr>
        <w:t>Chuẩn bị sẵn môi trường lập trình Backend để triển khai ngay các API cốt lõi trong giai đoạn tiếp theo.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Sinh viên</w:t>
            </w:r>
          </w:p>
        </w:tc>
        <w:tc>
          <w:tcPr>
            <w:tcW w:type="dxa" w:w="3024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GV hướng dẫn</w:t>
            </w:r>
          </w:p>
        </w:tc>
        <w:tc>
          <w:tcPr>
            <w:tcW w:type="dxa" w:w="3024"/>
          </w:tcPr>
          <w:p>
            <w:pPr>
              <w:spacing w:after="2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Thành viên HĐ (nếu có)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  <w:tc>
          <w:tcPr>
            <w:tcW w:type="dxa" w:w="302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</w:tc>
      </w:tr>
      <w:tr>
        <w:tc>
          <w:tcPr>
            <w:tcW w:type="dxa" w:w="3024"/>
          </w:tcPr>
          <w:p>
            <w:pPr>
              <w:spacing w:after="900" w:before="0"/>
            </w:pPr>
          </w:p>
        </w:tc>
        <w:tc>
          <w:tcPr>
            <w:tcW w:type="dxa" w:w="3024"/>
          </w:tcPr>
          <w:p>
            <w:pPr>
              <w:spacing w:after="900" w:before="0"/>
            </w:pPr>
          </w:p>
        </w:tc>
        <w:tc>
          <w:tcPr>
            <w:tcW w:type="dxa" w:w="3024"/>
          </w:tcPr>
          <w:p>
            <w:pPr>
              <w:spacing w:after="900" w:before="0"/>
            </w:pPr>
          </w:p>
        </w:tc>
      </w:tr>
      <w:tr>
        <w:tc>
          <w:tcPr>
            <w:tcW w:type="dxa" w:w="3024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Lê Hoàng Trúc</w:t>
            </w:r>
          </w:p>
        </w:tc>
        <w:tc>
          <w:tcPr>
            <w:tcW w:type="dxa" w:w="3024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Nguyễn Văn A</w:t>
            </w:r>
          </w:p>
        </w:tc>
        <w:tc>
          <w:tcPr>
            <w:tcW w:type="dxa" w:w="3024"/>
          </w:tcPr>
          <w:p>
            <w:pPr>
              <w:spacing w:after="80" w:befor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TS. Lê Văn D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