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sz w:val="22"/>
        </w:rPr>
        <w:t>Mẫu ĐATN-10</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535"/>
        <w:gridCol w:w="4535"/>
      </w:tblGrid>
      <w:tr>
        <w:tc>
          <w:tcPr>
            <w:tcW w:type="dxa" w:w="4252"/>
          </w:tcPr>
          <w:p>
            <w:pPr>
              <w:spacing w:line="276" w:lineRule="auto" w:after="0" w:before="0"/>
              <w:jc w:val="center"/>
            </w:pPr>
            <w:r>
              <w:rPr>
                <w:rFonts w:ascii="Times New Roman" w:hAnsi="Times New Roman"/>
                <w:b/>
                <w:sz w:val="22"/>
              </w:rPr>
              <w:t>TRƯỜNG ĐẠI HỌC XÂY DỰNG HÀ NỘI</w:t>
            </w:r>
          </w:p>
          <w:p>
            <w:pPr>
              <w:spacing w:line="276" w:lineRule="auto" w:after="0" w:before="0"/>
              <w:jc w:val="center"/>
            </w:pPr>
            <w:r>
              <w:rPr>
                <w:rFonts w:ascii="Times New Roman" w:hAnsi="Times New Roman"/>
                <w:b/>
                <w:sz w:val="22"/>
              </w:rPr>
              <w:t>KHOA CÔNG NGHỆ THÔNG TIN</w:t>
            </w:r>
          </w:p>
          <w:p>
            <w:pPr>
              <w:spacing w:after="80"/>
              <w:jc w:val="center"/>
            </w:pPr>
            <w:r>
              <w:rPr>
                <w:rFonts w:ascii="Times New Roman" w:hAnsi="Times New Roman"/>
                <w:b/>
                <w:sz w:val="18"/>
              </w:rPr>
              <w:t>———————</w:t>
            </w:r>
          </w:p>
        </w:tc>
        <w:tc>
          <w:tcPr>
            <w:tcW w:type="dxa" w:w="4819"/>
          </w:tcPr>
          <w:p>
            <w:pPr>
              <w:spacing w:line="276" w:lineRule="auto" w:after="0" w:before="0"/>
              <w:jc w:val="center"/>
            </w:pPr>
            <w:r>
              <w:rPr>
                <w:rFonts w:ascii="Times New Roman" w:hAnsi="Times New Roman"/>
                <w:b/>
                <w:sz w:val="22"/>
              </w:rPr>
              <w:t>CỘNG HOÀ XÃ HỘI CHỦ NGHĨA VIỆT NAM</w:t>
            </w:r>
          </w:p>
          <w:p>
            <w:pPr>
              <w:spacing w:line="276" w:lineRule="auto" w:after="0" w:before="0"/>
              <w:jc w:val="center"/>
            </w:pPr>
            <w:r>
              <w:rPr>
                <w:rFonts w:ascii="Times New Roman" w:hAnsi="Times New Roman"/>
                <w:b/>
                <w:sz w:val="22"/>
              </w:rPr>
              <w:t>Độc lập - Tự do - Hạnh phúc</w:t>
            </w:r>
          </w:p>
          <w:p>
            <w:pPr>
              <w:spacing w:after="80"/>
              <w:jc w:val="center"/>
            </w:pPr>
            <w:r>
              <w:rPr>
                <w:rFonts w:ascii="Times New Roman" w:hAnsi="Times New Roman"/>
                <w:b/>
                <w:sz w:val="18"/>
              </w:rPr>
              <w:t>—————————————</w:t>
            </w:r>
          </w:p>
        </w:tc>
      </w:tr>
    </w:tbl>
    <w:p>
      <w:pPr>
        <w:spacing w:before="0" w:after="80"/>
      </w:pPr>
    </w:p>
    <w:p>
      <w:pPr>
        <w:spacing w:before="80" w:after="40" w:line="288" w:lineRule="auto"/>
        <w:jc w:val="center"/>
      </w:pPr>
      <w:r>
        <w:rPr>
          <w:rFonts w:ascii="Times New Roman" w:hAnsi="Times New Roman"/>
          <w:b/>
          <w:sz w:val="28"/>
        </w:rPr>
        <w:t>PHIẾU KHẢO SÁT SAU HỌC PHẦN ĐỒ ÁN TỐT NGHIỆP (SINH VIÊN)</w:t>
      </w:r>
    </w:p>
    <w:p>
      <w:pPr>
        <w:spacing w:before="0" w:after="200" w:line="276" w:lineRule="auto"/>
        <w:jc w:val="center"/>
      </w:pPr>
      <w:r>
        <w:rPr>
          <w:rFonts w:ascii="Times New Roman" w:hAnsi="Times New Roman"/>
          <w:i/>
          <w:sz w:val="20"/>
        </w:rPr>
        <w:t>(Ban hành kèm theo Quyết định số     /QĐ-ĐHXDHN ngày     tháng     năm 2026 của</w:t>
        <w:br/>
        <w:t>Hiệu trưởng Trường Đại học Xây dựng Hà Nội)</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535"/>
        <w:gridCol w:w="4535"/>
      </w:tblGrid>
      <w:tr>
        <w:tc>
          <w:tcPr>
            <w:tcW w:type="dxa" w:w="4535"/>
          </w:tcPr>
          <w:p>
            <w:pPr>
              <w:spacing w:before="0" w:after="50" w:line="288" w:lineRule="auto"/>
            </w:pPr>
            <w:r>
              <w:rPr>
                <w:rFonts w:ascii="Times New Roman" w:hAnsi="Times New Roman"/>
                <w:sz w:val="24"/>
              </w:rPr>
              <w:t xml:space="preserve">Họ và tên SV (tùy chọn): </w:t>
            </w:r>
            <w:r>
              <w:rPr>
                <w:rFonts w:ascii="Times New Roman" w:hAnsi="Times New Roman"/>
                <w:b/>
                <w:sz w:val="24"/>
              </w:rPr>
              <w:t>Lê Hoàng Trúc</w:t>
            </w:r>
          </w:p>
        </w:tc>
        <w:tc>
          <w:tcPr>
            <w:tcW w:type="dxa" w:w="4535"/>
          </w:tcPr>
          <w:p>
            <w:pPr>
              <w:spacing w:before="0" w:after="50" w:line="288" w:lineRule="auto"/>
            </w:pPr>
            <w:r>
              <w:rPr>
                <w:rFonts w:ascii="Times New Roman" w:hAnsi="Times New Roman"/>
                <w:sz w:val="24"/>
              </w:rPr>
              <w:t xml:space="preserve">Mã SV: </w:t>
            </w:r>
            <w:r>
              <w:rPr>
                <w:rFonts w:ascii="Times New Roman" w:hAnsi="Times New Roman"/>
                <w:b/>
                <w:sz w:val="24"/>
              </w:rPr>
              <w:t>661234</w:t>
            </w:r>
          </w:p>
        </w:tc>
      </w:tr>
      <w:tr>
        <w:tc>
          <w:tcPr>
            <w:tcW w:type="dxa" w:w="4535"/>
          </w:tcPr>
          <w:p>
            <w:pPr>
              <w:spacing w:before="0" w:after="50" w:line="288" w:lineRule="auto"/>
            </w:pPr>
            <w:r>
              <w:rPr>
                <w:rFonts w:ascii="Times New Roman" w:hAnsi="Times New Roman"/>
                <w:sz w:val="24"/>
              </w:rPr>
              <w:t xml:space="preserve">Ngành/CTĐT: </w:t>
            </w:r>
            <w:r>
              <w:rPr>
                <w:rFonts w:ascii="Times New Roman" w:hAnsi="Times New Roman"/>
                <w:b/>
                <w:sz w:val="24"/>
              </w:rPr>
              <w:t>Kỹ thuật phần mềm</w:t>
            </w:r>
          </w:p>
        </w:tc>
        <w:tc>
          <w:tcPr>
            <w:tcW w:type="dxa" w:w="4535"/>
          </w:tcPr>
          <w:p>
            <w:pPr>
              <w:spacing w:before="0" w:after="50" w:line="288" w:lineRule="auto"/>
            </w:pPr>
            <w:r>
              <w:rPr>
                <w:rFonts w:ascii="Times New Roman" w:hAnsi="Times New Roman"/>
                <w:sz w:val="24"/>
              </w:rPr>
              <w:t xml:space="preserve">Đợt ĐATN: </w:t>
            </w:r>
            <w:r>
              <w:rPr>
                <w:rFonts w:ascii="Times New Roman" w:hAnsi="Times New Roman"/>
                <w:b/>
                <w:sz w:val="24"/>
              </w:rPr>
              <w:t>2026-1</w:t>
            </w:r>
          </w:p>
        </w:tc>
      </w:tr>
      <w:tr>
        <w:tc>
          <w:tcPr>
            <w:tcW w:type="dxa" w:w="9071"/>
            <w:gridSpan w:val="2"/>
          </w:tcPr>
          <w:p>
            <w:pPr>
              <w:spacing w:before="0" w:after="50" w:line="288" w:lineRule="auto"/>
            </w:pPr>
            <w:r>
              <w:rPr>
                <w:rFonts w:ascii="Times New Roman" w:hAnsi="Times New Roman"/>
                <w:sz w:val="24"/>
              </w:rPr>
              <w:t xml:space="preserve">Ngày khảo sát: </w:t>
            </w:r>
            <w:r>
              <w:rPr>
                <w:rFonts w:ascii="Times New Roman" w:hAnsi="Times New Roman"/>
                <w:b/>
                <w:sz w:val="24"/>
              </w:rPr>
              <w:t>06/12/2026</w:t>
            </w:r>
          </w:p>
        </w:tc>
      </w:tr>
    </w:tbl>
    <w:p>
      <w:pPr>
        <w:spacing w:before="80" w:after="80"/>
      </w:pPr>
      <w:r>
        <w:rPr>
          <w:i/>
        </w:rPr>
        <w:t>Hướng dẫn: Chọn mức độ đồng ý theo thang 1–5 (1: Rất không đồng ý; 5: Rất đồng ý).</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tblHeader/>
          <w:cantSplit/>
        </w:trPr>
        <w:tc>
          <w:tcPr>
            <w:tcW w:type="dxa" w:w="6236"/>
            <w:shd w:fill="EAEAEA"/>
            <w:tcMar>
              <w:top w:w="80" w:type="dxa"/>
              <w:bottom w:w="80" w:type="dxa"/>
              <w:left w:w="50" w:type="dxa"/>
              <w:right w:w="50" w:type="dxa"/>
            </w:tcMar>
          </w:tcPr>
          <w:p>
            <w:pPr>
              <w:jc w:val="center"/>
            </w:pPr>
            <w:r>
              <w:rPr>
                <w:b/>
              </w:rPr>
              <w:t>Nội dung khảo sát</w:t>
            </w:r>
          </w:p>
        </w:tc>
        <w:tc>
          <w:tcPr>
            <w:tcW w:type="dxa" w:w="567"/>
            <w:shd w:fill="EAEAEA"/>
            <w:tcMar>
              <w:top w:w="80" w:type="dxa"/>
              <w:bottom w:w="80" w:type="dxa"/>
              <w:left w:w="50" w:type="dxa"/>
              <w:right w:w="50" w:type="dxa"/>
            </w:tcMar>
          </w:tcPr>
          <w:p>
            <w:pPr>
              <w:jc w:val="center"/>
            </w:pPr>
            <w:r>
              <w:rPr>
                <w:b/>
              </w:rPr>
              <w:t>1</w:t>
            </w:r>
          </w:p>
        </w:tc>
        <w:tc>
          <w:tcPr>
            <w:tcW w:type="dxa" w:w="567"/>
            <w:shd w:fill="EAEAEA"/>
            <w:tcMar>
              <w:top w:w="80" w:type="dxa"/>
              <w:bottom w:w="80" w:type="dxa"/>
              <w:left w:w="50" w:type="dxa"/>
              <w:right w:w="50" w:type="dxa"/>
            </w:tcMar>
          </w:tcPr>
          <w:p>
            <w:pPr>
              <w:jc w:val="center"/>
            </w:pPr>
            <w:r>
              <w:rPr>
                <w:b/>
              </w:rPr>
              <w:t>2</w:t>
            </w:r>
          </w:p>
        </w:tc>
        <w:tc>
          <w:tcPr>
            <w:tcW w:type="dxa" w:w="567"/>
            <w:shd w:fill="EAEAEA"/>
            <w:tcMar>
              <w:top w:w="80" w:type="dxa"/>
              <w:bottom w:w="80" w:type="dxa"/>
              <w:left w:w="50" w:type="dxa"/>
              <w:right w:w="50" w:type="dxa"/>
            </w:tcMar>
          </w:tcPr>
          <w:p>
            <w:pPr>
              <w:jc w:val="center"/>
            </w:pPr>
            <w:r>
              <w:rPr>
                <w:b/>
              </w:rPr>
              <w:t>3</w:t>
            </w:r>
          </w:p>
        </w:tc>
        <w:tc>
          <w:tcPr>
            <w:tcW w:type="dxa" w:w="567"/>
            <w:shd w:fill="EAEAEA"/>
            <w:tcMar>
              <w:top w:w="80" w:type="dxa"/>
              <w:bottom w:w="80" w:type="dxa"/>
              <w:left w:w="50" w:type="dxa"/>
              <w:right w:w="50" w:type="dxa"/>
            </w:tcMar>
          </w:tcPr>
          <w:p>
            <w:pPr>
              <w:jc w:val="center"/>
            </w:pPr>
            <w:r>
              <w:rPr>
                <w:b/>
              </w:rPr>
              <w:t>4</w:t>
            </w:r>
          </w:p>
        </w:tc>
        <w:tc>
          <w:tcPr>
            <w:tcW w:type="dxa" w:w="567"/>
            <w:shd w:fill="EAEAEA"/>
            <w:tcMar>
              <w:top w:w="80" w:type="dxa"/>
              <w:bottom w:w="80" w:type="dxa"/>
              <w:left w:w="50" w:type="dxa"/>
              <w:right w:w="50" w:type="dxa"/>
            </w:tcMar>
          </w:tcPr>
          <w:p>
            <w:pPr>
              <w:jc w:val="center"/>
            </w:pPr>
            <w:r>
              <w:rPr>
                <w:b/>
              </w:rPr>
              <w:t>5</w:t>
            </w:r>
          </w:p>
        </w:tc>
      </w:tr>
      <w:tr>
        <w:trPr>
          <w:cantSplit/>
        </w:trPr>
        <w:tc>
          <w:tcPr>
            <w:tcW w:type="dxa" w:w="6236"/>
            <w:tcMar>
              <w:top w:w="60" w:type="dxa"/>
              <w:bottom w:w="60" w:type="dxa"/>
              <w:left w:w="60" w:type="dxa"/>
              <w:right w:w="60" w:type="dxa"/>
            </w:tcMar>
          </w:tcPr>
          <w:p>
            <w:r>
              <w:t>Mục tiêu học phần và CLO được thông tin rõ ràng.</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b/>
                <w:sz w:val="24"/>
              </w:rPr>
              <w:t>☑</w:t>
            </w:r>
          </w:p>
        </w:tc>
      </w:tr>
      <w:tr>
        <w:trPr>
          <w:cantSplit/>
        </w:trPr>
        <w:tc>
          <w:tcPr>
            <w:tcW w:type="dxa" w:w="6236"/>
            <w:tcMar>
              <w:top w:w="60" w:type="dxa"/>
              <w:bottom w:w="60" w:type="dxa"/>
              <w:left w:w="60" w:type="dxa"/>
              <w:right w:w="60" w:type="dxa"/>
            </w:tcMar>
          </w:tcPr>
          <w:p>
            <w:r>
              <w:t>Rubric/tiêu chí đánh giá được phổ biến và dễ hiểu.</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b/>
                <w:sz w:val="24"/>
              </w:rPr>
              <w:t>☑</w:t>
            </w:r>
          </w:p>
        </w:tc>
        <w:tc>
          <w:tcPr>
            <w:tcW w:type="dxa" w:w="567"/>
            <w:tcMar>
              <w:top w:w="60" w:type="dxa"/>
              <w:bottom w:w="60" w:type="dxa"/>
              <w:left w:w="20" w:type="dxa"/>
              <w:right w:w="20" w:type="dxa"/>
            </w:tcMar>
          </w:tcPr>
          <w:p>
            <w:pPr>
              <w:jc w:val="center"/>
            </w:pPr>
            <w:r>
              <w:rPr>
                <w:sz w:val="24"/>
              </w:rPr>
              <w:t>☐</w:t>
            </w:r>
          </w:p>
        </w:tc>
      </w:tr>
      <w:tr>
        <w:trPr>
          <w:cantSplit/>
        </w:trPr>
        <w:tc>
          <w:tcPr>
            <w:tcW w:type="dxa" w:w="6236"/>
            <w:tcMar>
              <w:top w:w="60" w:type="dxa"/>
              <w:bottom w:w="60" w:type="dxa"/>
              <w:left w:w="60" w:type="dxa"/>
              <w:right w:w="60" w:type="dxa"/>
            </w:tcMar>
          </w:tcPr>
          <w:p>
            <w:r>
              <w:t>GVHD hỗ trợ hiệu quả, phản hồi kịp thời.</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b/>
                <w:sz w:val="24"/>
              </w:rPr>
              <w:t>☑</w:t>
            </w:r>
          </w:p>
        </w:tc>
      </w:tr>
      <w:tr>
        <w:trPr>
          <w:cantSplit/>
        </w:trPr>
        <w:tc>
          <w:tcPr>
            <w:tcW w:type="dxa" w:w="6236"/>
            <w:tcMar>
              <w:top w:w="60" w:type="dxa"/>
              <w:bottom w:w="60" w:type="dxa"/>
              <w:left w:w="60" w:type="dxa"/>
              <w:right w:w="60" w:type="dxa"/>
            </w:tcMar>
          </w:tcPr>
          <w:p>
            <w:r>
              <w:t>Các mốc M1–M2–M3 giúp theo dõi tiến độ và chất lượng.</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b/>
                <w:sz w:val="24"/>
              </w:rPr>
              <w:t>☑</w:t>
            </w:r>
          </w:p>
        </w:tc>
      </w:tr>
      <w:tr>
        <w:trPr>
          <w:cantSplit/>
        </w:trPr>
        <w:tc>
          <w:tcPr>
            <w:tcW w:type="dxa" w:w="6236"/>
            <w:tcMar>
              <w:top w:w="60" w:type="dxa"/>
              <w:bottom w:w="60" w:type="dxa"/>
              <w:left w:w="60" w:type="dxa"/>
              <w:right w:w="60" w:type="dxa"/>
            </w:tcMar>
          </w:tcPr>
          <w:p>
            <w:r>
              <w:t>Hình thức/điều kiện bảo vệ rõ ràng và công bằng.</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b/>
                <w:sz w:val="24"/>
              </w:rPr>
              <w:t>☑</w:t>
            </w:r>
          </w:p>
        </w:tc>
      </w:tr>
      <w:tr>
        <w:trPr>
          <w:cantSplit/>
        </w:trPr>
        <w:tc>
          <w:tcPr>
            <w:tcW w:type="dxa" w:w="6236"/>
            <w:tcMar>
              <w:top w:w="60" w:type="dxa"/>
              <w:bottom w:w="60" w:type="dxa"/>
              <w:left w:w="60" w:type="dxa"/>
              <w:right w:w="60" w:type="dxa"/>
            </w:tcMar>
          </w:tcPr>
          <w:p>
            <w:r>
              <w:t>Học phần giúp tôi phát triển năng lực chuyên môn và nghiên cứu.</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b/>
                <w:sz w:val="24"/>
              </w:rPr>
              <w:t>☑</w:t>
            </w:r>
          </w:p>
        </w:tc>
      </w:tr>
      <w:tr>
        <w:trPr>
          <w:cantSplit/>
        </w:trPr>
        <w:tc>
          <w:tcPr>
            <w:tcW w:type="dxa" w:w="6236"/>
            <w:tcMar>
              <w:top w:w="60" w:type="dxa"/>
              <w:bottom w:w="60" w:type="dxa"/>
              <w:left w:w="60" w:type="dxa"/>
              <w:right w:w="60" w:type="dxa"/>
            </w:tcMar>
          </w:tcPr>
          <w:p>
            <w:r>
              <w:t>Tôi nhận thức tốt hơn về an toàn, đạo đức và phát triển bền vững.</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b/>
                <w:sz w:val="24"/>
              </w:rPr>
              <w:t>☑</w:t>
            </w:r>
          </w:p>
        </w:tc>
        <w:tc>
          <w:tcPr>
            <w:tcW w:type="dxa" w:w="567"/>
            <w:tcMar>
              <w:top w:w="60" w:type="dxa"/>
              <w:bottom w:w="60" w:type="dxa"/>
              <w:left w:w="20" w:type="dxa"/>
              <w:right w:w="20" w:type="dxa"/>
            </w:tcMar>
          </w:tcPr>
          <w:p>
            <w:pPr>
              <w:jc w:val="center"/>
            </w:pPr>
            <w:r>
              <w:rPr>
                <w:sz w:val="24"/>
              </w:rPr>
              <w:t>☐</w:t>
            </w:r>
          </w:p>
        </w:tc>
      </w:tr>
      <w:tr>
        <w:trPr>
          <w:cantSplit/>
        </w:trPr>
        <w:tc>
          <w:tcPr>
            <w:tcW w:type="dxa" w:w="6236"/>
            <w:tcMar>
              <w:top w:w="60" w:type="dxa"/>
              <w:bottom w:w="60" w:type="dxa"/>
              <w:left w:w="60" w:type="dxa"/>
              <w:right w:w="60" w:type="dxa"/>
            </w:tcMar>
          </w:tcPr>
          <w:p>
            <w:r>
              <w:t>Hạ tầng lưu trữ số và hướng dẫn nộp minh chứng thuận tiện.</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b/>
                <w:sz w:val="24"/>
              </w:rPr>
              <w:t>☑</w:t>
            </w:r>
          </w:p>
        </w:tc>
        <w:tc>
          <w:tcPr>
            <w:tcW w:type="dxa" w:w="567"/>
            <w:tcMar>
              <w:top w:w="60" w:type="dxa"/>
              <w:bottom w:w="60" w:type="dxa"/>
              <w:left w:w="20" w:type="dxa"/>
              <w:right w:w="20" w:type="dxa"/>
            </w:tcMar>
          </w:tcPr>
          <w:p>
            <w:pPr>
              <w:jc w:val="center"/>
            </w:pPr>
            <w:r>
              <w:rPr>
                <w:sz w:val="24"/>
              </w:rPr>
              <w:t>☐</w:t>
            </w:r>
          </w:p>
        </w:tc>
        <w:tc>
          <w:tcPr>
            <w:tcW w:type="dxa" w:w="567"/>
            <w:tcMar>
              <w:top w:w="60" w:type="dxa"/>
              <w:bottom w:w="60" w:type="dxa"/>
              <w:left w:w="20" w:type="dxa"/>
              <w:right w:w="20" w:type="dxa"/>
            </w:tcMar>
          </w:tcPr>
          <w:p>
            <w:pPr>
              <w:jc w:val="center"/>
            </w:pPr>
            <w:r>
              <w:rPr>
                <w:sz w:val="24"/>
              </w:rPr>
              <w:t>☐</w:t>
            </w:r>
          </w:p>
        </w:tc>
      </w:tr>
    </w:tbl>
    <w:p>
      <w:pPr>
        <w:spacing w:before="160" w:after="60"/>
      </w:pPr>
      <w:r>
        <w:rPr>
          <w:rFonts w:ascii="Times New Roman" w:hAnsi="Times New Roman"/>
          <w:b/>
          <w:sz w:val="25"/>
        </w:rPr>
        <w:t>Ý kiến góp ý/đề xuất cải tiến:</w:t>
      </w:r>
    </w:p>
    <w:p>
      <w:pPr>
        <w:spacing w:line="300" w:lineRule="auto"/>
      </w:pPr>
      <w:r>
        <w:t>Hệ thống nộp bài ĐATN cần được tự động hóa tốt hơn. Quá trình kiểm tra đạo văn cần có công cụ hỗ trợ sinh viên tự kiểm tra một cách thuận tiện trước khi nộp chính thức.</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6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