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sz w:val="22"/>
        </w:rPr>
        <w:t>Mẫu ĐATN-11</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252"/>
          </w:tcPr>
          <w:p>
            <w:pPr>
              <w:spacing w:line="276" w:lineRule="auto" w:after="0" w:before="0"/>
              <w:jc w:val="center"/>
            </w:pPr>
            <w:r>
              <w:rPr>
                <w:rFonts w:ascii="Times New Roman" w:hAnsi="Times New Roman"/>
                <w:b/>
                <w:sz w:val="22"/>
              </w:rPr>
              <w:t>TRƯỜNG ĐẠI HỌC XÂY DỰNG HÀ NỘI</w:t>
            </w:r>
          </w:p>
          <w:p>
            <w:pPr>
              <w:spacing w:line="276" w:lineRule="auto" w:after="0" w:before="0"/>
              <w:jc w:val="center"/>
            </w:pPr>
            <w:r>
              <w:rPr>
                <w:rFonts w:ascii="Times New Roman" w:hAnsi="Times New Roman"/>
                <w:b/>
                <w:sz w:val="22"/>
              </w:rPr>
              <w:t>KHOA CÔNG NGHỆ THÔNG TIN</w:t>
            </w:r>
          </w:p>
          <w:p>
            <w:pPr>
              <w:spacing w:after="80"/>
              <w:jc w:val="center"/>
            </w:pPr>
            <w:r>
              <w:rPr>
                <w:rFonts w:ascii="Times New Roman" w:hAnsi="Times New Roman"/>
                <w:b/>
                <w:sz w:val="18"/>
              </w:rPr>
              <w:t>———————</w:t>
            </w:r>
          </w:p>
        </w:tc>
        <w:tc>
          <w:tcPr>
            <w:tcW w:type="dxa" w:w="4819"/>
          </w:tcPr>
          <w:p>
            <w:pPr>
              <w:spacing w:line="276" w:lineRule="auto" w:after="0" w:before="0"/>
              <w:jc w:val="center"/>
            </w:pPr>
            <w:r>
              <w:rPr>
                <w:rFonts w:ascii="Times New Roman" w:hAnsi="Times New Roman"/>
                <w:b/>
                <w:sz w:val="22"/>
              </w:rPr>
              <w:t>CỘNG HOÀ XÃ HỘI CHỦ NGHĨA VIỆT NAM</w:t>
            </w:r>
          </w:p>
          <w:p>
            <w:pPr>
              <w:spacing w:line="276" w:lineRule="auto" w:after="0" w:before="0"/>
              <w:jc w:val="center"/>
            </w:pPr>
            <w:r>
              <w:rPr>
                <w:rFonts w:ascii="Times New Roman" w:hAnsi="Times New Roman"/>
                <w:b/>
                <w:sz w:val="22"/>
              </w:rPr>
              <w:t>Độc lập - Tự do - Hạnh phúc</w:t>
            </w:r>
          </w:p>
          <w:p>
            <w:pPr>
              <w:spacing w:after="80"/>
              <w:jc w:val="center"/>
            </w:pPr>
            <w:r>
              <w:rPr>
                <w:rFonts w:ascii="Times New Roman" w:hAnsi="Times New Roman"/>
                <w:b/>
                <w:sz w:val="18"/>
              </w:rPr>
              <w:t>—————————————</w:t>
            </w:r>
          </w:p>
        </w:tc>
      </w:tr>
    </w:tbl>
    <w:p>
      <w:pPr>
        <w:spacing w:before="0" w:after="80"/>
      </w:pPr>
    </w:p>
    <w:p>
      <w:pPr>
        <w:spacing w:before="80" w:after="40" w:line="288" w:lineRule="auto"/>
        <w:jc w:val="center"/>
      </w:pPr>
      <w:r>
        <w:rPr>
          <w:rFonts w:ascii="Times New Roman" w:hAnsi="Times New Roman"/>
          <w:b/>
          <w:sz w:val="28"/>
        </w:rPr>
        <w:t>BÁO CÁO ĐÁNH GIÁ SAU HỌC PHẦN &amp; MỨC ĐẠT CLO (KHOA/NCM)</w:t>
      </w:r>
    </w:p>
    <w:p>
      <w:pPr>
        <w:spacing w:before="0" w:after="200" w:line="276" w:lineRule="auto"/>
        <w:jc w:val="center"/>
      </w:pPr>
      <w:r>
        <w:rPr>
          <w:rFonts w:ascii="Times New Roman" w:hAnsi="Times New Roman"/>
          <w:i/>
          <w:sz w:val="20"/>
        </w:rPr>
        <w:t>(Ban hành kèm theo Quyết định số     /QĐ-ĐHXDHN ngày     tháng     năm 2026 của</w:t>
        <w:br/>
        <w:t>Hiệu trưởng Trường Đại học Xây dựng Hà Nội)</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before="0" w:after="50" w:line="288" w:lineRule="auto"/>
            </w:pPr>
            <w:r>
              <w:rPr>
                <w:rFonts w:ascii="Times New Roman" w:hAnsi="Times New Roman"/>
                <w:sz w:val="24"/>
              </w:rPr>
              <w:t xml:space="preserve">Khoa/Nhóm chuyên môn: </w:t>
            </w:r>
            <w:r>
              <w:rPr>
                <w:rFonts w:ascii="Times New Roman" w:hAnsi="Times New Roman"/>
                <w:b/>
                <w:sz w:val="24"/>
              </w:rPr>
              <w:t>Công nghệ Phần mềm</w:t>
            </w:r>
          </w:p>
        </w:tc>
        <w:tc>
          <w:tcPr>
            <w:tcW w:type="dxa" w:w="4535"/>
          </w:tcPr>
          <w:p>
            <w:pPr>
              <w:spacing w:before="0" w:after="50" w:line="288" w:lineRule="auto"/>
            </w:pPr>
            <w:r>
              <w:rPr>
                <w:rFonts w:ascii="Times New Roman" w:hAnsi="Times New Roman"/>
                <w:sz w:val="24"/>
              </w:rPr>
              <w:t xml:space="preserve">Đợt ĐATN: </w:t>
            </w:r>
            <w:r>
              <w:rPr>
                <w:rFonts w:ascii="Times New Roman" w:hAnsi="Times New Roman"/>
                <w:b/>
                <w:sz w:val="24"/>
              </w:rPr>
              <w:t>2026-1</w:t>
            </w:r>
          </w:p>
        </w:tc>
      </w:tr>
      <w:tr>
        <w:tc>
          <w:tcPr>
            <w:tcW w:type="dxa" w:w="4535"/>
          </w:tcPr>
          <w:p>
            <w:pPr>
              <w:spacing w:before="0" w:after="50" w:line="288" w:lineRule="auto"/>
            </w:pPr>
            <w:r>
              <w:rPr>
                <w:rFonts w:ascii="Times New Roman" w:hAnsi="Times New Roman"/>
                <w:sz w:val="24"/>
              </w:rPr>
              <w:t xml:space="preserve">Ngành/CTĐT: </w:t>
            </w:r>
            <w:r>
              <w:rPr>
                <w:rFonts w:ascii="Times New Roman" w:hAnsi="Times New Roman"/>
                <w:b/>
                <w:sz w:val="24"/>
              </w:rPr>
              <w:t>Kỹ thuật phần mềm</w:t>
            </w:r>
          </w:p>
        </w:tc>
        <w:tc>
          <w:tcPr>
            <w:tcW w:type="dxa" w:w="4535"/>
          </w:tcPr>
          <w:p>
            <w:pPr>
              <w:spacing w:before="0" w:after="50" w:line="288" w:lineRule="auto"/>
            </w:pPr>
            <w:r>
              <w:rPr>
                <w:rFonts w:ascii="Times New Roman" w:hAnsi="Times New Roman"/>
                <w:sz w:val="24"/>
              </w:rPr>
              <w:t xml:space="preserve">Số lượng SV: </w:t>
            </w:r>
            <w:r>
              <w:rPr>
                <w:rFonts w:ascii="Times New Roman" w:hAnsi="Times New Roman"/>
                <w:b/>
                <w:sz w:val="24"/>
              </w:rPr>
              <w:t>45</w:t>
            </w:r>
          </w:p>
        </w:tc>
      </w:tr>
      <w:tr>
        <w:tc>
          <w:tcPr>
            <w:tcW w:type="dxa" w:w="4535"/>
          </w:tcPr>
          <w:p>
            <w:pPr>
              <w:spacing w:before="0" w:after="50" w:line="288" w:lineRule="auto"/>
            </w:pPr>
            <w:r>
              <w:rPr>
                <w:rFonts w:ascii="Times New Roman" w:hAnsi="Times New Roman"/>
                <w:sz w:val="24"/>
              </w:rPr>
              <w:t xml:space="preserve">Người lập báo cáo: </w:t>
            </w:r>
            <w:r>
              <w:rPr>
                <w:rFonts w:ascii="Times New Roman" w:hAnsi="Times New Roman"/>
                <w:b/>
                <w:sz w:val="24"/>
              </w:rPr>
              <w:t>TS. Lê Văn D</w:t>
            </w:r>
          </w:p>
        </w:tc>
        <w:tc>
          <w:tcPr>
            <w:tcW w:type="dxa" w:w="4535"/>
          </w:tcPr>
          <w:p>
            <w:pPr>
              <w:spacing w:before="0" w:after="50" w:line="288" w:lineRule="auto"/>
            </w:pPr>
            <w:r>
              <w:rPr>
                <w:rFonts w:ascii="Times New Roman" w:hAnsi="Times New Roman"/>
                <w:sz w:val="24"/>
              </w:rPr>
              <w:t xml:space="preserve">Ngày lập: </w:t>
            </w:r>
            <w:r>
              <w:rPr>
                <w:rFonts w:ascii="Times New Roman" w:hAnsi="Times New Roman"/>
                <w:b/>
                <w:sz w:val="24"/>
              </w:rPr>
              <w:t>10/12/2026</w:t>
            </w:r>
          </w:p>
        </w:tc>
      </w:tr>
    </w:tbl>
    <w:p>
      <w:pPr>
        <w:spacing w:before="160" w:after="60"/>
      </w:pPr>
      <w:r>
        <w:rPr>
          <w:rFonts w:ascii="Times New Roman" w:hAnsi="Times New Roman"/>
          <w:b/>
          <w:sz w:val="25"/>
        </w:rPr>
        <w:t>I. Tổng quan triển khai đợt ĐATN</w:t>
      </w:r>
    </w:p>
    <w:p>
      <w:pPr>
        <w:spacing w:line="300" w:lineRule="auto" w:after="80"/>
      </w:pPr>
      <w:r>
        <w:t>Đợt bảo vệ diễn ra thành công với nhiều đồ án chất lượng cao. Các sinh viên đã thể hiện tốt việc ứng dụng quy trình kỹ nghệ phần mềm để giải quyết các bài toán thực tiễn của doanh nghiệp. Nổi bật có đề tài 'Hệ thống HRM' thể hiện năng lực phân tích nghiệp vụ và xử lý database rất tốt bằng Prisma ORM.</w:t>
      </w:r>
    </w:p>
    <w:p>
      <w:pPr>
        <w:spacing w:before="160" w:after="60"/>
      </w:pPr>
      <w:r>
        <w:rPr>
          <w:rFonts w:ascii="Times New Roman" w:hAnsi="Times New Roman"/>
          <w:b/>
          <w:sz w:val="25"/>
        </w:rPr>
        <w:t>II. Thống kê kết quả và mức đạt CLO</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tblHeader/>
          <w:cantSplit/>
        </w:trPr>
        <w:tc>
          <w:tcPr>
            <w:tcW w:type="dxa" w:w="1134"/>
            <w:shd w:fill="EAEAEA"/>
            <w:tcMar>
              <w:top w:w="80" w:type="dxa"/>
              <w:bottom w:w="80" w:type="dxa"/>
              <w:left w:w="50" w:type="dxa"/>
              <w:right w:w="50" w:type="dxa"/>
            </w:tcMar>
          </w:tcPr>
          <w:p>
            <w:pPr>
              <w:jc w:val="center"/>
            </w:pPr>
            <w:r>
              <w:rPr>
                <w:b/>
              </w:rPr>
              <w:t>CLO</w:t>
            </w:r>
          </w:p>
        </w:tc>
        <w:tc>
          <w:tcPr>
            <w:tcW w:type="dxa" w:w="1417"/>
            <w:shd w:fill="EAEAEA"/>
            <w:tcMar>
              <w:top w:w="80" w:type="dxa"/>
              <w:bottom w:w="80" w:type="dxa"/>
              <w:left w:w="50" w:type="dxa"/>
              <w:right w:w="50" w:type="dxa"/>
            </w:tcMar>
          </w:tcPr>
          <w:p>
            <w:pPr>
              <w:jc w:val="center"/>
            </w:pPr>
            <w:r>
              <w:rPr>
                <w:b/>
              </w:rPr>
              <w:t>Ngưỡng đạt</w:t>
            </w:r>
          </w:p>
        </w:tc>
        <w:tc>
          <w:tcPr>
            <w:tcW w:type="dxa" w:w="1417"/>
            <w:shd w:fill="EAEAEA"/>
            <w:tcMar>
              <w:top w:w="80" w:type="dxa"/>
              <w:bottom w:w="80" w:type="dxa"/>
              <w:left w:w="50" w:type="dxa"/>
              <w:right w:w="50" w:type="dxa"/>
            </w:tcMar>
          </w:tcPr>
          <w:p>
            <w:pPr>
              <w:jc w:val="center"/>
            </w:pPr>
            <w:r>
              <w:rPr>
                <w:b/>
              </w:rPr>
              <w:t>Tỷ lệ SV đạt (%)</w:t>
            </w:r>
          </w:p>
        </w:tc>
        <w:tc>
          <w:tcPr>
            <w:tcW w:type="dxa" w:w="2551"/>
            <w:shd w:fill="EAEAEA"/>
            <w:tcMar>
              <w:top w:w="80" w:type="dxa"/>
              <w:bottom w:w="80" w:type="dxa"/>
              <w:left w:w="50" w:type="dxa"/>
              <w:right w:w="50" w:type="dxa"/>
            </w:tcMar>
          </w:tcPr>
          <w:p>
            <w:pPr>
              <w:jc w:val="center"/>
            </w:pPr>
            <w:r>
              <w:rPr>
                <w:b/>
              </w:rPr>
              <w:t>Nhận xét nguyên nhân</w:t>
            </w:r>
          </w:p>
        </w:tc>
        <w:tc>
          <w:tcPr>
            <w:tcW w:type="dxa" w:w="2551"/>
            <w:shd w:fill="EAEAEA"/>
            <w:tcMar>
              <w:top w:w="80" w:type="dxa"/>
              <w:bottom w:w="80" w:type="dxa"/>
              <w:left w:w="50" w:type="dxa"/>
              <w:right w:w="50" w:type="dxa"/>
            </w:tcMar>
          </w:tcPr>
          <w:p>
            <w:pPr>
              <w:jc w:val="center"/>
            </w:pPr>
            <w:r>
              <w:rPr>
                <w:b/>
              </w:rPr>
              <w:t>Đề xuất hành động</w:t>
            </w:r>
          </w:p>
        </w:tc>
      </w:tr>
      <w:tr>
        <w:trPr>
          <w:cantSplit/>
        </w:trPr>
        <w:tc>
          <w:tcPr>
            <w:tcW w:type="dxa" w:w="1134"/>
            <w:tcMar>
              <w:top w:w="60" w:type="dxa"/>
              <w:bottom w:w="60" w:type="dxa"/>
              <w:left w:w="50" w:type="dxa"/>
              <w:right w:w="50" w:type="dxa"/>
            </w:tcMar>
          </w:tcPr>
          <w:p>
            <w:pPr>
              <w:jc w:val="center"/>
            </w:pPr>
            <w:r>
              <w:t>CLO1</w:t>
            </w:r>
          </w:p>
        </w:tc>
        <w:tc>
          <w:tcPr>
            <w:tcW w:type="dxa" w:w="1417"/>
            <w:tcMar>
              <w:top w:w="60" w:type="dxa"/>
              <w:bottom w:w="60" w:type="dxa"/>
              <w:left w:w="50" w:type="dxa"/>
              <w:right w:w="50" w:type="dxa"/>
            </w:tcMar>
          </w:tcPr>
          <w:p>
            <w:pPr>
              <w:jc w:val="center"/>
            </w:pPr>
            <w:r>
              <w:t>&gt;= Mức 1</w:t>
            </w:r>
          </w:p>
        </w:tc>
        <w:tc>
          <w:tcPr>
            <w:tcW w:type="dxa" w:w="1417"/>
            <w:tcMar>
              <w:top w:w="60" w:type="dxa"/>
              <w:bottom w:w="60" w:type="dxa"/>
              <w:left w:w="50" w:type="dxa"/>
              <w:right w:w="50" w:type="dxa"/>
            </w:tcMar>
          </w:tcPr>
          <w:p>
            <w:pPr>
              <w:jc w:val="center"/>
            </w:pPr>
            <w:r>
              <w:t>98%</w:t>
            </w:r>
          </w:p>
        </w:tc>
        <w:tc>
          <w:tcPr>
            <w:tcW w:type="dxa" w:w="2551"/>
            <w:tcMar>
              <w:top w:w="60" w:type="dxa"/>
              <w:bottom w:w="60" w:type="dxa"/>
              <w:left w:w="50" w:type="dxa"/>
              <w:right w:w="50" w:type="dxa"/>
            </w:tcMar>
          </w:tcPr>
          <w:p>
            <w:pPr>
              <w:jc w:val="left"/>
            </w:pPr>
            <w:r>
              <w:t>Sinh viên được làm quen viết Use case, Sequence Diagram từ các môn chuyên ngành.</w:t>
            </w:r>
          </w:p>
        </w:tc>
        <w:tc>
          <w:tcPr>
            <w:tcW w:type="dxa" w:w="2551"/>
            <w:tcMar>
              <w:top w:w="60" w:type="dxa"/>
              <w:bottom w:w="60" w:type="dxa"/>
              <w:left w:w="50" w:type="dxa"/>
              <w:right w:w="50" w:type="dxa"/>
            </w:tcMar>
          </w:tcPr>
          <w:p>
            <w:pPr>
              <w:jc w:val="left"/>
            </w:pPr>
            <w:r>
              <w:t>Tiếp tục duy trì và nâng cao tiêu chuẩn đánh giá tài liệu SRS.</w:t>
            </w:r>
          </w:p>
        </w:tc>
      </w:tr>
      <w:tr>
        <w:trPr>
          <w:cantSplit/>
        </w:trPr>
        <w:tc>
          <w:tcPr>
            <w:tcW w:type="dxa" w:w="1134"/>
            <w:tcMar>
              <w:top w:w="60" w:type="dxa"/>
              <w:bottom w:w="60" w:type="dxa"/>
              <w:left w:w="50" w:type="dxa"/>
              <w:right w:w="50" w:type="dxa"/>
            </w:tcMar>
          </w:tcPr>
          <w:p>
            <w:pPr>
              <w:jc w:val="center"/>
            </w:pPr>
            <w:r>
              <w:t>CLO2</w:t>
            </w:r>
          </w:p>
        </w:tc>
        <w:tc>
          <w:tcPr>
            <w:tcW w:type="dxa" w:w="1417"/>
            <w:tcMar>
              <w:top w:w="60" w:type="dxa"/>
              <w:bottom w:w="60" w:type="dxa"/>
              <w:left w:w="50" w:type="dxa"/>
              <w:right w:w="50" w:type="dxa"/>
            </w:tcMar>
          </w:tcPr>
          <w:p>
            <w:pPr>
              <w:jc w:val="center"/>
            </w:pPr>
            <w:r>
              <w:t>&gt;= Mức 1</w:t>
            </w:r>
          </w:p>
        </w:tc>
        <w:tc>
          <w:tcPr>
            <w:tcW w:type="dxa" w:w="1417"/>
            <w:tcMar>
              <w:top w:w="60" w:type="dxa"/>
              <w:bottom w:w="60" w:type="dxa"/>
              <w:left w:w="50" w:type="dxa"/>
              <w:right w:w="50" w:type="dxa"/>
            </w:tcMar>
          </w:tcPr>
          <w:p>
            <w:pPr>
              <w:jc w:val="center"/>
            </w:pPr>
            <w:r>
              <w:t>92%</w:t>
            </w:r>
          </w:p>
        </w:tc>
        <w:tc>
          <w:tcPr>
            <w:tcW w:type="dxa" w:w="2551"/>
            <w:tcMar>
              <w:top w:w="60" w:type="dxa"/>
              <w:bottom w:w="60" w:type="dxa"/>
              <w:left w:w="50" w:type="dxa"/>
              <w:right w:w="50" w:type="dxa"/>
            </w:tcMar>
          </w:tcPr>
          <w:p>
            <w:pPr>
              <w:jc w:val="left"/>
            </w:pPr>
            <w:r>
              <w:t>Một số SV gặp khó khăn khi triển khai hạ tầng Backend thực tế hoặc xử lý lỗi Database.</w:t>
            </w:r>
          </w:p>
        </w:tc>
        <w:tc>
          <w:tcPr>
            <w:tcW w:type="dxa" w:w="2551"/>
            <w:tcMar>
              <w:top w:w="60" w:type="dxa"/>
              <w:bottom w:w="60" w:type="dxa"/>
              <w:left w:w="50" w:type="dxa"/>
              <w:right w:w="50" w:type="dxa"/>
            </w:tcMar>
          </w:tcPr>
          <w:p>
            <w:pPr>
              <w:jc w:val="left"/>
            </w:pPr>
            <w:r>
              <w:t>Bổ sung các bài tập thực hành sâu về ORM (Prisma) và xử lý ngoại lệ (Exception Handling).</w:t>
            </w:r>
          </w:p>
        </w:tc>
      </w:tr>
    </w:tbl>
    <w:p>
      <w:pPr>
        <w:spacing w:before="160" w:after="60"/>
      </w:pPr>
      <w:r>
        <w:rPr>
          <w:rFonts w:ascii="Times New Roman" w:hAnsi="Times New Roman"/>
          <w:b/>
          <w:sz w:val="25"/>
        </w:rPr>
        <w:t>III. Đánh giá công tác lưu trữ minh chứng, tuân thủ quy trình và đề xuất cải tiến</w:t>
      </w:r>
    </w:p>
    <w:p>
      <w:pPr>
        <w:spacing w:line="300" w:lineRule="auto"/>
      </w:pPr>
      <w:r>
        <w:t>Công tác lưu trữ minh chứng tại các mốc M1, M2, M3 được thực hiện đầy đủ trên hệ thống số của nhà trường. Các file Markdown (Nhật ký, Phân tích nghiệp vụ) được nộp theo đúng quy cách.</w:t>
        <w:br/>
        <w:t>Đề xuất nâng cấp công cụ tự động trích xuất điểm từ hệ thống chấm của Hội đồng sang bảng tổng hợp ĐATN-08 để giảm tải cho Thư ký.</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after="20" w:before="0"/>
              <w:jc w:val="center"/>
            </w:pPr>
            <w:r>
              <w:rPr>
                <w:rFonts w:ascii="Times New Roman" w:hAnsi="Times New Roman"/>
                <w:b/>
                <w:sz w:val="23"/>
              </w:rPr>
              <w:t>Người lập</w:t>
            </w:r>
          </w:p>
        </w:tc>
        <w:tc>
          <w:tcPr>
            <w:tcW w:type="dxa" w:w="4535"/>
          </w:tcPr>
          <w:p>
            <w:pPr>
              <w:spacing w:after="20" w:before="0"/>
              <w:jc w:val="center"/>
            </w:pPr>
            <w:r>
              <w:rPr>
                <w:rFonts w:ascii="Times New Roman" w:hAnsi="Times New Roman"/>
                <w:b/>
                <w:sz w:val="23"/>
              </w:rPr>
              <w:t>Trưởng Khoa/Trưởng Nhóm chuyên môn</w:t>
            </w:r>
          </w:p>
        </w:tc>
      </w:tr>
      <w:tr>
        <w:tc>
          <w:tcPr>
            <w:tcW w:type="dxa" w:w="4535"/>
          </w:tcPr>
          <w:p>
            <w:pPr>
              <w:spacing w:after="0" w:before="0"/>
              <w:jc w:val="center"/>
            </w:pPr>
            <w:r>
              <w:rPr>
                <w:rFonts w:ascii="Times New Roman" w:hAnsi="Times New Roman"/>
                <w:i/>
                <w:sz w:val="20"/>
              </w:rPr>
              <w:t>(Ký, ghi rõ họ tên)</w:t>
            </w:r>
          </w:p>
        </w:tc>
        <w:tc>
          <w:tcPr>
            <w:tcW w:type="dxa" w:w="4535"/>
          </w:tcPr>
          <w:p>
            <w:pPr>
              <w:spacing w:after="0" w:before="0"/>
              <w:jc w:val="center"/>
            </w:pPr>
            <w:r>
              <w:rPr>
                <w:rFonts w:ascii="Times New Roman" w:hAnsi="Times New Roman"/>
                <w:i/>
                <w:sz w:val="20"/>
              </w:rPr>
              <w:t>(Ký, ghi rõ họ tên)</w:t>
            </w:r>
          </w:p>
        </w:tc>
      </w:tr>
      <w:tr>
        <w:tc>
          <w:tcPr>
            <w:tcW w:type="dxa" w:w="4535"/>
          </w:tcPr>
          <w:p>
            <w:pPr>
              <w:spacing w:after="900" w:before="0"/>
            </w:pPr>
          </w:p>
        </w:tc>
        <w:tc>
          <w:tcPr>
            <w:tcW w:type="dxa" w:w="4535"/>
          </w:tcPr>
          <w:p>
            <w:pPr>
              <w:spacing w:after="900" w:before="0"/>
            </w:pPr>
          </w:p>
        </w:tc>
      </w:tr>
      <w:tr>
        <w:tc>
          <w:tcPr>
            <w:tcW w:type="dxa" w:w="4535"/>
          </w:tcPr>
          <w:p>
            <w:pPr>
              <w:spacing w:after="80" w:before="0"/>
              <w:jc w:val="center"/>
            </w:pPr>
            <w:r>
              <w:rPr>
                <w:rFonts w:ascii="Times New Roman" w:hAnsi="Times New Roman"/>
                <w:b/>
                <w:sz w:val="23"/>
              </w:rPr>
              <w:t>TS. Lê Văn D</w:t>
            </w:r>
          </w:p>
        </w:tc>
        <w:tc>
          <w:tcPr>
            <w:tcW w:type="dxa" w:w="4535"/>
          </w:tcPr>
          <w:p>
            <w:pPr>
              <w:spacing w:after="80" w:before="0"/>
              <w:jc w:val="center"/>
            </w:pPr>
            <w:r>
              <w:rPr>
                <w:rFonts w:ascii="Times New Roman" w:hAnsi="Times New Roman"/>
                <w:b/>
                <w:sz w:val="23"/>
              </w:rPr>
              <w:t>PGS.TS. Trần Đình E</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