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11111"/>
          <w:sz w:val="30"/>
          <w:szCs w:val="30"/>
        </w:rPr>
        <w:t xml:space="preserve">AHMAD AYUB NU'MAN, S.H.</w:t>
      </w:r>
    </w:p>
    <w:p>
      <w:pPr>
        <w:spacing w:after="25"/>
        <w:jc w:val="center"/>
      </w:pPr>
      <w:r>
        <w:rPr>
          <w:b/>
          <w:bCs/>
          <w:color w:val="1B4D3E"/>
          <w:sz w:val="21"/>
          <w:szCs w:val="21"/>
        </w:rPr>
        <w:t xml:space="preserve">SPESIALIS KEUANGAN &amp; AKUNTANSI SYARIAH</w:t>
      </w:r>
    </w:p>
    <w:p>
      <w:pPr>
        <w:spacing w:after="50"/>
        <w:jc w:val="center"/>
      </w:pPr>
      <w:r>
        <w:rPr>
          <w:color w:val="4A5568"/>
          <w:sz w:val="17"/>
          <w:szCs w:val="17"/>
        </w:rPr>
        <w:t xml:space="preserve">Tata Kelola Keuangan Yayasan &amp; Koperasi Syariah • Penjurnalan &amp; Bagi Hasil • Rekonsiliasi Bank • Audit Compliance</w:t>
      </w:r>
    </w:p>
    <w:p>
      <w:pPr>
        <w:pBdr>
          <w:bottom w:val="single" w:color="222222" w:sz="12" w:space="5"/>
        </w:pBdr>
        <w:spacing w:after="120"/>
        <w:jc w:val="center"/>
      </w:pPr>
      <w:r>
        <w:rPr>
          <w:b/>
          <w:bCs/>
          <w:color w:val="1B4D3E"/>
          <w:sz w:val="16"/>
          <w:szCs w:val="16"/>
        </w:rPr>
        <w:t xml:space="preserve">Cilacap, Jawa Tengah, Indonesia (Terbuka untuk On-Site / Hybrid / Relokasi)
</w:t>
      </w:r>
      <w:r>
        <w:rPr>
          <w:sz w:val="16"/>
          <w:szCs w:val="16"/>
        </w:rPr>
        <w:t xml:space="preserve">ayb.n1994@gmail.com  •  +62 895 3491 77555  •  linkedin.com/in/ayub-numan-871406155  •  portfolio-seven-theta-bovx80a70x.vercel.app</w:t>
      </w:r>
    </w:p>
    <w:p>
      <w:pPr>
        <w:pBdr>
          <w:bottom w:val="single" w:color="CBD5E0" w:sz="6" w:space="3"/>
        </w:pBdr>
        <w:spacing w:after="60" w:before="110"/>
      </w:pPr>
      <w:r>
        <w:rPr>
          <w:b/>
          <w:bCs/>
          <w:color w:val="1A202C"/>
          <w:sz w:val="19"/>
          <w:szCs w:val="19"/>
        </w:rPr>
        <w:t xml:space="preserve">RINGKASAN PROFESIONAL</w:t>
      </w:r>
    </w:p>
    <w:p>
      <w:pPr>
        <w:spacing w:after="100"/>
        <w:jc w:val="both"/>
      </w:pPr>
      <w:r>
        <w:rPr>
          <w:sz w:val="17"/>
          <w:szCs w:val="17"/>
        </w:rPr>
        <w:t xml:space="preserve">Sarjana Hukum Ekonomi Syariah (S.H. - Muamalah) dengan pengalaman lebih dari 2 tahun dalam tata kelola administrasi keuangan, pencatatan transaksi berpasangan (double-entry), dan perancangan sistem akuntansi di lingkungan yayasan/organisasi nirlaba Islam. Memiliki pemahaman mendalam tentang fikih muamalah dan akad-akad syariah (Mudharabah, Musyarakah, Murabahah, Ijarah, Qardh) untuk pencatatan simpanan, pembiayaan, pengakuan pendapatan, serta kalkulasi bagi hasil koperasi. Terbukti andal dalam penyusunan laporan keuangan yayasan/koperasi (Laporan Arus Kas/Cashflow, Laporan Realisasi Anggaran/LRA, Neraca Saldo, Laporan Operasional), rekonsiliasi berkala rekening bank, pengarsipan bukti transaksi tertib, dan pemenuhan compliance audit lembaga. Mahir mengoperasikan Microsoft Excel / Google Sheets tingkat lanjut (Pivot Table, VLOOKUP/XLOOKUP, rekonsiliasi otomatis) serta aplikasi software akuntansi. Berintegritas tinggi, teliti (detail-oriented), amanah, dan berkomitmen penuh menjaga kerahasiaan keuangan lembaga.</w:t>
      </w:r>
    </w:p>
    <w:p>
      <w:pPr>
        <w:pBdr>
          <w:bottom w:val="single" w:color="CBD5E0" w:sz="6" w:space="3"/>
        </w:pBdr>
        <w:spacing w:after="60" w:before="110"/>
      </w:pPr>
      <w:r>
        <w:rPr>
          <w:b/>
          <w:bCs/>
          <w:color w:val="1A202C"/>
          <w:sz w:val="19"/>
          <w:szCs w:val="19"/>
        </w:rPr>
        <w:t xml:space="preserve">KOMPETENSI UTAMA KEUANGAN &amp; AKUNTANSI SYARIAH</w:t>
      </w:r>
    </w:p>
    <w:p>
      <w:pPr>
        <w:spacing w:after="30"/>
      </w:pPr>
      <w:r>
        <w:rPr>
          <w:b/>
          <w:bCs/>
          <w:color w:val="2D3748"/>
          <w:sz w:val="16"/>
          <w:szCs w:val="16"/>
        </w:rPr>
        <w:t xml:space="preserve">Akuntansi &amp; Akad Syariah: </w:t>
      </w:r>
      <w:r>
        <w:rPr>
          <w:color w:val="4A5568"/>
          <w:sz w:val="16"/>
          <w:szCs w:val="16"/>
        </w:rPr>
        <w:t xml:space="preserve">Pencatatan &amp; Penjurnalan Transaksi Syariah, Akad-Akad Muamalah (Mudharabah, Musyarakah, Murabahah, Wadiah, Qardh), Pencatatan Simpanan Anggota &amp; Pembiayaan Koperasi, Kalkulasi Pengakuan Pendapatan &amp; Bagi Hasil (Nisbah), Penyusunan Laporan Keuangan (Cashflow, LRA, Neraca, Laporan Operasional), Prinsip Akuntansi Berpasangan (Double-Entry Bookkeeping)</w:t>
      </w:r>
    </w:p>
    <w:p>
      <w:pPr>
        <w:spacing w:after="30"/>
      </w:pPr>
      <w:r>
        <w:rPr>
          <w:b/>
          <w:bCs/>
          <w:color w:val="2D3748"/>
          <w:sz w:val="16"/>
          <w:szCs w:val="16"/>
        </w:rPr>
        <w:t xml:space="preserve">Rekonsiliasi &amp; Audit Compliance: </w:t>
      </w:r>
      <w:r>
        <w:rPr>
          <w:color w:val="4A5568"/>
          <w:sz w:val="16"/>
          <w:szCs w:val="16"/>
        </w:rPr>
        <w:t xml:space="preserve">Rekonsiliasi Rekening Bank Berkala, Pemeriksaan Silang (3-Way Matching Bukti Kas/Invoice/Kwitansi), Audit Compliance &amp; Penyiapan Kertas Kerja Audit Yayasan/NGO, Pencegahan Selisih &amp; Deteksi Dini Anomali Transaksi, Pengendalian Internal (Segregation of Duties / Maker-Checker)</w:t>
      </w:r>
    </w:p>
    <w:p>
      <w:pPr>
        <w:spacing w:after="30"/>
      </w:pPr>
      <w:r>
        <w:rPr>
          <w:b/>
          <w:bCs/>
          <w:color w:val="2D3748"/>
          <w:sz w:val="16"/>
          <w:szCs w:val="16"/>
        </w:rPr>
        <w:t xml:space="preserve">Aplikasi Keuangan &amp; Spreadsheet: </w:t>
      </w:r>
      <w:r>
        <w:rPr>
          <w:color w:val="4A5568"/>
          <w:sz w:val="16"/>
          <w:szCs w:val="16"/>
        </w:rPr>
        <w:t xml:space="preserve">Microsoft Excel &amp; Google Sheets Mahir (Pivot Table, VLOOKUP/XLOOKUP, SUMIFS, Data Validation), Pembuatan Template Rekonsiliasi Otomatis &amp; Cashflow Modeling, Penguasaan Aplikasi Akuntansi &amp; Sistem Core Financial ERP, Manajemen &amp; Pengarsipan Digital Dokumen Keuangan Terorganisir</w:t>
      </w:r>
    </w:p>
    <w:p>
      <w:pPr>
        <w:spacing w:after="30"/>
      </w:pPr>
      <w:r>
        <w:rPr>
          <w:b/>
          <w:bCs/>
          <w:color w:val="2D3748"/>
          <w:sz w:val="16"/>
          <w:szCs w:val="16"/>
        </w:rPr>
        <w:t xml:space="preserve">Tata Kelola &amp; Integritas: </w:t>
      </w:r>
      <w:r>
        <w:rPr>
          <w:color w:val="4A5568"/>
          <w:sz w:val="16"/>
          <w:szCs w:val="16"/>
        </w:rPr>
        <w:t xml:space="preserve">Amanah, Integritas Tinggi &amp; Komitmen Menjaga Kerahasiaan Keuangan, Sangat Teliti &amp; Detail-Oriented terhadap Angka Transaksi, Komunikasi Kolaboratif Lintas Tim (FAT, Program, Pengurus Koperasi), Terbiasa Bekerja dengan Target &amp; Tenggat Waktu (Deadline Laporan)</w:t>
      </w:r>
    </w:p>
    <w:p>
      <w:pPr>
        <w:pBdr>
          <w:bottom w:val="single" w:color="CBD5E0" w:sz="6" w:space="3"/>
        </w:pBdr>
        <w:spacing w:after="60" w:before="110"/>
      </w:pPr>
      <w:r>
        <w:rPr>
          <w:b/>
          <w:bCs/>
          <w:color w:val="1A202C"/>
          <w:sz w:val="19"/>
          <w:szCs w:val="19"/>
        </w:rPr>
        <w:t xml:space="preserve">PENGALAMAN KERJA PROFESIONAL DI LINGKUNGAN YAYASAN/ORGANISASI</w:t>
      </w:r>
    </w:p>
    <w:p>
      <w:pPr>
        <w:spacing w:after="20" w:before="60"/>
      </w:pPr>
      <w:r>
        <w:rPr>
          <w:b/>
          <w:bCs/>
          <w:color w:val="1A202C"/>
          <w:sz w:val="18"/>
          <w:szCs w:val="18"/>
        </w:rPr>
        <w:t xml:space="preserve">Pengelola Sistem &amp; Tata Kelola Keuangan Lembaga</w:t>
      </w:r>
      <w:r>
        <w:rPr>
          <w:color w:val="4A5568"/>
          <w:sz w:val="17"/>
          <w:szCs w:val="17"/>
        </w:rPr>
        <w:t xml:space="preserve"> (Lead Financial Systems &amp; Administrative Governance)</w:t>
      </w:r>
      <w:r>
        <w:rPr>
          <w:b/>
          <w:bCs/>
          <w:color w:val="4A5568"/>
          <w:sz w:val="16"/>
          <w:szCs w:val="16"/>
        </w:rPr>
        <w:t xml:space="preserve">	2024 – Sekarang</w:t>
      </w:r>
    </w:p>
    <w:p>
      <w:pPr>
        <w:spacing w:after="40"/>
      </w:pPr>
      <w:r>
        <w:rPr>
          <w:i/>
          <w:iCs/>
          <w:color w:val="718096"/>
          <w:sz w:val="16"/>
          <w:szCs w:val="16"/>
        </w:rPr>
        <w:t xml:space="preserve">LP Ma'arif NU Cilacap (Yayasan / Badan Pengelola Pendidikan Islam) • Cilacap, Jawa Tengah, Indonesia</w:t>
      </w:r>
    </w:p>
    <w:p>
      <w:pPr>
        <w:pStyle w:val="ListParagraph"/>
        <w:numPr>
          <w:ilvl w:val="0"/>
          <w:numId w:val="1"/>
        </w:numPr>
        <w:spacing w:after="25"/>
        <w:jc w:val="both"/>
      </w:pPr>
      <w:r>
        <w:rPr>
          <w:color w:val="2D3748"/>
          <w:sz w:val="16"/>
          <w:szCs w:val="16"/>
        </w:rPr>
        <w:t xml:space="preserve">Mengelola administrasi dan pengawasan tata kelola keuangan untuk 270+ satuan pendidikan di bawah naungan yayasan, memastikan setiap pengeluaran dan pemasukan dana tercatat akuntabel dan transparan.</w:t>
      </w:r>
    </w:p>
    <w:p>
      <w:pPr>
        <w:pStyle w:val="ListParagraph"/>
        <w:numPr>
          <w:ilvl w:val="0"/>
          <w:numId w:val="1"/>
        </w:numPr>
        <w:spacing w:after="25"/>
        <w:jc w:val="both"/>
      </w:pPr>
      <w:r>
        <w:rPr>
          <w:color w:val="2D3748"/>
          <w:sz w:val="16"/>
          <w:szCs w:val="16"/>
        </w:rPr>
        <w:t xml:space="preserve">Merancang dan menerapkan Sistem Akuntansi Keuangan Lembaga (Core Financial ERP) berbasis kaidah pencatatan double-entry (Debit = Kredit) dengan prinsip pembagian tugas Maker-Checker (Segregation of Duties) guna mencegah kebocoran dana dan fraud.</w:t>
      </w:r>
    </w:p>
    <w:p>
      <w:pPr>
        <w:pStyle w:val="ListParagraph"/>
        <w:numPr>
          <w:ilvl w:val="0"/>
          <w:numId w:val="1"/>
        </w:numPr>
        <w:spacing w:after="25"/>
        <w:jc w:val="both"/>
      </w:pPr>
      <w:r>
        <w:rPr>
          <w:color w:val="2D3748"/>
          <w:sz w:val="16"/>
          <w:szCs w:val="16"/>
        </w:rPr>
        <w:t xml:space="preserve">Menyusun prosedur pencatatan jurnal transaksi, pengelompokan bagan akun (Chart of Accounts / COA), serta penyusunan neraca saldo percobaan (trial balance) secara tertib dan presisi.</w:t>
      </w:r>
    </w:p>
    <w:p>
      <w:pPr>
        <w:pStyle w:val="ListParagraph"/>
        <w:numPr>
          <w:ilvl w:val="0"/>
          <w:numId w:val="1"/>
        </w:numPr>
        <w:spacing w:after="25"/>
        <w:jc w:val="both"/>
      </w:pPr>
      <w:r>
        <w:rPr>
          <w:color w:val="2D3748"/>
          <w:sz w:val="16"/>
          <w:szCs w:val="16"/>
        </w:rPr>
        <w:t xml:space="preserve">Melakukan rekonsiliasi mutasi kas harian, rekonsiliasi bank, dan audit internal terhadap ribuan bukti setor/transaksi berkala dengan tingkat akurasi 100% tanpa selisih neraca.</w:t>
      </w:r>
    </w:p>
    <w:p>
      <w:pPr>
        <w:pStyle w:val="ListParagraph"/>
        <w:numPr>
          <w:ilvl w:val="0"/>
          <w:numId w:val="1"/>
        </w:numPr>
        <w:spacing w:after="25"/>
        <w:jc w:val="both"/>
      </w:pPr>
      <w:r>
        <w:rPr>
          <w:color w:val="2D3748"/>
          <w:sz w:val="16"/>
          <w:szCs w:val="16"/>
        </w:rPr>
        <w:t xml:space="preserve">Mengamankan dan menertibkan pengarsipan ribuan dokumen bukti transaksi, kuitansi, dan berkas pertanggungjawaban keuangan lembaga guna memastikan kesiapan audit berkala (audit readiness).</w:t>
      </w:r>
    </w:p>
    <w:p>
      <w:pPr>
        <w:pStyle w:val="ListParagraph"/>
        <w:numPr>
          <w:ilvl w:val="0"/>
          <w:numId w:val="1"/>
        </w:numPr>
        <w:spacing w:after="25"/>
        <w:jc w:val="both"/>
      </w:pPr>
      <w:r>
        <w:rPr>
          <w:color w:val="2D3748"/>
          <w:sz w:val="16"/>
          <w:szCs w:val="16"/>
        </w:rPr>
        <w:t xml:space="preserve">Membangun dashboard pelaporan arus kas (Cashflow) dan rekapitulasi realisasi anggaran berbasis spreadsheet dan web database untuk kebutuhan laporan rapat pengurus yayasan.</w:t>
      </w:r>
    </w:p>
    <w:p>
      <w:pPr>
        <w:pBdr>
          <w:bottom w:val="single" w:color="CBD5E0" w:sz="6" w:space="3"/>
        </w:pBdr>
        <w:spacing w:after="60" w:before="110"/>
      </w:pPr>
      <w:r>
        <w:rPr>
          <w:b/>
          <w:bCs/>
          <w:color w:val="1A202C"/>
          <w:sz w:val="19"/>
          <w:szCs w:val="19"/>
        </w:rPr>
        <w:t xml:space="preserve">REKAM JEJAK TATA KELOLA KEUANGAN &amp; SISTEM AKUNTANSI</w:t>
      </w:r>
    </w:p>
    <w:p>
      <w:pPr>
        <w:spacing w:after="15" w:before="60"/>
      </w:pPr>
      <w:r>
        <w:rPr>
          <w:b/>
          <w:bCs/>
          <w:color w:val="1A202C"/>
          <w:sz w:val="17"/>
          <w:szCs w:val="17"/>
        </w:rPr>
        <w:t xml:space="preserve">Sistem Keuangan Lembaga (Institutional Core Financial Ledger)</w:t>
      </w:r>
      <w:r>
        <w:rPr>
          <w:i/>
          <w:iCs/>
          <w:color w:val="4A5568"/>
          <w:sz w:val="15"/>
          <w:szCs w:val="15"/>
        </w:rPr>
        <w:t xml:space="preserve">	Prinsip Akuntansi Syariah, Double-Entry Bookkeeping, Money Value Object, Maker-Checker Verification</w:t>
      </w:r>
    </w:p>
    <w:p>
      <w:pPr>
        <w:pStyle w:val="ListParagraph"/>
        <w:numPr>
          <w:ilvl w:val="0"/>
          <w:numId w:val="1"/>
        </w:numPr>
        <w:spacing w:after="20"/>
        <w:jc w:val="both"/>
      </w:pPr>
      <w:r>
        <w:rPr>
          <w:color w:val="2D3748"/>
          <w:sz w:val="16"/>
          <w:szCs w:val="16"/>
        </w:rPr>
        <w:t xml:space="preserve">Merancang mesin pembukuan buku besar (general ledger) terpadu dengan validasi matematis mutlak bahwa total debit selalu sama dengan kredit pada setiap posting jurnal.</w:t>
      </w:r>
    </w:p>
    <w:p>
      <w:pPr>
        <w:pStyle w:val="ListParagraph"/>
        <w:numPr>
          <w:ilvl w:val="0"/>
          <w:numId w:val="1"/>
        </w:numPr>
        <w:spacing w:after="20"/>
        <w:jc w:val="both"/>
      </w:pPr>
      <w:r>
        <w:rPr>
          <w:color w:val="2D3748"/>
          <w:sz w:val="16"/>
          <w:szCs w:val="16"/>
        </w:rPr>
        <w:t xml:space="preserve">Menerapkan prinsip Money Value Object untuk mengeliminasi potensi galat pembulatan desimal nilai uang, serta mekanisme alur persetujuan transaksi berjenjang (Draft -&gt; Verified -&gt; Posted).</w:t>
      </w:r>
    </w:p>
    <w:p>
      <w:pPr>
        <w:spacing w:after="15" w:before="60"/>
      </w:pPr>
      <w:r>
        <w:rPr>
          <w:b/>
          <w:bCs/>
          <w:color w:val="1A202C"/>
          <w:sz w:val="17"/>
          <w:szCs w:val="17"/>
        </w:rPr>
        <w:t xml:space="preserve">Koneksi Santri — Tata Kelola Dompet Nontunai &amp; Pembukuan Yayasan</w:t>
      </w:r>
      <w:r>
        <w:rPr>
          <w:i/>
          <w:iCs/>
          <w:color w:val="4A5568"/>
          <w:sz w:val="15"/>
          <w:szCs w:val="15"/>
        </w:rPr>
        <w:t xml:space="preserve">	Closed-Loop Wallet Ledger, Rekonsiliasi Kasir Harian, Manajemen SPP Berkala, Laporan Kas</w:t>
      </w:r>
    </w:p>
    <w:p>
      <w:pPr>
        <w:pStyle w:val="ListParagraph"/>
        <w:numPr>
          <w:ilvl w:val="0"/>
          <w:numId w:val="1"/>
        </w:numPr>
        <w:spacing w:after="20"/>
        <w:jc w:val="both"/>
      </w:pPr>
      <w:r>
        <w:rPr>
          <w:color w:val="2D3748"/>
          <w:sz w:val="16"/>
          <w:szCs w:val="16"/>
        </w:rPr>
        <w:t xml:space="preserve">Membangun tata kelola dompet simpanan digital tertutup (closed-loop) untuk transaksi nontunai santri dengan batas limit harian, mencegah kecurangan transaksi kas dan kebocoran dana.</w:t>
      </w:r>
    </w:p>
    <w:p>
      <w:pPr>
        <w:pStyle w:val="ListParagraph"/>
        <w:numPr>
          <w:ilvl w:val="0"/>
          <w:numId w:val="1"/>
        </w:numPr>
        <w:spacing w:after="20"/>
        <w:jc w:val="both"/>
      </w:pPr>
      <w:r>
        <w:rPr>
          <w:color w:val="2D3748"/>
          <w:sz w:val="16"/>
          <w:szCs w:val="16"/>
        </w:rPr>
        <w:t xml:space="preserve">Melakukan rekonsiliasi kasir kas harian kantin serta pelaporan penagihan iuran/SPP berkala yayasan dengan integrasi rekapitulasi data keuangan real-time.</w:t>
      </w:r>
    </w:p>
    <w:p>
      <w:pPr>
        <w:spacing w:after="15" w:before="60"/>
      </w:pPr>
      <w:r>
        <w:rPr>
          <w:b/>
          <w:bCs/>
          <w:color w:val="1A202C"/>
          <w:sz w:val="17"/>
          <w:szCs w:val="17"/>
        </w:rPr>
        <w:t xml:space="preserve">Kiro Retail &amp; Inventory Accounting — Rekonsiliasi Kas &amp; Pengadaan</w:t>
      </w:r>
      <w:r>
        <w:rPr>
          <w:i/>
          <w:iCs/>
          <w:color w:val="4A5568"/>
          <w:sz w:val="15"/>
          <w:szCs w:val="15"/>
        </w:rPr>
        <w:t xml:space="preserve">	3-Way Matching (PR/PO/Penerimaan), Valuasi Persediaan WAC/FIFO, Rekonsiliasi Kas Harian</w:t>
      </w:r>
    </w:p>
    <w:p>
      <w:pPr>
        <w:pStyle w:val="ListParagraph"/>
        <w:numPr>
          <w:ilvl w:val="0"/>
          <w:numId w:val="1"/>
        </w:numPr>
        <w:spacing w:after="20"/>
        <w:jc w:val="both"/>
      </w:pPr>
      <w:r>
        <w:rPr>
          <w:color w:val="2D3748"/>
          <w:sz w:val="16"/>
          <w:szCs w:val="16"/>
        </w:rPr>
        <w:t xml:space="preserve">Menerapkan sistem verifikasi pengadaan 3-way matching (Purchase Request, Purchase Order, dan Bukti Penerimaan Barang) untuk mencegah pembayaran ganda atau fiktif.</w:t>
      </w:r>
    </w:p>
    <w:p>
      <w:pPr>
        <w:pStyle w:val="ListParagraph"/>
        <w:numPr>
          <w:ilvl w:val="0"/>
          <w:numId w:val="1"/>
        </w:numPr>
        <w:spacing w:after="20"/>
        <w:jc w:val="both"/>
      </w:pPr>
      <w:r>
        <w:rPr>
          <w:color w:val="2D3748"/>
          <w:sz w:val="16"/>
          <w:szCs w:val="16"/>
        </w:rPr>
        <w:t xml:space="preserve">Mengelola rekonsiliasi uang kas fisik terhadap buku kas register kasir pada pergantian shift kerja tanpa selisih catatan.</w:t>
      </w:r>
    </w:p>
    <w:p>
      <w:pPr>
        <w:pBdr>
          <w:bottom w:val="single" w:color="CBD5E0" w:sz="6" w:space="3"/>
        </w:pBdr>
        <w:spacing w:after="60" w:before="110"/>
      </w:pPr>
      <w:r>
        <w:rPr>
          <w:b/>
          <w:bCs/>
          <w:color w:val="1A202C"/>
          <w:sz w:val="19"/>
          <w:szCs w:val="19"/>
        </w:rPr>
        <w:t xml:space="preserve">PENDIDIKAN FORMAL</w:t>
      </w:r>
    </w:p>
    <w:p>
      <w:pPr>
        <w:spacing w:after="20" w:before="40"/>
      </w:pPr>
      <w:r>
        <w:rPr>
          <w:b/>
          <w:bCs/>
          <w:color w:val="1A202C"/>
          <w:sz w:val="17"/>
          <w:szCs w:val="17"/>
        </w:rPr>
        <w:t xml:space="preserve">Sarjana Hukum (S.H.) — Hukum Ekonomi Syariah (Muamalah)</w:t>
      </w:r>
      <w:r>
        <w:rPr>
          <w:color w:val="4A5568"/>
          <w:sz w:val="16"/>
          <w:szCs w:val="16"/>
        </w:rPr>
        <w:t xml:space="preserve">	Lulus 2019</w:t>
      </w:r>
    </w:p>
    <w:p>
      <w:pPr>
        <w:spacing w:after="30"/>
      </w:pPr>
      <w:r>
        <w:rPr>
          <w:i/>
          <w:iCs/>
          <w:color w:val="718096"/>
          <w:sz w:val="16"/>
          <w:szCs w:val="16"/>
        </w:rPr>
        <w:t xml:space="preserve">STAI At-Tahdzib Jombang • Jombang, Jawa Timur, Indonesia</w:t>
      </w:r>
    </w:p>
    <w:p>
      <w:pPr>
        <w:spacing w:after="40"/>
      </w:pPr>
      <w:r>
        <w:rPr>
          <w:color w:val="4A5568"/>
          <w:sz w:val="15"/>
          <w:szCs w:val="15"/>
        </w:rPr>
        <w:t xml:space="preserve">Fokus studi mendalam pada Fiqh Muamalah, Hukum Perbankan &amp; Koperasi Syariah, Akad-Akad Transaksi Syariah, Akuntansi Syariah, dan Manajemen Keuangan Islam. Lulus dengan predikat sangat baik dan integritas moral yang teruji.</w:t>
      </w:r>
    </w:p>
    <w:p>
      <w:pPr>
        <w:pBdr>
          <w:bottom w:val="single" w:color="CBD5E0" w:sz="6" w:space="3"/>
        </w:pBdr>
        <w:spacing w:after="60" w:before="110"/>
      </w:pPr>
      <w:r>
        <w:rPr>
          <w:b/>
          <w:bCs/>
          <w:color w:val="1A202C"/>
          <w:sz w:val="19"/>
          <w:szCs w:val="19"/>
        </w:rPr>
        <w:t xml:space="preserve">SERTIFIKASI &amp; KREDENSIAL PENDUKUNG</w:t>
      </w:r>
    </w:p>
    <w:p>
      <w:pPr>
        <w:spacing w:after="20" w:before="40"/>
      </w:pPr>
      <w:r>
        <w:rPr>
          <w:b/>
          <w:bCs/>
          <w:color w:val="1A202C"/>
          <w:sz w:val="17"/>
          <w:szCs w:val="17"/>
        </w:rPr>
        <w:t xml:space="preserve">Spec-Driven Development &amp; Structured Financial Logic</w:t>
      </w:r>
      <w:r>
        <w:rPr>
          <w:color w:val="4A5568"/>
          <w:sz w:val="16"/>
          <w:szCs w:val="16"/>
        </w:rPr>
        <w:t xml:space="preserve">	April 2026</w:t>
      </w:r>
    </w:p>
    <w:p>
      <w:pPr>
        <w:spacing w:after="25"/>
      </w:pPr>
      <w:r>
        <w:rPr>
          <w:i/>
          <w:iCs/>
          <w:color w:val="718096"/>
          <w:sz w:val="16"/>
          <w:szCs w:val="16"/>
        </w:rPr>
        <w:t xml:space="preserve">Dicoding Indonesia (Dicoding Academy) • ID: EYX4Q03J6PDL</w:t>
      </w:r>
    </w:p>
    <w:p>
      <w:pPr>
        <w:spacing w:after="40"/>
      </w:pPr>
      <w:r>
        <w:rPr>
          <w:color w:val="4A5568"/>
          <w:sz w:val="15"/>
          <w:szCs w:val="15"/>
        </w:rPr>
        <w:t xml:space="preserve">Kompetensi terverifikasi dalam perumusan logika terstruktur, spesifikasi kontrak data keuangan yang presisi, dan mitigasi risiko galat perhitungan secara komprehensif.</w:t>
      </w:r>
    </w:p>
    <w:sectPr>
      <w:pgSz w:w="11906" w:h="16838" w:orient="portrait"/>
      <w:pgMar w:top="720" w:right="850" w:bottom="72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2026-10-24T04:09:10.177Z</dcterms:created>
  <dcterms:modified xsi:type="dcterms:W3CDTF">2026-10-24T04:09:10.179Z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