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365D"/>
          <w:sz w:val="28"/>
          <w:szCs w:val="28"/>
        </w:rPr>
        <w:t xml:space="preserve">Ahmad Ayub Nu'man, S.H.</w:t>
      </w:r>
    </w:p>
    <w:p>
      <w:pPr>
        <w:spacing w:after="20"/>
        <w:jc w:val="center"/>
      </w:pPr>
      <w:r>
        <w:rPr>
          <w:b/>
          <w:bCs/>
          <w:color w:val="2B6CB0"/>
          <w:sz w:val="20"/>
          <w:szCs w:val="20"/>
        </w:rPr>
        <w:t xml:space="preserve">INDONESIAN LANGUAGE SPECIALIST &amp; CONTENT STRATEGIST</w:t>
      </w:r>
    </w:p>
    <w:p>
      <w:pPr>
        <w:spacing w:after="40"/>
        <w:jc w:val="center"/>
      </w:pPr>
      <w:r>
        <w:rPr>
          <w:i/>
          <w:iCs/>
          <w:color w:val="4A5568"/>
          <w:sz w:val="16"/>
          <w:szCs w:val="16"/>
        </w:rPr>
        <w:t xml:space="preserve">Native Indonesian (EYD / PUEBI) • AI Data Training &amp; RLHF Evaluation • Content Localization • Legal &amp; Institutional Drafting • Prompt Engineering</w:t>
      </w:r>
    </w:p>
    <w:p>
      <w:pPr>
        <w:spacing w:after="120"/>
        <w:jc w:val="center"/>
      </w:pPr>
      <w:r>
        <w:rPr>
          <w:color w:val="4A5568"/>
          <w:sz w:val="15"/>
          <w:szCs w:val="15"/>
        </w:rPr>
        <w:t xml:space="preserve">Cilacap, Central Java, Indonesia (Open to Remote Worldwide)  •  ayb.n1994@gmail.com  •  +62 895 3491 77555  •  LinkedIn: linkedin.com/in/ayub-numan-871406155</w:t>
      </w:r>
    </w:p>
    <w:p>
      <w:pPr>
        <w:pBdr>
          <w:bottom w:val="single" w:color="1A365D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PROFESSIONAL SUMMARY</w:t>
      </w:r>
    </w:p>
    <w:p>
      <w:pPr>
        <w:spacing w:after="80"/>
        <w:jc w:val="both"/>
      </w:pPr>
      <w:r>
        <w:rPr>
          <w:color w:val="2D3748"/>
          <w:sz w:val="16"/>
          <w:szCs w:val="16"/>
        </w:rPr>
        <w:t xml:space="preserve">Detail-oriented Indonesian Language Specialist, Content Strategist, and Legal Researcher with a Bachelor of Laws (S.H.) degree and extensive experience in institutional communications, textual governance, and content localization. Native Indonesian speaker with authoritative mastery of standard Indonesian grammar, orthography, and syntax (PUEBI/EYD), combined with deep cultural nuance across formal, educational, and colloquial registers. Proven track record directing public messaging, regulatory administrative decrees, and instructional documentation across 270+ institutions. Experienced in leveraging and evaluating Large Language Models (LLMs) including Claude, ChatGPT, and Gemini for prompt engineering, RLHF data annotation, fact-checking, and bilingual translation/localization. Recognized for analytical rigor, ethical integrity, and exceptional written clarity under tight deadlines.</w:t>
      </w:r>
    </w:p>
    <w:p>
      <w:pPr>
        <w:pBdr>
          <w:bottom w:val="single" w:color="1A365D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CORE COMPETENCIES &amp; LINGUISTIC SKILLS</w:t>
      </w:r>
    </w:p>
    <w:p>
      <w:pPr>
        <w:spacing w:after="25"/>
      </w:pPr>
      <w:r>
        <w:rPr>
          <w:b/>
          <w:bCs/>
          <w:color w:val="1A365D"/>
          <w:sz w:val="16"/>
          <w:szCs w:val="16"/>
        </w:rPr>
        <w:t xml:space="preserve">Linguistics &amp; Grammar: </w:t>
      </w:r>
      <w:r>
        <w:rPr>
          <w:color w:val="4A5568"/>
          <w:sz w:val="16"/>
          <w:szCs w:val="16"/>
        </w:rPr>
        <w:t xml:space="preserve">Native Indonesian Fluency &amp; Stylistics, Indonesian Grammar, Syntax &amp; Orthography (PUEBI / EYD), Formal, Administrative &amp; Colloquial Registers, Proofreading, Copy Editing &amp; Linguistic Quality Assurance</w:t>
      </w:r>
    </w:p>
    <w:p>
      <w:pPr>
        <w:spacing w:after="25"/>
      </w:pPr>
      <w:r>
        <w:rPr>
          <w:b/>
          <w:bCs/>
          <w:color w:val="1A365D"/>
          <w:sz w:val="16"/>
          <w:szCs w:val="16"/>
        </w:rPr>
        <w:t xml:space="preserve">Translation &amp; Localization: </w:t>
      </w:r>
      <w:r>
        <w:rPr>
          <w:color w:val="4A5568"/>
          <w:sz w:val="16"/>
          <w:szCs w:val="16"/>
        </w:rPr>
        <w:t xml:space="preserve">Bilingual English to Indonesian Translation &amp; Localization, Cultural Nuance Adaptation &amp; Contextual Transcreation, Terminology Consistency &amp; Glossary Management, Instructional Design &amp; Microcopy Localization</w:t>
      </w:r>
    </w:p>
    <w:p>
      <w:pPr>
        <w:spacing w:after="25"/>
      </w:pPr>
      <w:r>
        <w:rPr>
          <w:b/>
          <w:bCs/>
          <w:color w:val="1A365D"/>
          <w:sz w:val="16"/>
          <w:szCs w:val="16"/>
        </w:rPr>
        <w:t xml:space="preserve">AI Training &amp; Evaluation: </w:t>
      </w:r>
      <w:r>
        <w:rPr>
          <w:color w:val="4A5568"/>
          <w:sz w:val="16"/>
          <w:szCs w:val="16"/>
        </w:rPr>
        <w:t xml:space="preserve">AI Data Annotation &amp; RLHF Model Evaluation, Prompt Engineering &amp; Edge-Case Stress Testing, Hallucination Detection &amp; Factual Verification, AI Safety, Toxicity &amp; Cultural Appropriateness Auditing</w:t>
      </w:r>
    </w:p>
    <w:p>
      <w:pPr>
        <w:spacing w:after="25"/>
      </w:pPr>
      <w:r>
        <w:rPr>
          <w:b/>
          <w:bCs/>
          <w:color w:val="1A365D"/>
          <w:sz w:val="16"/>
          <w:szCs w:val="16"/>
        </w:rPr>
        <w:t xml:space="preserve">Legal &amp; Governance Drafting: </w:t>
      </w:r>
      <w:r>
        <w:rPr>
          <w:color w:val="4A5568"/>
          <w:sz w:val="16"/>
          <w:szCs w:val="16"/>
        </w:rPr>
        <w:t xml:space="preserve">Legal Drafting &amp; Statutory Analysis (S.H. Law Background), Institutional Decree (SK) Drafting &amp; Governance, Contract Analysis &amp; Regulatory Compliance, Administrative Archiving &amp; Quality Standards</w:t>
      </w:r>
    </w:p>
    <w:p>
      <w:pPr>
        <w:spacing w:after="80"/>
      </w:pPr>
      <w:r>
        <w:rPr>
          <w:b/>
          <w:bCs/>
          <w:color w:val="1A365D"/>
          <w:sz w:val="16"/>
          <w:szCs w:val="16"/>
        </w:rPr>
        <w:t xml:space="preserve">Content &amp; Communications: </w:t>
      </w:r>
      <w:r>
        <w:rPr>
          <w:color w:val="4A5568"/>
          <w:sz w:val="16"/>
          <w:szCs w:val="16"/>
        </w:rPr>
        <w:t xml:space="preserve">Persuasive Copywriting &amp; Narrative Storytelling, Public Messaging &amp; Stakeholder Communications, Research, Critical Reasoning &amp; Fact-Checking, Google Workspace, Microsoft Office, Markdown, Notion</w:t>
      </w:r>
    </w:p>
    <w:p>
      <w:pPr>
        <w:pBdr>
          <w:bottom w:val="single" w:color="1A365D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PROFESSIONAL EXPERIENCE</w:t>
      </w:r>
    </w:p>
    <w:p>
      <w:pPr>
        <w:spacing w:after="20" w:before="80"/>
      </w:pPr>
      <w:r>
        <w:rPr>
          <w:b/>
          <w:bCs/>
          <w:color w:val="1A202C"/>
          <w:sz w:val="18"/>
          <w:szCs w:val="18"/>
        </w:rPr>
        <w:t xml:space="preserve">Lead Communications, Documentation &amp; Content Strategy</w:t>
      </w:r>
      <w:r>
        <w:rPr>
          <w:b/>
          <w:bCs/>
          <w:color w:val="4A5568"/>
          <w:sz w:val="16"/>
          <w:szCs w:val="16"/>
        </w:rPr>
        <w:t xml:space="preserve">  (2024 – Present)</w:t>
      </w:r>
    </w:p>
    <w:p>
      <w:pPr>
        <w:spacing w:after="40"/>
      </w:pPr>
      <w:r>
        <w:rPr>
          <w:i/>
          <w:iCs/>
          <w:color w:val="2B6CB0"/>
          <w:sz w:val="15"/>
          <w:szCs w:val="15"/>
        </w:rPr>
        <w:t xml:space="preserve">LP Ma'arif NU Cilacap • Institutional Communications, Policy Drafting &amp; Public Narrative (Cilacap, Central Java, Indonesia)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Direct official public messaging, instructional guides, and formal correspondence for a network of 270+ educational institutions, 2,000+ educators, and 17,000+ students and guardians.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Draft and review administrative decrees (SK), institutional policies, and official circulars, guaranteeing 100% adherence to standard Indonesian grammar (EYD/PUEBI) and legal compliance.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Produce user-centric instructional microcopy and operational manuals, reducing user ambiguity, misinterpretation, and operational support tickets by over 70%.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Employ generative AI platforms (Claude, Gemini, ChatGPT) for prompt experimentation, rapid drafting, tone calibration, and bilingual cross-referencing while ensuring absolute factual precision.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Execute rigorous quality assurance and editorial proofreading across hundreds of pages of institutional publications and digital portal announcements.</w:t>
      </w:r>
    </w:p>
    <w:p>
      <w:pPr>
        <w:spacing w:after="20" w:before="80"/>
      </w:pPr>
      <w:r>
        <w:rPr>
          <w:b/>
          <w:bCs/>
          <w:color w:val="1A202C"/>
          <w:sz w:val="18"/>
          <w:szCs w:val="18"/>
        </w:rPr>
        <w:t xml:space="preserve">Bilingual Content Specialist &amp; Communication Strategist</w:t>
      </w:r>
      <w:r>
        <w:rPr>
          <w:b/>
          <w:bCs/>
          <w:color w:val="4A5568"/>
          <w:sz w:val="16"/>
          <w:szCs w:val="16"/>
        </w:rPr>
        <w:t xml:space="preserve">  (2024 – 2025)</w:t>
      </w:r>
    </w:p>
    <w:p>
      <w:pPr>
        <w:spacing w:after="40"/>
      </w:pPr>
      <w:r>
        <w:rPr>
          <w:i/>
          <w:iCs/>
          <w:color w:val="2B6CB0"/>
          <w:sz w:val="15"/>
          <w:szCs w:val="15"/>
        </w:rPr>
        <w:t xml:space="preserve">Koneksi Santri (Educational ERP &amp; Mobile Portal) • Platform Copywriting, Notification Scripts &amp; Community Storytelling (Central Java, Indonesia (Hybrid))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Crafted empathetic bilingual promotional campaigns, instructional content, and guardian-facing communications, bridging complex technology with culturally respectful Indonesian storytelling.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Authored automated WhatsApp notification scripts and interactive UI microcopy, ensuring a polite, reassuring, and solution-oriented tone of voice for tuition billing and student updates.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Developed engaging short-form educational scripts and social media articles highlighting institutional transparency and student welfare, driving high engagement across community channels.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Conducted A/B testing on messaging hooks and headlines to maximize clarity, readability, and adoption among diverse demographic groups.</w:t>
      </w:r>
    </w:p>
    <w:p>
      <w:pPr>
        <w:pBdr>
          <w:bottom w:val="single" w:color="1A365D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FEATURED COMMUNICATIONS &amp; GOVERNANCE PROJECTS</w:t>
      </w:r>
    </w:p>
    <w:p>
      <w:pPr>
        <w:spacing w:after="20" w:before="80"/>
      </w:pPr>
      <w:r>
        <w:rPr>
          <w:b/>
          <w:bCs/>
          <w:color w:val="1A202C"/>
          <w:sz w:val="17"/>
          <w:szCs w:val="17"/>
        </w:rPr>
        <w:t xml:space="preserve">Enterprise Institutional Communication &amp; Governance Architecture (SIMMACI)</w:t>
      </w:r>
    </w:p>
    <w:p>
      <w:pPr>
        <w:spacing w:after="40"/>
      </w:pPr>
      <w:r>
        <w:rPr>
          <w:i/>
          <w:iCs/>
          <w:color w:val="4A5568"/>
          <w:sz w:val="14"/>
          <w:szCs w:val="14"/>
        </w:rPr>
        <w:t xml:space="preserve">Focus: Administrative Decrees, System Guidelines, Instructional Microcopy &amp; Policy Formulation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Standardized administrative communication templates and automated document formulations (decrees, official certificates) for 270+ educational entities, establishing unified linguistic standards.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Created comprehensive end-user documentation and contextual microcopy, facilitating seamless digital adoption across varied demographic backgrounds and senior staff.</w:t>
      </w:r>
    </w:p>
    <w:p>
      <w:pPr>
        <w:spacing w:after="20" w:before="80"/>
      </w:pPr>
      <w:r>
        <w:rPr>
          <w:b/>
          <w:bCs/>
          <w:color w:val="1A202C"/>
          <w:sz w:val="17"/>
          <w:szCs w:val="17"/>
        </w:rPr>
        <w:t xml:space="preserve">Community Engagement &amp; Educational Storytelling Campaigns</w:t>
      </w:r>
    </w:p>
    <w:p>
      <w:pPr>
        <w:spacing w:after="40"/>
      </w:pPr>
      <w:r>
        <w:rPr>
          <w:i/>
          <w:iCs/>
          <w:color w:val="4A5568"/>
          <w:sz w:val="14"/>
          <w:szCs w:val="14"/>
        </w:rPr>
        <w:t xml:space="preserve">Focus: Social Media Narratives, Short Video Scripts (Reels/TikTok), &amp; Public Articles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Designed persuasive narrative campaigns centered on empathy, shared values, and educational investment, generating overwhelmingly positive stakeholder feedback and strong community trust.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2D3748"/>
          <w:sz w:val="15"/>
          <w:szCs w:val="15"/>
        </w:rPr>
        <w:t xml:space="preserve">Structured persuasive frameworks (PAS &amp; AIDA) to convey technical and financial transparency concepts clearly without technical jargon.</w:t>
      </w:r>
    </w:p>
    <w:p>
      <w:pPr>
        <w:pBdr>
          <w:bottom w:val="single" w:color="1A365D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EDUCATION &amp; QUALIFICATIONS</w:t>
      </w:r>
    </w:p>
    <w:p>
      <w:pPr>
        <w:spacing w:after="20" w:before="80"/>
      </w:pPr>
      <w:r>
        <w:rPr>
          <w:b/>
          <w:bCs/>
          <w:color w:val="1A202C"/>
          <w:sz w:val="17"/>
          <w:szCs w:val="17"/>
        </w:rPr>
        <w:t xml:space="preserve">Bachelor of Laws (S.H.) — Islamic Economic Law — STAI At-Tahdzib Jombang</w:t>
      </w:r>
      <w:r>
        <w:rPr>
          <w:b/>
          <w:bCs/>
          <w:color w:val="4A5568"/>
          <w:sz w:val="15"/>
          <w:szCs w:val="15"/>
        </w:rPr>
        <w:t xml:space="preserve">  (Graduated 2019)</w:t>
      </w:r>
    </w:p>
    <w:p>
      <w:pPr>
        <w:spacing w:after="20"/>
      </w:pPr>
      <w:r>
        <w:rPr>
          <w:i/>
          <w:iCs/>
          <w:color w:val="2B6CB0"/>
          <w:sz w:val="15"/>
          <w:szCs w:val="15"/>
        </w:rPr>
        <w:t xml:space="preserve">Jombang, East Java, Indonesia</w:t>
      </w:r>
    </w:p>
    <w:p>
      <w:pPr>
        <w:spacing w:after="60"/>
      </w:pPr>
      <w:r>
        <w:rPr>
          <w:color w:val="4A5568"/>
          <w:sz w:val="15"/>
          <w:szCs w:val="15"/>
        </w:rPr>
        <w:t xml:space="preserve">Comprehensive academic training in textual interpretation, legal rhetoric, hermeneutics, argumentative logic, statutory drafting, and contractual ethics. Provided rigorous foundation for linguistic precision and analytical reasoning.</w:t>
      </w:r>
    </w:p>
    <w:p>
      <w:pPr>
        <w:pBdr>
          <w:bottom w:val="single" w:color="1A365D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LANGUAGES &amp; CULTURAL COMPETENCE</w:t>
      </w:r>
    </w:p>
    <w:p>
      <w:pPr>
        <w:spacing w:after="20"/>
      </w:pPr>
      <w:r>
        <w:rPr>
          <w:b/>
          <w:bCs/>
          <w:color w:val="1A365D"/>
          <w:sz w:val="16"/>
          <w:szCs w:val="16"/>
        </w:rPr>
        <w:t xml:space="preserve">Indonesian: </w:t>
      </w:r>
      <w:r>
        <w:rPr>
          <w:color w:val="4A5568"/>
          <w:sz w:val="16"/>
          <w:szCs w:val="16"/>
        </w:rPr>
        <w:t xml:space="preserve">Native Speaker (Expert in formal EYD/PUEBI, professional and conversational registers)</w:t>
      </w:r>
    </w:p>
    <w:p>
      <w:pPr>
        <w:spacing w:after="20"/>
      </w:pPr>
      <w:r>
        <w:rPr>
          <w:b/>
          <w:bCs/>
          <w:color w:val="1A365D"/>
          <w:sz w:val="16"/>
          <w:szCs w:val="16"/>
        </w:rPr>
        <w:t xml:space="preserve">English: </w:t>
      </w:r>
      <w:r>
        <w:rPr>
          <w:color w:val="4A5568"/>
          <w:sz w:val="16"/>
          <w:szCs w:val="16"/>
        </w:rPr>
        <w:t xml:space="preserve">Professional Working Proficiency (Fluent written &amp; spoken communication, translation, and localization)</w:t>
      </w:r>
    </w:p>
    <w:p>
      <w:pPr>
        <w:spacing w:after="20"/>
      </w:pPr>
      <w:r>
        <w:rPr>
          <w:b/>
          <w:bCs/>
          <w:color w:val="1A365D"/>
          <w:sz w:val="16"/>
          <w:szCs w:val="16"/>
        </w:rPr>
        <w:t xml:space="preserve">Arabic: </w:t>
      </w:r>
      <w:r>
        <w:rPr>
          <w:color w:val="4A5568"/>
          <w:sz w:val="16"/>
          <w:szCs w:val="16"/>
        </w:rPr>
        <w:t xml:space="preserve">Working Reading Knowledge (Classical and jurisprudential textual analysis)</w:t>
      </w:r>
    </w:p>
    <w:sectPr>
      <w:pgSz w:w="11906" w:h="16838" w:orient="portrait"/>
      <w:pgMar w:top="600" w:right="750" w:bottom="600" w:left="7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2026-10-26T06:48:52.743Z</dcterms:created>
  <dcterms:modified xsi:type="dcterms:W3CDTF">2026-10-26T06:48:52.747Z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