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b/>
          <w:color w:val="0B2545"/>
          <w:sz w:val="48"/>
        </w:rPr>
        <w:t>Pillar A Technical Requirements</w:t>
      </w:r>
    </w:p>
    <w:p>
      <w:pPr>
        <w:spacing w:after="240"/>
      </w:pPr>
      <w:r>
        <w:rPr>
          <w:rFonts w:ascii="Calibri" w:hAnsi="Calibri"/>
          <w:color w:val="4B5563"/>
          <w:sz w:val="24"/>
        </w:rPr>
        <w:t>Ingestion, Structural Parsing, and Legal Truth Database - English Expanded Version</w:t>
      </w:r>
    </w:p>
    <w:tbl>
      <w:tblPr>
        <w:tblW w:type="auto" w:w="0"/>
        <w:jc w:val="center"/>
        <w:tblLayout w:type="fixed"/>
        <w:tblLook w:firstColumn="1" w:firstRow="1" w:lastColumn="0" w:lastRow="0" w:noHBand="0" w:noVBand="1" w:val="04A0"/>
      </w:tblPr>
      <w:tblGrid>
        <w:gridCol w:w="9360"/>
      </w:tblGrid>
      <w:tr>
        <w:tc>
          <w:tcPr>
            <w:tcW w:type="dxa" w:w="9360"/>
            <w:shd w:fill="F2F4F7"/>
            <w:tcBorders>
              <w:top w:val="single" w:sz="3" w:space="0" w:color="D9E0E8"/>
              <w:left w:val="single" w:sz="3" w:space="0" w:color="D9E0E8"/>
              <w:bottom w:val="single" w:sz="3" w:space="0" w:color="D9E0E8"/>
              <w:right w:val="single" w:sz="3" w:space="0" w:color="D9E0E8"/>
              <w:insideH w:val="single" w:sz="3" w:space="0" w:color="D9E0E8"/>
              <w:insideV w:val="single" w:sz="3" w:space="0" w:color="D9E0E8"/>
            </w:tcBorders>
          </w:tcPr>
          <w:p>
            <w:pPr>
              <w:spacing w:after="40"/>
            </w:pPr>
            <w:r>
              <w:rPr>
                <w:rFonts w:ascii="Calibri" w:hAnsi="Calibri"/>
                <w:b/>
                <w:color w:val="1F4D78"/>
              </w:rPr>
              <w:t xml:space="preserve">Document status: </w:t>
            </w:r>
            <w:r>
              <w:rPr>
                <w:rFonts w:ascii="Calibri" w:hAnsi="Calibri"/>
              </w:rPr>
              <w:t>This English version preserves the intent of the original Arabic requirements and expands the technical pillars into implementation-ready detail. It is still an internal planning artifact and should be validated by the legal expert before contractual use.</w:t>
            </w:r>
          </w:p>
        </w:tc>
      </w:tr>
    </w:tbl>
    <w:p>
      <w:pPr>
        <w:pStyle w:val="Heading1"/>
      </w:pPr>
      <w:r>
        <w:t>REAL WORKED EXAMPLE - Arabic/French Law Through Pillar A</w:t>
      </w:r>
    </w:p>
    <w:tbl>
      <w:tblPr>
        <w:tblW w:type="auto" w:w="0"/>
        <w:jc w:val="center"/>
        <w:tblLayout w:type="fixed"/>
        <w:tblLook w:firstColumn="1" w:firstRow="1" w:lastColumn="0" w:lastRow="0" w:noHBand="0" w:noVBand="1" w:val="04A0"/>
      </w:tblPr>
      <w:tblGrid>
        <w:gridCol w:w="9360"/>
      </w:tblGrid>
      <w:tr>
        <w:tc>
          <w:tcPr>
            <w:tcW w:type="dxa" w:w="9360"/>
            <w:shd w:fill="F2F4F7"/>
            <w:tcBorders>
              <w:top w:val="single" w:sz="3" w:space="0" w:color="D9E0E8"/>
              <w:left w:val="single" w:sz="3" w:space="0" w:color="D9E0E8"/>
              <w:bottom w:val="single" w:sz="3" w:space="0" w:color="D9E0E8"/>
              <w:right w:val="single" w:sz="3" w:space="0" w:color="D9E0E8"/>
              <w:insideH w:val="single" w:sz="3" w:space="0" w:color="D9E0E8"/>
              <w:insideV w:val="single" w:sz="3" w:space="0" w:color="D9E0E8"/>
            </w:tcBorders>
          </w:tcPr>
          <w:p>
            <w:pPr>
              <w:spacing w:after="40"/>
            </w:pPr>
            <w:r>
              <w:rPr>
                <w:rFonts w:ascii="Calibri" w:hAnsi="Calibri"/>
                <w:b/>
                <w:color w:val="1F4D78"/>
              </w:rPr>
              <w:t xml:space="preserve">Read this first: </w:t>
            </w:r>
            <w:r>
              <w:rPr>
                <w:rFonts w:ascii="Calibri" w:hAnsi="Calibri"/>
              </w:rPr>
              <w:t>This section is intentionally placed at the front of Pillar A. It shows exactly how a real Arabic/French legal article is transformed by OCR, the structural parser, the loader, and the PostgreSQL truth database.</w:t>
            </w:r>
          </w:p>
        </w:tc>
      </w:tr>
    </w:tbl>
    <w:p>
      <w:r>
        <w:rPr>
          <w:rFonts w:ascii="Calibri" w:hAnsi="Calibri"/>
        </w:rPr>
        <w:t>Real source used for the example: Article 1 of the 2014 Tunisian Constitution. This is not one of the month-one corpora, but it is a clean bilingual legal example. The exact same process must be applied to the Labor Code, Commercial Companies Code, VAT Code, finance laws, and circulars once their official source files are loaded.</w:t>
      </w:r>
    </w:p>
    <w:tbl>
      <w:tblPr>
        <w:tblW w:type="auto" w:w="0"/>
        <w:jc w:val="center"/>
        <w:tblLayout w:type="fixed"/>
        <w:tblLook w:firstColumn="1" w:firstRow="1" w:lastColumn="0" w:lastRow="0" w:noHBand="0" w:noVBand="1" w:val="04A0"/>
      </w:tblPr>
      <w:tblGrid>
        <w:gridCol w:w="4680"/>
        <w:gridCol w:w="4680"/>
      </w:tblGrid>
      <w:tr>
        <w:tc>
          <w:tcPr>
            <w:tcW w:type="dxa" w:w="2304"/>
            <w:shd w:fill="E8EEF5"/>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jc w:val="center"/>
            </w:pPr>
            <w:r>
              <w:rPr>
                <w:rFonts w:ascii="Calibri" w:hAnsi="Calibri"/>
                <w:b/>
                <w:color w:val="0B2545"/>
              </w:rPr>
              <w:t>Stage</w:t>
            </w:r>
          </w:p>
        </w:tc>
        <w:tc>
          <w:tcPr>
            <w:tcW w:type="dxa" w:w="7056"/>
            <w:shd w:fill="E8EEF5"/>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jc w:val="center"/>
            </w:pPr>
            <w:r>
              <w:rPr>
                <w:rFonts w:ascii="Calibri" w:hAnsi="Calibri"/>
                <w:b/>
                <w:color w:val="0B2545"/>
              </w:rPr>
              <w:t>Real Input / Output Example</w:t>
            </w:r>
          </w:p>
        </w:tc>
      </w:tr>
      <w:tr>
        <w:tc>
          <w:tcPr>
            <w:tcW w:type="dxa" w:w="2304"/>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Raw Arabic law text</w:t>
            </w:r>
          </w:p>
        </w:tc>
        <w:tc>
          <w:tcPr>
            <w:tcW w:type="dxa" w:w="7056"/>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الفصل الأول - تونس دولة حرة، مستقلة، ذات سيادة، الإسلام دينها، والعربية لغتها، والجمهورية نظامها.</w:t>
            </w:r>
          </w:p>
        </w:tc>
      </w:tr>
      <w:tr>
        <w:tc>
          <w:tcPr>
            <w:tcW w:type="dxa" w:w="2304"/>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Raw French law text</w:t>
            </w:r>
          </w:p>
        </w:tc>
        <w:tc>
          <w:tcPr>
            <w:tcW w:type="dxa" w:w="7056"/>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Article premier - La Tunisie est un Etat libre, independant et souverain; sa religion est l'Islam, sa langue l'arabe et son regime la Republique.</w:t>
            </w:r>
          </w:p>
        </w:tc>
      </w:tr>
      <w:tr>
        <w:tc>
          <w:tcPr>
            <w:tcW w:type="dxa" w:w="2304"/>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Structural parser decision</w:t>
            </w:r>
          </w:p>
        </w:tc>
        <w:tc>
          <w:tcPr>
            <w:tcW w:type="dxa" w:w="7056"/>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Arabic 'الفصل الأول' and French 'Article premier' are the same legal unit: article_number = 1, article_id = constitution_2014:article-1.</w:t>
            </w:r>
          </w:p>
        </w:tc>
      </w:tr>
      <w:tr>
        <w:tc>
          <w:tcPr>
            <w:tcW w:type="dxa" w:w="2304"/>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Database storage</w:t>
            </w:r>
          </w:p>
        </w:tc>
        <w:tc>
          <w:tcPr>
            <w:tcW w:type="dxa" w:w="7056"/>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Store one legal_article_version row with text_ar, text_fr, source_ref, valid_from, valid_to, status, and hierarchy_path.</w:t>
            </w:r>
          </w:p>
        </w:tc>
      </w:tr>
      <w:tr>
        <w:tc>
          <w:tcPr>
            <w:tcW w:type="dxa" w:w="2304"/>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Downstream use</w:t>
            </w:r>
          </w:p>
        </w:tc>
        <w:tc>
          <w:tcPr>
            <w:tcW w:type="dxa" w:w="7056"/>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Pillar B can later close valid_to; Pillar C can index Arabic and French chunks; Pillar D can cite the article after retrieval.</w:t>
            </w:r>
          </w:p>
        </w:tc>
      </w:tr>
    </w:tbl>
    <w:p/>
    <w:p>
      <w:pPr>
        <w:pStyle w:val="Heading2"/>
      </w:pPr>
      <w:r>
        <w:t>Immediate Parser Output Example</w:t>
      </w:r>
    </w:p>
    <w:tbl>
      <w:tblPr>
        <w:tblW w:type="auto" w:w="0"/>
        <w:tblLayout w:type="fixed"/>
        <w:tblLook w:firstColumn="1" w:firstRow="1" w:lastColumn="0" w:lastRow="0" w:noHBand="0" w:noVBand="1" w:val="04A0"/>
      </w:tblPr>
      <w:tblGrid>
        <w:gridCol w:w="9360"/>
      </w:tblGrid>
      <w:tr>
        <w:tc>
          <w:tcPr>
            <w:tcW w:type="dxa" w:w="9360"/>
            <w:shd w:fill="F8FAFC"/>
            <w:tcBorders>
              <w:top w:val="single" w:sz="3" w:space="0" w:color="D6DEE8"/>
              <w:left w:val="single" w:sz="3" w:space="0" w:color="D6DEE8"/>
              <w:bottom w:val="single" w:sz="3" w:space="0" w:color="D6DEE8"/>
              <w:right w:val="single" w:sz="3" w:space="0" w:color="D6DEE8"/>
              <w:insideH w:val="single" w:sz="3" w:space="0" w:color="D6DEE8"/>
              <w:insideV w:val="single" w:sz="3" w:space="0" w:color="D6DEE8"/>
            </w:tcBorders>
          </w:tcPr>
          <w:p>
            <w:pPr>
              <w:spacing w:after="0"/>
            </w:pPr>
            <w:r>
              <w:rPr>
                <w:rFonts w:ascii="Consolas" w:hAnsi="Consolas"/>
                <w:color w:val="111827"/>
                <w:sz w:val="19"/>
              </w:rPr>
              <w:t>{</w:t>
              <w:br/>
              <w:t xml:space="preserve">  "article_id": "constitution_2014:article-1",</w:t>
              <w:br/>
              <w:t xml:space="preserve">  "article_number": "1",</w:t>
              <w:br/>
              <w:t xml:space="preserve">  "display_number_ar": "الفصل الأول",</w:t>
              <w:br/>
              <w:t xml:space="preserve">  "display_number_fr": "Article premier",</w:t>
              <w:br/>
              <w:t xml:space="preserve">  "hierarchy_path": "Chapter I &gt; General provisions",</w:t>
              <w:br/>
              <w:t xml:space="preserve">  "text_ar": "تونس دولة حرة، مستقلة، ذات سيادة، الإسلام دينها، والعربية لغتها، والجمهورية نظامها.",</w:t>
              <w:br/>
              <w:t xml:space="preserve">  "text_fr": "La Tunisie est un Etat libre, independant et souverain; sa religion est l'Islam, sa langue l'arabe et son regime la Republique.",</w:t>
              <w:br/>
              <w:t xml:space="preserve">  "source_spans": [</w:t>
              <w:br/>
              <w:t xml:space="preserve">    {"page_id": "p0007", "block_id": "p0007-b02", "language": "ar"},</w:t>
              <w:br/>
              <w:t xml:space="preserve">    {"page_id": "p0008", "block_id": "p0008-b01", "language": "fr"}</w:t>
              <w:br/>
              <w:t xml:space="preserve">  ],</w:t>
              <w:br/>
              <w:t xml:space="preserve">  "validation_status": "accepted"</w:t>
              <w:br/>
              <w:t>}</w:t>
            </w:r>
          </w:p>
        </w:tc>
      </w:tr>
    </w:tbl>
    <w:p/>
    <w:p>
      <w:pPr>
        <w:pStyle w:val="Heading2"/>
      </w:pPr>
      <w:r>
        <w:t>Immediate Database Row Example</w:t>
      </w:r>
    </w:p>
    <w:tbl>
      <w:tblPr>
        <w:tblW w:type="auto" w:w="0"/>
        <w:tblLayout w:type="fixed"/>
        <w:tblLook w:firstColumn="1" w:firstRow="1" w:lastColumn="0" w:lastRow="0" w:noHBand="0" w:noVBand="1" w:val="04A0"/>
      </w:tblPr>
      <w:tblGrid>
        <w:gridCol w:w="9360"/>
      </w:tblGrid>
      <w:tr>
        <w:tc>
          <w:tcPr>
            <w:tcW w:type="dxa" w:w="9360"/>
            <w:shd w:fill="F8FAFC"/>
            <w:tcBorders>
              <w:top w:val="single" w:sz="3" w:space="0" w:color="D6DEE8"/>
              <w:left w:val="single" w:sz="3" w:space="0" w:color="D6DEE8"/>
              <w:bottom w:val="single" w:sz="3" w:space="0" w:color="D6DEE8"/>
              <w:right w:val="single" w:sz="3" w:space="0" w:color="D6DEE8"/>
              <w:insideH w:val="single" w:sz="3" w:space="0" w:color="D6DEE8"/>
              <w:insideV w:val="single" w:sz="3" w:space="0" w:color="D6DEE8"/>
            </w:tcBorders>
          </w:tcPr>
          <w:p>
            <w:pPr>
              <w:spacing w:after="0"/>
            </w:pPr>
            <w:r>
              <w:rPr>
                <w:rFonts w:ascii="Consolas" w:hAnsi="Consolas"/>
                <w:color w:val="111827"/>
                <w:sz w:val="19"/>
              </w:rPr>
              <w:t>{</w:t>
              <w:br/>
              <w:t xml:space="preserve">  "version_id": "example-version-constitution-2014-article-1",</w:t>
              <w:br/>
              <w:t xml:space="preserve">  "article_id": "constitution_2014:article-1",</w:t>
              <w:br/>
              <w:t xml:space="preserve">  "code_id": "constitution_2014",</w:t>
              <w:br/>
              <w:t xml:space="preserve">  "article_number": "1",</w:t>
              <w:br/>
              <w:t xml:space="preserve">  "hierarchy_path": "Chapter I &gt; General provisions",</w:t>
              <w:br/>
              <w:t xml:space="preserve">  "text_ar": "تونس دولة حرة، مستقلة، ذات سيادة، الإسلام دينها، والعربية لغتها، والجمهورية نظامها.",</w:t>
              <w:br/>
              <w:t xml:space="preserve">  "text_fr": "La Tunisie est un Etat libre, independant et souverain; sa religion est l'Islam, sa langue l'arabe et son regime la Republique.",</w:t>
              <w:br/>
              <w:t xml:space="preserve">  "valid_from": "2014-02-10",</w:t>
              <w:br/>
              <w:t xml:space="preserve">  "valid_to": "2022-08-15",</w:t>
              <w:br/>
              <w:t xml:space="preserve">  "status": "superseded",</w:t>
              <w:br/>
              <w:t xml:space="preserve">  "source_ref": {</w:t>
              <w:br/>
              <w:t xml:space="preserve">    "source_id": "src-constitution-2014-ar-fr",</w:t>
              <w:br/>
              <w:t xml:space="preserve">    "official_reference": "Replace with official publication or JORT reference after legal verification"</w:t>
              <w:br/>
              <w:t xml:space="preserve">  }</w:t>
              <w:br/>
              <w:t>}</w:t>
            </w:r>
          </w:p>
        </w:tc>
      </w:tr>
    </w:tbl>
    <w:p/>
    <w:p>
      <w:pPr>
        <w:pStyle w:val="Heading2"/>
      </w:pPr>
      <w:r>
        <w:t>Pipeline in One View</w:t>
      </w:r>
    </w:p>
    <w:tbl>
      <w:tblPr>
        <w:tblW w:type="auto" w:w="0"/>
        <w:jc w:val="center"/>
        <w:tblLayout w:type="fixed"/>
        <w:tblLook w:firstColumn="1" w:firstRow="1" w:lastColumn="0" w:lastRow="0" w:noHBand="0" w:noVBand="1" w:val="04A0"/>
      </w:tblPr>
      <w:tblGrid>
        <w:gridCol w:w="4680"/>
        <w:gridCol w:w="4680"/>
      </w:tblGrid>
      <w:tr>
        <w:tc>
          <w:tcPr>
            <w:tcW w:type="dxa" w:w="2592"/>
            <w:shd w:fill="E8EEF5"/>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jc w:val="center"/>
            </w:pPr>
            <w:r>
              <w:rPr>
                <w:rFonts w:ascii="Calibri" w:hAnsi="Calibri"/>
                <w:b/>
                <w:color w:val="0B2545"/>
              </w:rPr>
              <w:t>Pipeline Step</w:t>
            </w:r>
          </w:p>
        </w:tc>
        <w:tc>
          <w:tcPr>
            <w:tcW w:type="dxa" w:w="6768"/>
            <w:shd w:fill="E8EEF5"/>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jc w:val="center"/>
            </w:pPr>
            <w:r>
              <w:rPr>
                <w:rFonts w:ascii="Calibri" w:hAnsi="Calibri"/>
                <w:b/>
                <w:color w:val="0B2545"/>
              </w:rPr>
              <w:t>What Happens to the Real Example</w:t>
            </w:r>
          </w:p>
        </w:tc>
      </w:tr>
      <w:tr>
        <w:tc>
          <w:tcPr>
            <w:tcW w:type="dxa" w:w="2592"/>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1. Raw zone</w:t>
            </w:r>
          </w:p>
        </w:tc>
        <w:tc>
          <w:tcPr>
            <w:tcW w:type="dxa" w:w="6768"/>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Arabic and French source PDFs are stored unchanged with manifest.json and sha256 checksums.</w:t>
            </w:r>
          </w:p>
        </w:tc>
      </w:tr>
      <w:tr>
        <w:tc>
          <w:tcPr>
            <w:tcW w:type="dxa" w:w="2592"/>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2. OCR/layout</w:t>
            </w:r>
          </w:p>
        </w:tc>
        <w:tc>
          <w:tcPr>
            <w:tcW w:type="dxa" w:w="6768"/>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The Arabic heading/body and French heading/body are detected as article blocks with page coordinates.</w:t>
            </w:r>
          </w:p>
        </w:tc>
      </w:tr>
      <w:tr>
        <w:tc>
          <w:tcPr>
            <w:tcW w:type="dxa" w:w="2592"/>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3. Structural parser</w:t>
            </w:r>
          </w:p>
        </w:tc>
        <w:tc>
          <w:tcPr>
            <w:tcW w:type="dxa" w:w="6768"/>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The parser maps الفصل الأول and Article premier to one canonical article_number = 1.</w:t>
            </w:r>
          </w:p>
        </w:tc>
      </w:tr>
      <w:tr>
        <w:tc>
          <w:tcPr>
            <w:tcW w:type="dxa" w:w="2592"/>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4. Validator</w:t>
            </w:r>
          </w:p>
        </w:tc>
        <w:tc>
          <w:tcPr>
            <w:tcW w:type="dxa" w:w="6768"/>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Validator checks non-empty text, source spans, bilingual alignment, and no duplicate Article 1.</w:t>
            </w:r>
          </w:p>
        </w:tc>
      </w:tr>
      <w:tr>
        <w:tc>
          <w:tcPr>
            <w:tcW w:type="dxa" w:w="2592"/>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5. Loader</w:t>
            </w:r>
          </w:p>
        </w:tc>
        <w:tc>
          <w:tcPr>
            <w:tcW w:type="dxa" w:w="6768"/>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Loader inserts or updates one legal_article_version row. Re-running the same batch must not duplicate it.</w:t>
            </w:r>
          </w:p>
        </w:tc>
      </w:tr>
      <w:tr>
        <w:tc>
          <w:tcPr>
            <w:tcW w:type="dxa" w:w="2592"/>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6. Handoff</w:t>
            </w:r>
          </w:p>
        </w:tc>
        <w:tc>
          <w:tcPr>
            <w:tcW w:type="dxa" w:w="6768"/>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Pillar B receives temporal-ready records; Pillar C receives read views for indexing.</w:t>
            </w:r>
          </w:p>
        </w:tc>
      </w:tr>
    </w:tbl>
    <w:p/>
    <w:p>
      <w:pPr>
        <w:pStyle w:val="Heading1"/>
      </w:pPr>
      <w:r>
        <w:t>1. Mission</w:t>
      </w:r>
    </w:p>
    <w:p>
      <w:r>
        <w:rPr>
          <w:rFonts w:ascii="Calibri" w:hAnsi="Calibri"/>
        </w:rPr>
        <w:t>Pillar A converts raw official legal sources into a strict, inspectable, temporally ready database of legal article versions. It is responsible for source custody, OCR quality, structural parsing, bilingual alignment, schema migrations, validators, and fixtures used by the other pillars.</w:t>
      </w:r>
    </w:p>
    <w:p>
      <w:r>
        <w:rPr>
          <w:rFonts w:ascii="Calibri" w:hAnsi="Calibri"/>
        </w:rPr>
        <w:t>The first-month target is not a generic document parser. It is a legal-corpus ingestion pipeline that knows Tunisian legal hierarchy, article numbering patterns, Arabic/French variants, amendment-friendly identifiers, and traceability back to official source pages.</w:t>
      </w:r>
    </w:p>
    <w:p>
      <w:pPr>
        <w:pStyle w:val="Heading1"/>
      </w:pPr>
      <w:r>
        <w:t>2. In Scope and Out of Scope</w:t>
      </w:r>
    </w:p>
    <w:tbl>
      <w:tblPr>
        <w:tblW w:type="auto" w:w="0"/>
        <w:jc w:val="center"/>
        <w:tblLayout w:type="fixed"/>
        <w:tblLook w:firstColumn="1" w:firstRow="1" w:lastColumn="0" w:lastRow="0" w:noHBand="0" w:noVBand="1" w:val="04A0"/>
      </w:tblPr>
      <w:tblGrid>
        <w:gridCol w:w="4680"/>
        <w:gridCol w:w="4680"/>
      </w:tblGrid>
      <w:tr>
        <w:tc>
          <w:tcPr>
            <w:tcW w:type="dxa" w:w="4680"/>
            <w:shd w:fill="E8EEF5"/>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jc w:val="center"/>
            </w:pPr>
            <w:r>
              <w:rPr>
                <w:rFonts w:ascii="Calibri" w:hAnsi="Calibri"/>
                <w:b/>
                <w:color w:val="0B2545"/>
              </w:rPr>
              <w:t>In Scope</w:t>
            </w:r>
          </w:p>
        </w:tc>
        <w:tc>
          <w:tcPr>
            <w:tcW w:type="dxa" w:w="4680"/>
            <w:shd w:fill="E8EEF5"/>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jc w:val="center"/>
            </w:pPr>
            <w:r>
              <w:rPr>
                <w:rFonts w:ascii="Calibri" w:hAnsi="Calibri"/>
                <w:b/>
                <w:color w:val="0B2545"/>
              </w:rPr>
              <w:t>Out of Scope</w:t>
            </w:r>
          </w:p>
        </w:tc>
      </w:tr>
      <w:tr>
        <w:tc>
          <w:tcPr>
            <w:tcW w:type="dxa" w:w="4680"/>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Raw-zone directory design, source manifests, immutable files, checksums, source inventory.</w:t>
            </w:r>
          </w:p>
        </w:tc>
        <w:tc>
          <w:tcPr>
            <w:tcW w:type="dxa" w:w="4680"/>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Temporal consolidation of amendments after initial ingestion; this belongs to Pillar B.</w:t>
            </w:r>
          </w:p>
        </w:tc>
      </w:tr>
      <w:tr>
        <w:tc>
          <w:tcPr>
            <w:tcW w:type="dxa" w:w="4680"/>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PDF-to-image conversion, layout analysis, OCR, post-OCR correction, CER measurement.</w:t>
            </w:r>
          </w:p>
        </w:tc>
        <w:tc>
          <w:tcPr>
            <w:tcW w:type="dxa" w:w="4680"/>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Hybrid retrieval indexes and API; this belongs to Pillar C.</w:t>
            </w:r>
          </w:p>
        </w:tc>
      </w:tr>
      <w:tr>
        <w:tc>
          <w:tcPr>
            <w:tcW w:type="dxa" w:w="4680"/>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Structural parsing of books, titles, chapters, sections, articles, paragraphs, and tables.</w:t>
            </w:r>
          </w:p>
        </w:tc>
        <w:tc>
          <w:tcPr>
            <w:tcW w:type="dxa" w:w="4680"/>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User-facing answer generation; this belongs to Pillar D.</w:t>
            </w:r>
          </w:p>
        </w:tc>
      </w:tr>
      <w:tr>
        <w:tc>
          <w:tcPr>
            <w:tcW w:type="dxa" w:w="4680"/>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PostgreSQL schema, Alembic migrations, fixtures, loading scripts, validators, read views.</w:t>
            </w:r>
          </w:p>
        </w:tc>
        <w:tc>
          <w:tcPr>
            <w:tcW w:type="dxa" w:w="4680"/>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Web or mobile product screens.</w:t>
            </w:r>
          </w:p>
        </w:tc>
      </w:tr>
    </w:tbl>
    <w:p/>
    <w:p>
      <w:pPr>
        <w:pStyle w:val="Heading1"/>
      </w:pPr>
      <w:r>
        <w:t>3. Raw Zone Contract</w:t>
      </w:r>
    </w:p>
    <w:p>
      <w:r>
        <w:rPr>
          <w:rFonts w:ascii="Calibri" w:hAnsi="Calibri"/>
        </w:rPr>
        <w:t>Raw files are immutable. Any correction, OCR output, parsed tree, or loaded database record must be a derived artifact with a run id. A reviewer must be able to trace any article version back to source file, page, region/span, OCR run, parser run, and loader run.</w:t>
      </w:r>
    </w:p>
    <w:tbl>
      <w:tblPr>
        <w:tblW w:type="auto" w:w="0"/>
        <w:tblLayout w:type="fixed"/>
        <w:tblLook w:firstColumn="1" w:firstRow="1" w:lastColumn="0" w:lastRow="0" w:noHBand="0" w:noVBand="1" w:val="04A0"/>
      </w:tblPr>
      <w:tblGrid>
        <w:gridCol w:w="9360"/>
      </w:tblGrid>
      <w:tr>
        <w:tc>
          <w:tcPr>
            <w:tcW w:type="dxa" w:w="9360"/>
            <w:shd w:fill="F8FAFC"/>
            <w:tcBorders>
              <w:top w:val="single" w:sz="3" w:space="0" w:color="D6DEE8"/>
              <w:left w:val="single" w:sz="3" w:space="0" w:color="D6DEE8"/>
              <w:bottom w:val="single" w:sz="3" w:space="0" w:color="D6DEE8"/>
              <w:right w:val="single" w:sz="3" w:space="0" w:color="D6DEE8"/>
              <w:insideH w:val="single" w:sz="3" w:space="0" w:color="D6DEE8"/>
              <w:insideV w:val="single" w:sz="3" w:space="0" w:color="D6DEE8"/>
            </w:tcBorders>
          </w:tcPr>
          <w:p>
            <w:pPr>
              <w:spacing w:after="0"/>
            </w:pPr>
            <w:r>
              <w:rPr>
                <w:rFonts w:ascii="Consolas" w:hAnsi="Consolas"/>
                <w:color w:val="111827"/>
                <w:sz w:val="19"/>
              </w:rPr>
              <w:t>data/</w:t>
              <w:br/>
              <w:t xml:space="preserve">  raw/{code_id}/{source_date}/</w:t>
              <w:br/>
              <w:t xml:space="preserve">    original.pdf</w:t>
              <w:br/>
              <w:t xml:space="preserve">    manifest.json</w:t>
              <w:br/>
              <w:t xml:space="preserve">  processed/{run_id}/</w:t>
              <w:br/>
              <w:t xml:space="preserve">    pages/</w:t>
              <w:br/>
              <w:t xml:space="preserve">    layout_blocks.jsonl</w:t>
              <w:br/>
              <w:t xml:space="preserve">    ocr_text.jsonl</w:t>
              <w:br/>
              <w:t xml:space="preserve">    corrected_text.jsonl</w:t>
              <w:br/>
              <w:t xml:space="preserve">    parsed_articles.jsonl</w:t>
              <w:br/>
              <w:t xml:space="preserve">    validation_report.json</w:t>
            </w:r>
          </w:p>
        </w:tc>
      </w:tr>
    </w:tbl>
    <w:p/>
    <w:tbl>
      <w:tblPr>
        <w:tblW w:type="auto" w:w="0"/>
        <w:jc w:val="center"/>
        <w:tblLayout w:type="fixed"/>
        <w:tblLook w:firstColumn="1" w:firstRow="1" w:lastColumn="0" w:lastRow="0" w:noHBand="0" w:noVBand="1" w:val="04A0"/>
      </w:tblPr>
      <w:tblGrid>
        <w:gridCol w:w="4680"/>
        <w:gridCol w:w="4680"/>
      </w:tblGrid>
      <w:tr>
        <w:tc>
          <w:tcPr>
            <w:tcW w:type="dxa" w:w="2448"/>
            <w:shd w:fill="E8EEF5"/>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jc w:val="center"/>
            </w:pPr>
            <w:r>
              <w:rPr>
                <w:rFonts w:ascii="Calibri" w:hAnsi="Calibri"/>
                <w:b/>
                <w:color w:val="0B2545"/>
              </w:rPr>
              <w:t>Manifest Field</w:t>
            </w:r>
          </w:p>
        </w:tc>
        <w:tc>
          <w:tcPr>
            <w:tcW w:type="dxa" w:w="6912"/>
            <w:shd w:fill="E8EEF5"/>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jc w:val="center"/>
            </w:pPr>
            <w:r>
              <w:rPr>
                <w:rFonts w:ascii="Calibri" w:hAnsi="Calibri"/>
                <w:b/>
                <w:color w:val="0B2545"/>
              </w:rPr>
              <w:t>Description</w:t>
            </w:r>
          </w:p>
        </w:tc>
      </w:tr>
      <w:tr>
        <w:tc>
          <w:tcPr>
            <w:tcW w:type="dxa" w:w="2448"/>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source_id</w:t>
            </w:r>
          </w:p>
        </w:tc>
        <w:tc>
          <w:tcPr>
            <w:tcW w:type="dxa" w:w="6912"/>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Stable id for the official source file.</w:t>
            </w:r>
          </w:p>
        </w:tc>
      </w:tr>
      <w:tr>
        <w:tc>
          <w:tcPr>
            <w:tcW w:type="dxa" w:w="2448"/>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code_id</w:t>
            </w:r>
          </w:p>
        </w:tc>
        <w:tc>
          <w:tcPr>
            <w:tcW w:type="dxa" w:w="6912"/>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Legal corpus id, for example labor_code, commercial_companies_code, vat_code, finance_law_2024.</w:t>
            </w:r>
          </w:p>
        </w:tc>
      </w:tr>
      <w:tr>
        <w:tc>
          <w:tcPr>
            <w:tcW w:type="dxa" w:w="2448"/>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source_date</w:t>
            </w:r>
          </w:p>
        </w:tc>
        <w:tc>
          <w:tcPr>
            <w:tcW w:type="dxa" w:w="6912"/>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Publication or official effective date if known.</w:t>
            </w:r>
          </w:p>
        </w:tc>
      </w:tr>
      <w:tr>
        <w:tc>
          <w:tcPr>
            <w:tcW w:type="dxa" w:w="2448"/>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language</w:t>
            </w:r>
          </w:p>
        </w:tc>
        <w:tc>
          <w:tcPr>
            <w:tcW w:type="dxa" w:w="6912"/>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ar, fr, or bilingual.</w:t>
            </w:r>
          </w:p>
        </w:tc>
      </w:tr>
      <w:tr>
        <w:tc>
          <w:tcPr>
            <w:tcW w:type="dxa" w:w="2448"/>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format</w:t>
            </w:r>
          </w:p>
        </w:tc>
        <w:tc>
          <w:tcPr>
            <w:tcW w:type="dxa" w:w="6912"/>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text_pdf, scanned_pdf, image_bundle, html, or manual_fixture.</w:t>
            </w:r>
          </w:p>
        </w:tc>
      </w:tr>
      <w:tr>
        <w:tc>
          <w:tcPr>
            <w:tcW w:type="dxa" w:w="2448"/>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page_count</w:t>
            </w:r>
          </w:p>
        </w:tc>
        <w:tc>
          <w:tcPr>
            <w:tcW w:type="dxa" w:w="6912"/>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Number of pages detected before processing.</w:t>
            </w:r>
          </w:p>
        </w:tc>
      </w:tr>
      <w:tr>
        <w:tc>
          <w:tcPr>
            <w:tcW w:type="dxa" w:w="2448"/>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sha256</w:t>
            </w:r>
          </w:p>
        </w:tc>
        <w:tc>
          <w:tcPr>
            <w:tcW w:type="dxa" w:w="6912"/>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Checksum of the untouched raw file.</w:t>
            </w:r>
          </w:p>
        </w:tc>
      </w:tr>
      <w:tr>
        <w:tc>
          <w:tcPr>
            <w:tcW w:type="dxa" w:w="2448"/>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official_reference</w:t>
            </w:r>
          </w:p>
        </w:tc>
        <w:tc>
          <w:tcPr>
            <w:tcW w:type="dxa" w:w="6912"/>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Official gazette number, page, URL, or source citation.</w:t>
            </w:r>
          </w:p>
        </w:tc>
      </w:tr>
      <w:tr>
        <w:tc>
          <w:tcPr>
            <w:tcW w:type="dxa" w:w="2448"/>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reuse_status</w:t>
            </w:r>
          </w:p>
        </w:tc>
        <w:tc>
          <w:tcPr>
            <w:tcW w:type="dxa" w:w="6912"/>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Recorded legal status for reuse and any restrictions.</w:t>
            </w:r>
          </w:p>
        </w:tc>
      </w:tr>
    </w:tbl>
    <w:p/>
    <w:p>
      <w:pPr>
        <w:pStyle w:val="Heading1"/>
      </w:pPr>
      <w:r>
        <w:t>4. OCR and Layout Pipeline</w:t>
      </w:r>
    </w:p>
    <w:p>
      <w:pPr>
        <w:pStyle w:val="ListNumber"/>
        <w:spacing w:after="80"/>
      </w:pPr>
      <w:r>
        <w:rPr>
          <w:rFonts w:ascii="Calibri" w:hAnsi="Calibri"/>
        </w:rPr>
        <w:t>Convert every PDF page to 300 dpi images with stable page ids.</w:t>
      </w:r>
    </w:p>
    <w:p>
      <w:pPr>
        <w:pStyle w:val="ListNumber"/>
        <w:spacing w:after="80"/>
      </w:pPr>
      <w:r>
        <w:rPr>
          <w:rFonts w:ascii="Calibri" w:hAnsi="Calibri"/>
        </w:rPr>
        <w:t>Detect layout blocks: columns, headers, footers, article bodies, tables, marginal notes, page numbers, and footnote-like text.</w:t>
      </w:r>
    </w:p>
    <w:p>
      <w:pPr>
        <w:pStyle w:val="ListNumber"/>
        <w:spacing w:after="80"/>
      </w:pPr>
      <w:r>
        <w:rPr>
          <w:rFonts w:ascii="Calibri" w:hAnsi="Calibri"/>
        </w:rPr>
        <w:t>Run Arabic and French OCR using language-specific settings; preserve page and block coordinates.</w:t>
      </w:r>
    </w:p>
    <w:p>
      <w:pPr>
        <w:pStyle w:val="ListNumber"/>
        <w:spacing w:after="80"/>
      </w:pPr>
      <w:r>
        <w:rPr>
          <w:rFonts w:ascii="Calibri" w:hAnsi="Calibri"/>
        </w:rPr>
        <w:t>Apply constrained post-correction: the model may correct character-level OCR errors, but may not paraphrase, add, remove, summarize, or normalize legal meaning.</w:t>
      </w:r>
    </w:p>
    <w:p>
      <w:pPr>
        <w:pStyle w:val="ListNumber"/>
        <w:spacing w:after="80"/>
      </w:pPr>
      <w:r>
        <w:rPr>
          <w:rFonts w:ascii="Calibri" w:hAnsi="Calibri"/>
        </w:rPr>
        <w:t>Compute CER against a manually transcribed 50-page reference set covering modern pages, older scans, bilingual pages, and pages with tables.</w:t>
      </w:r>
    </w:p>
    <w:p>
      <w:pPr>
        <w:pStyle w:val="ListNumber"/>
        <w:spacing w:after="80"/>
      </w:pPr>
      <w:r>
        <w:rPr>
          <w:rFonts w:ascii="Calibri" w:hAnsi="Calibri"/>
        </w:rPr>
        <w:t>Send pages above thresholds to a review queue and exclude them from accepted ingestion until corrected.</w:t>
      </w:r>
    </w:p>
    <w:tbl>
      <w:tblPr>
        <w:tblW w:type="auto" w:w="0"/>
        <w:jc w:val="center"/>
        <w:tblLayout w:type="fixed"/>
        <w:tblLook w:firstColumn="1" w:firstRow="1" w:lastColumn="0" w:lastRow="0" w:noHBand="0" w:noVBand="1" w:val="04A0"/>
      </w:tblPr>
      <w:tblGrid>
        <w:gridCol w:w="3120"/>
        <w:gridCol w:w="3120"/>
        <w:gridCol w:w="3120"/>
      </w:tblGrid>
      <w:tr>
        <w:tc>
          <w:tcPr>
            <w:tcW w:type="dxa" w:w="3168"/>
            <w:shd w:fill="E8EEF5"/>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jc w:val="center"/>
            </w:pPr>
            <w:r>
              <w:rPr>
                <w:rFonts w:ascii="Calibri" w:hAnsi="Calibri"/>
                <w:b/>
                <w:color w:val="0B2545"/>
              </w:rPr>
              <w:t>Quality Metric</w:t>
            </w:r>
          </w:p>
        </w:tc>
        <w:tc>
          <w:tcPr>
            <w:tcW w:type="dxa" w:w="1584"/>
            <w:shd w:fill="E8EEF5"/>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jc w:val="center"/>
            </w:pPr>
            <w:r>
              <w:rPr>
                <w:rFonts w:ascii="Calibri" w:hAnsi="Calibri"/>
                <w:b/>
                <w:color w:val="0B2545"/>
              </w:rPr>
              <w:t>Threshold</w:t>
            </w:r>
          </w:p>
        </w:tc>
        <w:tc>
          <w:tcPr>
            <w:tcW w:type="dxa" w:w="4608"/>
            <w:shd w:fill="E8EEF5"/>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jc w:val="center"/>
            </w:pPr>
            <w:r>
              <w:rPr>
                <w:rFonts w:ascii="Calibri" w:hAnsi="Calibri"/>
                <w:b/>
                <w:color w:val="0B2545"/>
              </w:rPr>
              <w:t>Action if Failed</w:t>
            </w:r>
          </w:p>
        </w:tc>
      </w:tr>
      <w:tr>
        <w:tc>
          <w:tcPr>
            <w:tcW w:type="dxa" w:w="3168"/>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CER on modern clean text</w:t>
            </w:r>
          </w:p>
        </w:tc>
        <w:tc>
          <w:tcPr>
            <w:tcW w:type="dxa" w:w="1584"/>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&lt; 1%</w:t>
            </w:r>
          </w:p>
        </w:tc>
        <w:tc>
          <w:tcPr>
            <w:tcW w:type="dxa" w:w="4608"/>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Tune OCR/profile or manually correct blocked pages.</w:t>
            </w:r>
          </w:p>
        </w:tc>
      </w:tr>
      <w:tr>
        <w:tc>
          <w:tcPr>
            <w:tcW w:type="dxa" w:w="3168"/>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CER on older scanned text</w:t>
            </w:r>
          </w:p>
        </w:tc>
        <w:tc>
          <w:tcPr>
            <w:tcW w:type="dxa" w:w="1584"/>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&lt; 3%</w:t>
            </w:r>
          </w:p>
        </w:tc>
        <w:tc>
          <w:tcPr>
            <w:tcW w:type="dxa" w:w="4608"/>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Review source quality, rescan if possible, or route to manual correction.</w:t>
            </w:r>
          </w:p>
        </w:tc>
      </w:tr>
      <w:tr>
        <w:tc>
          <w:tcPr>
            <w:tcW w:type="dxa" w:w="3168"/>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Empty article text</w:t>
            </w:r>
          </w:p>
        </w:tc>
        <w:tc>
          <w:tcPr>
            <w:tcW w:type="dxa" w:w="1584"/>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0 accepted cases</w:t>
            </w:r>
          </w:p>
        </w:tc>
        <w:tc>
          <w:tcPr>
            <w:tcW w:type="dxa" w:w="4608"/>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Parser output is rejected.</w:t>
            </w:r>
          </w:p>
        </w:tc>
      </w:tr>
      <w:tr>
        <w:tc>
          <w:tcPr>
            <w:tcW w:type="dxa" w:w="3168"/>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Missing source reference</w:t>
            </w:r>
          </w:p>
        </w:tc>
        <w:tc>
          <w:tcPr>
            <w:tcW w:type="dxa" w:w="1584"/>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0 accepted records</w:t>
            </w:r>
          </w:p>
        </w:tc>
        <w:tc>
          <w:tcPr>
            <w:tcW w:type="dxa" w:w="4608"/>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Loader refuses the record.</w:t>
            </w:r>
          </w:p>
        </w:tc>
      </w:tr>
      <w:tr>
        <w:tc>
          <w:tcPr>
            <w:tcW w:type="dxa" w:w="3168"/>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Unsupported page layout</w:t>
            </w:r>
          </w:p>
        </w:tc>
        <w:tc>
          <w:tcPr>
            <w:tcW w:type="dxa" w:w="1584"/>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Must be reported</w:t>
            </w:r>
          </w:p>
        </w:tc>
        <w:tc>
          <w:tcPr>
            <w:tcW w:type="dxa" w:w="4608"/>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Record parser failure with page and block evidence.</w:t>
            </w:r>
          </w:p>
        </w:tc>
      </w:tr>
    </w:tbl>
    <w:p/>
    <w:p>
      <w:pPr>
        <w:pStyle w:val="Heading1"/>
      </w:pPr>
      <w:r>
        <w:t>5. Structural Parser</w:t>
      </w:r>
    </w:p>
    <w:p>
      <w:r>
        <w:rPr>
          <w:rFonts w:ascii="Calibri" w:hAnsi="Calibri"/>
        </w:rPr>
        <w:t>The parser is hybrid: deterministic rules handle standard legal patterns, while a schema-constrained LLM handles exceptional or ambiguous structures. The LLM is never trusted alone; every output passes validators before database load.</w:t>
      </w:r>
    </w:p>
    <w:tbl>
      <w:tblPr>
        <w:tblW w:type="auto" w:w="0"/>
        <w:jc w:val="center"/>
        <w:tblLayout w:type="fixed"/>
        <w:tblLook w:firstColumn="1" w:firstRow="1" w:lastColumn="0" w:lastRow="0" w:noHBand="0" w:noVBand="1" w:val="04A0"/>
      </w:tblPr>
      <w:tblGrid>
        <w:gridCol w:w="4680"/>
        <w:gridCol w:w="4680"/>
      </w:tblGrid>
      <w:tr>
        <w:tc>
          <w:tcPr>
            <w:tcW w:type="dxa" w:w="2520"/>
            <w:shd w:fill="E8EEF5"/>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jc w:val="center"/>
            </w:pPr>
            <w:r>
              <w:rPr>
                <w:rFonts w:ascii="Calibri" w:hAnsi="Calibri"/>
                <w:b/>
                <w:color w:val="0B2545"/>
              </w:rPr>
              <w:t>Parser Capability</w:t>
            </w:r>
          </w:p>
        </w:tc>
        <w:tc>
          <w:tcPr>
            <w:tcW w:type="dxa" w:w="6840"/>
            <w:shd w:fill="E8EEF5"/>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jc w:val="center"/>
            </w:pPr>
            <w:r>
              <w:rPr>
                <w:rFonts w:ascii="Calibri" w:hAnsi="Calibri"/>
                <w:b/>
                <w:color w:val="0B2545"/>
              </w:rPr>
              <w:t>Required Detail</w:t>
            </w:r>
          </w:p>
        </w:tc>
      </w:tr>
      <w:tr>
        <w:tc>
          <w:tcPr>
            <w:tcW w:type="dxa" w:w="2520"/>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Arabic article patterns</w:t>
            </w:r>
          </w:p>
        </w:tc>
        <w:tc>
          <w:tcPr>
            <w:tcW w:type="dxa" w:w="6840"/>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Recognize Arabic forms equivalent to Article 12, Article 12 repeated/bis, Article 12 third/ter, and embedded paragraph numbering.</w:t>
            </w:r>
          </w:p>
        </w:tc>
      </w:tr>
      <w:tr>
        <w:tc>
          <w:tcPr>
            <w:tcW w:type="dxa" w:w="2520"/>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French article patterns</w:t>
            </w:r>
          </w:p>
        </w:tc>
        <w:tc>
          <w:tcPr>
            <w:tcW w:type="dxa" w:w="6840"/>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Recognize Article 12, Article 12 bis, Article 12 ter, and related structural headings.</w:t>
            </w:r>
          </w:p>
        </w:tc>
      </w:tr>
      <w:tr>
        <w:tc>
          <w:tcPr>
            <w:tcW w:type="dxa" w:w="2520"/>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Hierarchy capture</w:t>
            </w:r>
          </w:p>
        </w:tc>
        <w:tc>
          <w:tcPr>
            <w:tcW w:type="dxa" w:w="6840"/>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Store book, title, chapter, section, subsection, article, paragraph, and table context as hierarchy_path.</w:t>
            </w:r>
          </w:p>
        </w:tc>
      </w:tr>
      <w:tr>
        <w:tc>
          <w:tcPr>
            <w:tcW w:type="dxa" w:w="2520"/>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Article id stability</w:t>
            </w:r>
          </w:p>
        </w:tc>
        <w:tc>
          <w:tcPr>
            <w:tcW w:type="dxa" w:w="6840"/>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Generate article_id from code_id plus normalized article number and hierarchy, not from version text.</w:t>
            </w:r>
          </w:p>
        </w:tc>
      </w:tr>
      <w:tr>
        <w:tc>
          <w:tcPr>
            <w:tcW w:type="dxa" w:w="2520"/>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Bilingual alignment</w:t>
            </w:r>
          </w:p>
        </w:tc>
        <w:tc>
          <w:tcPr>
            <w:tcW w:type="dxa" w:w="6840"/>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Align Arabic/French by official article number. If no official counterpart exists, mark it explicitly rather than silently translating.</w:t>
            </w:r>
          </w:p>
        </w:tc>
      </w:tr>
      <w:tr>
        <w:tc>
          <w:tcPr>
            <w:tcW w:type="dxa" w:w="2520"/>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Validation reports</w:t>
            </w:r>
          </w:p>
        </w:tc>
        <w:tc>
          <w:tcPr>
            <w:tcW w:type="dxa" w:w="6840"/>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Reject duplicate unresolved numbering, missing hierarchy, empty text, invalid dates, or broken source references.</w:t>
            </w:r>
          </w:p>
        </w:tc>
      </w:tr>
    </w:tbl>
    <w:p/>
    <w:p>
      <w:pPr>
        <w:pStyle w:val="Heading1"/>
      </w:pPr>
      <w:r>
        <w:t>6. Database and Loader Requirements</w:t>
      </w:r>
    </w:p>
    <w:p>
      <w:r>
        <w:rPr>
          <w:rFonts w:ascii="Calibri" w:hAnsi="Calibri"/>
        </w:rPr>
        <w:t>The loader must be idempotent by run id and source id. Re-running the same accepted input must not create duplicate article versions. Migrations must be versioned with Alembic and tested against a clean database.</w:t>
      </w:r>
    </w:p>
    <w:tbl>
      <w:tblPr>
        <w:tblW w:type="auto" w:w="0"/>
        <w:jc w:val="center"/>
        <w:tblLayout w:type="fixed"/>
        <w:tblLook w:firstColumn="1" w:firstRow="1" w:lastColumn="0" w:lastRow="0" w:noHBand="0" w:noVBand="1" w:val="04A0"/>
      </w:tblPr>
      <w:tblGrid>
        <w:gridCol w:w="4680"/>
        <w:gridCol w:w="4680"/>
      </w:tblGrid>
      <w:tr>
        <w:tc>
          <w:tcPr>
            <w:tcW w:type="dxa" w:w="2592"/>
            <w:shd w:fill="E8EEF5"/>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jc w:val="center"/>
            </w:pPr>
            <w:r>
              <w:rPr>
                <w:rFonts w:ascii="Calibri" w:hAnsi="Calibri"/>
                <w:b/>
                <w:color w:val="0B2545"/>
              </w:rPr>
              <w:t>Object</w:t>
            </w:r>
          </w:p>
        </w:tc>
        <w:tc>
          <w:tcPr>
            <w:tcW w:type="dxa" w:w="6768"/>
            <w:shd w:fill="E8EEF5"/>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jc w:val="center"/>
            </w:pPr>
            <w:r>
              <w:rPr>
                <w:rFonts w:ascii="Calibri" w:hAnsi="Calibri"/>
                <w:b/>
                <w:color w:val="0B2545"/>
              </w:rPr>
              <w:t>Requirement</w:t>
            </w:r>
          </w:p>
        </w:tc>
      </w:tr>
      <w:tr>
        <w:tc>
          <w:tcPr>
            <w:tcW w:type="dxa" w:w="2592"/>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legal_article_version</w:t>
            </w:r>
          </w:p>
        </w:tc>
        <w:tc>
          <w:tcPr>
            <w:tcW w:type="dxa" w:w="6768"/>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Must include version_id, article_id, code_id, article_number, hierarchy_path, text_ar, text_fr, valid_from, valid_to, status, source_ref, created_by_op.</w:t>
            </w:r>
          </w:p>
        </w:tc>
      </w:tr>
      <w:tr>
        <w:tc>
          <w:tcPr>
            <w:tcW w:type="dxa" w:w="2592"/>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Exclusion constraint</w:t>
            </w:r>
          </w:p>
        </w:tc>
        <w:tc>
          <w:tcPr>
            <w:tcW w:type="dxa" w:w="6768"/>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Prevent overlapping valid_from/valid_to windows for the same article_id.</w:t>
            </w:r>
          </w:p>
        </w:tc>
      </w:tr>
      <w:tr>
        <w:tc>
          <w:tcPr>
            <w:tcW w:type="dxa" w:w="2592"/>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Indexes</w:t>
            </w:r>
          </w:p>
        </w:tc>
        <w:tc>
          <w:tcPr>
            <w:tcW w:type="dxa" w:w="6768"/>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At minimum: code_id + article_number + valid_from, article_id + valid_from, and source_ref fields needed for audit.</w:t>
            </w:r>
          </w:p>
        </w:tc>
      </w:tr>
      <w:tr>
        <w:tc>
          <w:tcPr>
            <w:tcW w:type="dxa" w:w="2592"/>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Read views</w:t>
            </w:r>
          </w:p>
        </w:tc>
        <w:tc>
          <w:tcPr>
            <w:tcW w:type="dxa" w:w="6768"/>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Expose current_article_versions and article_versions_by_date for Pillar C.</w:t>
            </w:r>
          </w:p>
        </w:tc>
      </w:tr>
      <w:tr>
        <w:tc>
          <w:tcPr>
            <w:tcW w:type="dxa" w:w="2592"/>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Fixtures</w:t>
            </w:r>
          </w:p>
        </w:tc>
        <w:tc>
          <w:tcPr>
            <w:tcW w:type="dxa" w:w="6768"/>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Deliver 200 structured articles from all three month-one corpora as JSON plus a loading script by the end of week 1.</w:t>
            </w:r>
          </w:p>
        </w:tc>
      </w:tr>
    </w:tbl>
    <w:p/>
    <w:p>
      <w:pPr>
        <w:pStyle w:val="Heading1"/>
      </w:pPr>
      <w:r>
        <w:t>7. Concrete Data Examples for Parser, Database, Loader, and Pipeline</w:t>
      </w:r>
    </w:p>
    <w:tbl>
      <w:tblPr>
        <w:tblW w:type="auto" w:w="0"/>
        <w:jc w:val="center"/>
        <w:tblLayout w:type="fixed"/>
        <w:tblLook w:firstColumn="1" w:firstRow="1" w:lastColumn="0" w:lastRow="0" w:noHBand="0" w:noVBand="1" w:val="04A0"/>
      </w:tblPr>
      <w:tblGrid>
        <w:gridCol w:w="9360"/>
      </w:tblGrid>
      <w:tr>
        <w:tc>
          <w:tcPr>
            <w:tcW w:type="dxa" w:w="9360"/>
            <w:shd w:fill="F2F4F7"/>
            <w:tcBorders>
              <w:top w:val="single" w:sz="3" w:space="0" w:color="D9E0E8"/>
              <w:left w:val="single" w:sz="3" w:space="0" w:color="D9E0E8"/>
              <w:bottom w:val="single" w:sz="3" w:space="0" w:color="D9E0E8"/>
              <w:right w:val="single" w:sz="3" w:space="0" w:color="D9E0E8"/>
              <w:insideH w:val="single" w:sz="3" w:space="0" w:color="D9E0E8"/>
              <w:insideV w:val="single" w:sz="3" w:space="0" w:color="D9E0E8"/>
            </w:tcBorders>
          </w:tcPr>
          <w:p>
            <w:pPr>
              <w:spacing w:after="40"/>
            </w:pPr>
            <w:r>
              <w:rPr>
                <w:rFonts w:ascii="Calibri" w:hAnsi="Calibri"/>
                <w:b/>
                <w:color w:val="1F4D78"/>
              </w:rPr>
              <w:t xml:space="preserve">Source note: </w:t>
            </w:r>
            <w:r>
              <w:rPr>
                <w:rFonts w:ascii="Calibri" w:hAnsi="Calibri"/>
              </w:rPr>
              <w:t>The following examples are implementation examples, not legal advice. The worked example uses the 2014 Tunisian Constitution because it is available in Arabic and in a French translation and has simple article structure. The same mechanics apply to the month-one corpora: Labor Code, Commercial Companies Code, and tax texts. Before production, replace every example source_ref with the official JORT or official source reference verified by the legal expert.</w:t>
            </w:r>
          </w:p>
        </w:tc>
      </w:tr>
    </w:tbl>
    <w:p>
      <w:pPr>
        <w:pStyle w:val="Heading2"/>
      </w:pPr>
      <w:r>
        <w:t>7.1 Real Bilingual Law Fragment Used in the Example</w:t>
      </w:r>
    </w:p>
    <w:p>
      <w:r>
        <w:rPr>
          <w:rFonts w:ascii="Calibri" w:hAnsi="Calibri"/>
        </w:rPr>
        <w:t>Raw legal source fragment: Article 1 of the 2014 Tunisian Constitution. Arabic official-language fragment: "تونس دولة حرة، مستقلة، ذات سيادة". French translation fragment: "La Tunisie est un Etat libre". The full article also identifies Islam as religion, Arabic as language, and the Republic as regime. Pillar A must store the Arabic and French texts as aligned legal versions, not as two unrelated chunks.</w:t>
      </w:r>
    </w:p>
    <w:tbl>
      <w:tblPr>
        <w:tblW w:type="auto" w:w="0"/>
        <w:jc w:val="center"/>
        <w:tblLayout w:type="fixed"/>
        <w:tblLook w:firstColumn="1" w:firstRow="1" w:lastColumn="0" w:lastRow="0" w:noHBand="0" w:noVBand="1" w:val="04A0"/>
      </w:tblPr>
      <w:tblGrid>
        <w:gridCol w:w="3120"/>
        <w:gridCol w:w="3120"/>
        <w:gridCol w:w="3120"/>
      </w:tblGrid>
      <w:tr>
        <w:tc>
          <w:tcPr>
            <w:tcW w:type="dxa" w:w="3311"/>
            <w:shd w:fill="E8EEF5"/>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jc w:val="center"/>
            </w:pPr>
            <w:r>
              <w:rPr>
                <w:rFonts w:ascii="Calibri" w:hAnsi="Calibri"/>
                <w:b/>
                <w:color w:val="0B2545"/>
              </w:rPr>
              <w:t>Raw Input Fragment</w:t>
            </w:r>
          </w:p>
        </w:tc>
        <w:tc>
          <w:tcPr>
            <w:tcW w:type="dxa" w:w="2880"/>
            <w:shd w:fill="E8EEF5"/>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jc w:val="center"/>
            </w:pPr>
            <w:r>
              <w:rPr>
                <w:rFonts w:ascii="Calibri" w:hAnsi="Calibri"/>
                <w:b/>
                <w:color w:val="0B2545"/>
              </w:rPr>
              <w:t>Detected Meaning</w:t>
            </w:r>
          </w:p>
        </w:tc>
        <w:tc>
          <w:tcPr>
            <w:tcW w:type="dxa" w:w="3168"/>
            <w:shd w:fill="E8EEF5"/>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jc w:val="center"/>
            </w:pPr>
            <w:r>
              <w:rPr>
                <w:rFonts w:ascii="Calibri" w:hAnsi="Calibri"/>
                <w:b/>
                <w:color w:val="0B2545"/>
              </w:rPr>
              <w:t>Target Storage</w:t>
            </w:r>
          </w:p>
        </w:tc>
      </w:tr>
      <w:tr>
        <w:tc>
          <w:tcPr>
            <w:tcW w:type="dxa" w:w="3311"/>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الفصل الأول - تونس دولة حرة، مستقلة، ذات سيادة ...</w:t>
            </w:r>
          </w:p>
        </w:tc>
        <w:tc>
          <w:tcPr>
            <w:tcW w:type="dxa" w:w="2880"/>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Arabic article heading and body for Article 1.</w:t>
            </w:r>
          </w:p>
        </w:tc>
        <w:tc>
          <w:tcPr>
            <w:tcW w:type="dxa" w:w="3168"/>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text_ar on one legal_article_version row.</w:t>
            </w:r>
          </w:p>
        </w:tc>
      </w:tr>
      <w:tr>
        <w:tc>
          <w:tcPr>
            <w:tcW w:type="dxa" w:w="3311"/>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Article premier - La Tunisie est un Etat libre ...</w:t>
            </w:r>
          </w:p>
        </w:tc>
        <w:tc>
          <w:tcPr>
            <w:tcW w:type="dxa" w:w="2880"/>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French translation of the same legal article.</w:t>
            </w:r>
          </w:p>
        </w:tc>
        <w:tc>
          <w:tcPr>
            <w:tcW w:type="dxa" w:w="3168"/>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text_fr on the same legal_article_version row when official/validated.</w:t>
            </w:r>
          </w:p>
        </w:tc>
      </w:tr>
      <w:tr>
        <w:tc>
          <w:tcPr>
            <w:tcW w:type="dxa" w:w="3311"/>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Chapter / section: General provisions</w:t>
            </w:r>
          </w:p>
        </w:tc>
        <w:tc>
          <w:tcPr>
            <w:tcW w:type="dxa" w:w="2880"/>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Hierarchy context.</w:t>
            </w:r>
          </w:p>
        </w:tc>
        <w:tc>
          <w:tcPr>
            <w:tcW w:type="dxa" w:w="3168"/>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hierarchy_path = General provisions &gt; Article 1.</w:t>
            </w:r>
          </w:p>
        </w:tc>
      </w:tr>
    </w:tbl>
    <w:p/>
    <w:p>
      <w:pPr>
        <w:pStyle w:val="Heading2"/>
      </w:pPr>
      <w:r>
        <w:t>7.2 Raw Manifest Example</w:t>
      </w:r>
    </w:p>
    <w:p>
      <w:r>
        <w:rPr>
          <w:rFonts w:ascii="Calibri" w:hAnsi="Calibri"/>
        </w:rPr>
        <w:t>This manifest is the minimum metadata required before OCR or parsing. The sha256 value below is illustrative; the loader must calculate the real checksum from the file bytes.</w:t>
      </w:r>
    </w:p>
    <w:tbl>
      <w:tblPr>
        <w:tblW w:type="auto" w:w="0"/>
        <w:tblLayout w:type="fixed"/>
        <w:tblLook w:firstColumn="1" w:firstRow="1" w:lastColumn="0" w:lastRow="0" w:noHBand="0" w:noVBand="1" w:val="04A0"/>
      </w:tblPr>
      <w:tblGrid>
        <w:gridCol w:w="9360"/>
      </w:tblGrid>
      <w:tr>
        <w:tc>
          <w:tcPr>
            <w:tcW w:type="dxa" w:w="9360"/>
            <w:shd w:fill="F8FAFC"/>
            <w:tcBorders>
              <w:top w:val="single" w:sz="3" w:space="0" w:color="D6DEE8"/>
              <w:left w:val="single" w:sz="3" w:space="0" w:color="D6DEE8"/>
              <w:bottom w:val="single" w:sz="3" w:space="0" w:color="D6DEE8"/>
              <w:right w:val="single" w:sz="3" w:space="0" w:color="D6DEE8"/>
              <w:insideH w:val="single" w:sz="3" w:space="0" w:color="D6DEE8"/>
              <w:insideV w:val="single" w:sz="3" w:space="0" w:color="D6DEE8"/>
            </w:tcBorders>
          </w:tcPr>
          <w:p>
            <w:pPr>
              <w:spacing w:after="0"/>
            </w:pPr>
            <w:r>
              <w:rPr>
                <w:rFonts w:ascii="Consolas" w:hAnsi="Consolas"/>
                <w:color w:val="111827"/>
                <w:sz w:val="19"/>
              </w:rPr>
              <w:t>{</w:t>
              <w:br/>
              <w:t xml:space="preserve">  "source_id": "src-constitution-2014-ar-fr",</w:t>
              <w:br/>
              <w:t xml:space="preserve">  "code_id": "constitution_2014",</w:t>
              <w:br/>
              <w:t xml:space="preserve">  "source_date": "2014-01-26",</w:t>
              <w:br/>
              <w:t xml:space="preserve">  "language": "bilingual",</w:t>
              <w:br/>
              <w:t xml:space="preserve">  "format": "text_pdf",</w:t>
              <w:br/>
              <w:t xml:space="preserve">  "page_count": 80,</w:t>
              <w:br/>
              <w:t xml:space="preserve">  "sha256": "example_only_replace_with_real_checksum",</w:t>
              <w:br/>
              <w:t xml:space="preserve">  "official_reference": {</w:t>
              <w:br/>
              <w:t xml:space="preserve">    "publisher": "Official constitutional source or JORT reference",</w:t>
              <w:br/>
              <w:t xml:space="preserve">    "title": "Constitution de la Republique tunisienne, 2014",</w:t>
              <w:br/>
              <w:t xml:space="preserve">    "url": "replace_with_official_arabic_or_french_source_url"</w:t>
              <w:br/>
              <w:t xml:space="preserve">  },</w:t>
              <w:br/>
              <w:t xml:space="preserve">  "reuse_status": "official_public_law_to_be_confirmed_by_legal_counsel",</w:t>
              <w:br/>
              <w:t xml:space="preserve">  "ingestion_notes": "Use the official Arabic text as authoritative; French text is stored as translation unless confirmed official."</w:t>
              <w:br/>
              <w:t>}</w:t>
            </w:r>
          </w:p>
        </w:tc>
      </w:tr>
    </w:tbl>
    <w:p/>
    <w:p>
      <w:pPr>
        <w:pStyle w:val="Heading2"/>
      </w:pPr>
      <w:r>
        <w:t>7.3 OCR and Layout Block Example</w:t>
      </w:r>
    </w:p>
    <w:p>
      <w:r>
        <w:rPr>
          <w:rFonts w:ascii="Calibri" w:hAnsi="Calibri"/>
        </w:rPr>
        <w:t>Layout analysis should preserve coordinates so a reviewer can jump from the parsed article back to the page area that produced it.</w:t>
      </w:r>
    </w:p>
    <w:tbl>
      <w:tblPr>
        <w:tblW w:type="auto" w:w="0"/>
        <w:tblLayout w:type="fixed"/>
        <w:tblLook w:firstColumn="1" w:firstRow="1" w:lastColumn="0" w:lastRow="0" w:noHBand="0" w:noVBand="1" w:val="04A0"/>
      </w:tblPr>
      <w:tblGrid>
        <w:gridCol w:w="9360"/>
      </w:tblGrid>
      <w:tr>
        <w:tc>
          <w:tcPr>
            <w:tcW w:type="dxa" w:w="9360"/>
            <w:shd w:fill="F8FAFC"/>
            <w:tcBorders>
              <w:top w:val="single" w:sz="3" w:space="0" w:color="D6DEE8"/>
              <w:left w:val="single" w:sz="3" w:space="0" w:color="D6DEE8"/>
              <w:bottom w:val="single" w:sz="3" w:space="0" w:color="D6DEE8"/>
              <w:right w:val="single" w:sz="3" w:space="0" w:color="D6DEE8"/>
              <w:insideH w:val="single" w:sz="3" w:space="0" w:color="D6DEE8"/>
              <w:insideV w:val="single" w:sz="3" w:space="0" w:color="D6DEE8"/>
            </w:tcBorders>
          </w:tcPr>
          <w:p>
            <w:pPr>
              <w:spacing w:after="0"/>
            </w:pPr>
            <w:r>
              <w:rPr>
                <w:rFonts w:ascii="Consolas" w:hAnsi="Consolas"/>
                <w:color w:val="111827"/>
                <w:sz w:val="19"/>
              </w:rPr>
              <w:t>{</w:t>
              <w:br/>
              <w:t xml:space="preserve">  "run_id": "ocr-2026-07-06-001",</w:t>
              <w:br/>
              <w:t xml:space="preserve">  "source_id": "src-constitution-2014-ar-fr",</w:t>
              <w:br/>
              <w:t xml:space="preserve">  "page_id": "p0007",</w:t>
              <w:br/>
              <w:t xml:space="preserve">  "blocks": [</w:t>
              <w:br/>
              <w:t xml:space="preserve">    {</w:t>
              <w:br/>
              <w:t xml:space="preserve">      "block_id": "p0007-b01",</w:t>
              <w:br/>
              <w:t xml:space="preserve">      "type": "heading",</w:t>
              <w:br/>
              <w:t xml:space="preserve">      "bbox": [420, 118, 760, 146],</w:t>
              <w:br/>
              <w:t xml:space="preserve">      "text": "الفصل الأول",</w:t>
              <w:br/>
              <w:t xml:space="preserve">      "language": "ar",</w:t>
              <w:br/>
              <w:t xml:space="preserve">      "ocr_confidence": 0.992</w:t>
              <w:br/>
              <w:t xml:space="preserve">    },</w:t>
              <w:br/>
              <w:t xml:space="preserve">    {</w:t>
              <w:br/>
              <w:t xml:space="preserve">      "block_id": "p0007-b02",</w:t>
              <w:br/>
              <w:t xml:space="preserve">      "type": "article_body",</w:t>
              <w:br/>
              <w:t xml:space="preserve">      "bbox": [220, 164, 760, 246],</w:t>
              <w:br/>
              <w:t xml:space="preserve">      "text": "تونس دولة حرة، مستقلة، ذات سيادة، الإسلام دينها، والعربية لغتها، والجمهورية نظامها.",</w:t>
              <w:br/>
              <w:t xml:space="preserve">      "language": "ar",</w:t>
              <w:br/>
              <w:t xml:space="preserve">      "ocr_confidence": 0.987</w:t>
              <w:br/>
              <w:t xml:space="preserve">    },</w:t>
              <w:br/>
              <w:t xml:space="preserve">    {</w:t>
              <w:br/>
              <w:t xml:space="preserve">      "block_id": "p0008-b01",</w:t>
              <w:br/>
              <w:t xml:space="preserve">      "type": "article_body",</w:t>
              <w:br/>
              <w:t xml:space="preserve">      "bbox": [72, 164, 520, 246],</w:t>
              <w:br/>
              <w:t xml:space="preserve">      "text": "Article premier - La Tunisie est un Etat libre, independant et souverain...",</w:t>
              <w:br/>
              <w:t xml:space="preserve">      "language": "fr",</w:t>
              <w:br/>
              <w:t xml:space="preserve">      "ocr_confidence": 0.987</w:t>
              <w:br/>
              <w:t xml:space="preserve">    }</w:t>
              <w:br/>
              <w:t xml:space="preserve">  ]</w:t>
              <w:br/>
              <w:t>}</w:t>
            </w:r>
          </w:p>
        </w:tc>
      </w:tr>
    </w:tbl>
    <w:p/>
    <w:p>
      <w:pPr>
        <w:pStyle w:val="Heading2"/>
      </w:pPr>
      <w:r>
        <w:t>7.4 Structural Parser Input Example</w:t>
      </w:r>
    </w:p>
    <w:p>
      <w:r>
        <w:rPr>
          <w:rFonts w:ascii="Calibri" w:hAnsi="Calibri"/>
        </w:rPr>
        <w:t>The parser receives normalized page text and block metadata. It should detect the hierarchy and article boundaries without losing source evidence.</w:t>
      </w:r>
    </w:p>
    <w:tbl>
      <w:tblPr>
        <w:tblW w:type="auto" w:w="0"/>
        <w:tblLayout w:type="fixed"/>
        <w:tblLook w:firstColumn="1" w:firstRow="1" w:lastColumn="0" w:lastRow="0" w:noHBand="0" w:noVBand="1" w:val="04A0"/>
      </w:tblPr>
      <w:tblGrid>
        <w:gridCol w:w="9360"/>
      </w:tblGrid>
      <w:tr>
        <w:tc>
          <w:tcPr>
            <w:tcW w:type="dxa" w:w="9360"/>
            <w:shd w:fill="F8FAFC"/>
            <w:tcBorders>
              <w:top w:val="single" w:sz="3" w:space="0" w:color="D6DEE8"/>
              <w:left w:val="single" w:sz="3" w:space="0" w:color="D6DEE8"/>
              <w:bottom w:val="single" w:sz="3" w:space="0" w:color="D6DEE8"/>
              <w:right w:val="single" w:sz="3" w:space="0" w:color="D6DEE8"/>
              <w:insideH w:val="single" w:sz="3" w:space="0" w:color="D6DEE8"/>
              <w:insideV w:val="single" w:sz="3" w:space="0" w:color="D6DEE8"/>
            </w:tcBorders>
          </w:tcPr>
          <w:p>
            <w:pPr>
              <w:spacing w:after="0"/>
            </w:pPr>
            <w:r>
              <w:rPr>
                <w:rFonts w:ascii="Consolas" w:hAnsi="Consolas"/>
                <w:color w:val="111827"/>
                <w:sz w:val="19"/>
              </w:rPr>
              <w:t>{</w:t>
              <w:br/>
              <w:t xml:space="preserve">  "source_id": "src-constitution-2014-ar-fr",</w:t>
              <w:br/>
              <w:t xml:space="preserve">  "page_ids": ["p0007", "p0008"],</w:t>
              <w:br/>
              <w:t xml:space="preserve">  "language": "bilingual",</w:t>
              <w:br/>
              <w:t xml:space="preserve">  "normalized_text_ar": "الفصل الأول\nتونس دولة حرة، مستقلة، ذات سيادة، الإسلام دينها، والعربية لغتها، والجمهورية نظامها.",</w:t>
              <w:br/>
              <w:t xml:space="preserve">  "normalized_text_fr": "Article premier - La Tunisie est un Etat libre, independant et souverain...",</w:t>
              <w:br/>
              <w:t xml:space="preserve">  "layout_blocks": ["p0007-b01", "p0007-b02", "p0008-b01"],</w:t>
              <w:br/>
              <w:t xml:space="preserve">  "parser_profile": "constitution_bilingual_v1"</w:t>
              <w:br/>
              <w:t>}</w:t>
            </w:r>
          </w:p>
        </w:tc>
      </w:tr>
    </w:tbl>
    <w:p/>
    <w:p>
      <w:pPr>
        <w:pStyle w:val="Heading2"/>
      </w:pPr>
      <w:r>
        <w:t>7.5 Structural Parser Output Example</w:t>
      </w:r>
    </w:p>
    <w:p>
      <w:r>
        <w:rPr>
          <w:rFonts w:ascii="Calibri" w:hAnsi="Calibri"/>
        </w:rPr>
        <w:t>This is the shape Pillar B and Pillar C need: stable ids, hierarchy, article number, text, source evidence, and validation status. The article text is shortened here to avoid treating the example as authoritative legal content.</w:t>
      </w:r>
    </w:p>
    <w:tbl>
      <w:tblPr>
        <w:tblW w:type="auto" w:w="0"/>
        <w:tblLayout w:type="fixed"/>
        <w:tblLook w:firstColumn="1" w:firstRow="1" w:lastColumn="0" w:lastRow="0" w:noHBand="0" w:noVBand="1" w:val="04A0"/>
      </w:tblPr>
      <w:tblGrid>
        <w:gridCol w:w="9360"/>
      </w:tblGrid>
      <w:tr>
        <w:tc>
          <w:tcPr>
            <w:tcW w:type="dxa" w:w="9360"/>
            <w:shd w:fill="F8FAFC"/>
            <w:tcBorders>
              <w:top w:val="single" w:sz="3" w:space="0" w:color="D6DEE8"/>
              <w:left w:val="single" w:sz="3" w:space="0" w:color="D6DEE8"/>
              <w:bottom w:val="single" w:sz="3" w:space="0" w:color="D6DEE8"/>
              <w:right w:val="single" w:sz="3" w:space="0" w:color="D6DEE8"/>
              <w:insideH w:val="single" w:sz="3" w:space="0" w:color="D6DEE8"/>
              <w:insideV w:val="single" w:sz="3" w:space="0" w:color="D6DEE8"/>
            </w:tcBorders>
          </w:tcPr>
          <w:p>
            <w:pPr>
              <w:spacing w:after="0"/>
            </w:pPr>
            <w:r>
              <w:rPr>
                <w:rFonts w:ascii="Consolas" w:hAnsi="Consolas"/>
                <w:color w:val="111827"/>
                <w:sz w:val="19"/>
              </w:rPr>
              <w:t>{</w:t>
              <w:br/>
              <w:t xml:space="preserve">  "parse_run_id": "parse-2026-07-06-001",</w:t>
              <w:br/>
              <w:t xml:space="preserve">  "source_id": "src-constitution-2014-ar-fr",</w:t>
              <w:br/>
              <w:t xml:space="preserve">  "code_id": "constitution_2014",</w:t>
              <w:br/>
              <w:t xml:space="preserve">  "articles": [</w:t>
              <w:br/>
              <w:t xml:space="preserve">    {</w:t>
              <w:br/>
              <w:t xml:space="preserve">      "article_id": "constitution_2014:article-1",</w:t>
              <w:br/>
              <w:t xml:space="preserve">      "article_number": "1",</w:t>
              <w:br/>
              <w:t xml:space="preserve">      "display_number_ar": "الفصل الأول",</w:t>
              <w:br/>
              <w:t xml:space="preserve">      "display_number_fr": "Article premier",</w:t>
              <w:br/>
              <w:t xml:space="preserve">      "language": "bilingual",</w:t>
              <w:br/>
              <w:t xml:space="preserve">      "hierarchy_path": [</w:t>
              <w:br/>
              <w:t xml:space="preserve">        {"level": "chapter", "number": "I", "label_en": "General provisions"}</w:t>
              <w:br/>
              <w:t xml:space="preserve">      ],</w:t>
              <w:br/>
              <w:t xml:space="preserve">      "paragraphs": [</w:t>
              <w:br/>
              <w:t xml:space="preserve">        {</w:t>
              <w:br/>
              <w:t xml:space="preserve">          "paragraph_index": 1,</w:t>
              <w:br/>
              <w:t xml:space="preserve">          "text_ar": "تونس دولة حرة، مستقلة، ذات سيادة، الإسلام دينها، والعربية لغتها، والجمهورية نظامها.",</w:t>
              <w:br/>
              <w:t xml:space="preserve">          "text_fr": "La Tunisie est un Etat libre, independant et souverain; sa religion est l'Islam, sa langue l'arabe et son regime la Republique.",</w:t>
              <w:br/>
              <w:t xml:space="preserve">          "source_spans": [</w:t>
              <w:br/>
              <w:t xml:space="preserve">            {"page_id": "p0007", "block_id": "p0007-b02", "char_start": 0, "char_end": 86},</w:t>
              <w:br/>
              <w:t xml:space="preserve">            {"page_id": "p0008", "block_id": "p0008-b01", "char_start": 0, "char_end": 126}</w:t>
              <w:br/>
              <w:t xml:space="preserve">          ]</w:t>
              <w:br/>
              <w:t xml:space="preserve">        }</w:t>
              <w:br/>
              <w:t xml:space="preserve">      ],</w:t>
              <w:br/>
              <w:t xml:space="preserve">      "text_fingerprint": "sha256_of_normalized_article_text",</w:t>
              <w:br/>
              <w:t xml:space="preserve">      "parser_confidence": 0.96,</w:t>
              <w:br/>
              <w:t xml:space="preserve">      "validation_status": "accepted"</w:t>
              <w:br/>
              <w:t xml:space="preserve">    }</w:t>
              <w:br/>
              <w:t xml:space="preserve">  ]</w:t>
              <w:br/>
              <w:t>}</w:t>
            </w:r>
          </w:p>
        </w:tc>
      </w:tr>
    </w:tbl>
    <w:p/>
    <w:p>
      <w:pPr>
        <w:pStyle w:val="Heading2"/>
      </w:pPr>
      <w:r>
        <w:t>7.6 Arabic/French Pattern Examples</w:t>
      </w:r>
    </w:p>
    <w:tbl>
      <w:tblPr>
        <w:tblW w:type="auto" w:w="0"/>
        <w:jc w:val="center"/>
        <w:tblLayout w:type="fixed"/>
        <w:tblLook w:firstColumn="1" w:firstRow="1" w:lastColumn="0" w:lastRow="0" w:noHBand="0" w:noVBand="1" w:val="04A0"/>
      </w:tblPr>
      <w:tblGrid>
        <w:gridCol w:w="3120"/>
        <w:gridCol w:w="3120"/>
        <w:gridCol w:w="3120"/>
      </w:tblGrid>
      <w:tr>
        <w:tc>
          <w:tcPr>
            <w:tcW w:type="dxa" w:w="2015"/>
            <w:shd w:fill="E8EEF5"/>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jc w:val="center"/>
            </w:pPr>
            <w:r>
              <w:rPr>
                <w:rFonts w:ascii="Calibri" w:hAnsi="Calibri"/>
                <w:b/>
                <w:color w:val="0B2545"/>
              </w:rPr>
              <w:t>Pattern Family</w:t>
            </w:r>
          </w:p>
        </w:tc>
        <w:tc>
          <w:tcPr>
            <w:tcW w:type="dxa" w:w="4320"/>
            <w:shd w:fill="E8EEF5"/>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jc w:val="center"/>
            </w:pPr>
            <w:r>
              <w:rPr>
                <w:rFonts w:ascii="Calibri" w:hAnsi="Calibri"/>
                <w:b/>
                <w:color w:val="0B2545"/>
              </w:rPr>
              <w:t>Examples the Parser Must Recognize</w:t>
            </w:r>
          </w:p>
        </w:tc>
        <w:tc>
          <w:tcPr>
            <w:tcW w:type="dxa" w:w="3024"/>
            <w:shd w:fill="E8EEF5"/>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jc w:val="center"/>
            </w:pPr>
            <w:r>
              <w:rPr>
                <w:rFonts w:ascii="Calibri" w:hAnsi="Calibri"/>
                <w:b/>
                <w:color w:val="0B2545"/>
              </w:rPr>
              <w:t>Normalized Result</w:t>
            </w:r>
          </w:p>
        </w:tc>
      </w:tr>
      <w:tr>
        <w:tc>
          <w:tcPr>
            <w:tcW w:type="dxa" w:w="2015"/>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French article</w:t>
            </w:r>
          </w:p>
        </w:tc>
        <w:tc>
          <w:tcPr>
            <w:tcW w:type="dxa" w:w="4320"/>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Article 12; Article 12 bis; Article premier</w:t>
            </w:r>
          </w:p>
        </w:tc>
        <w:tc>
          <w:tcPr>
            <w:tcW w:type="dxa" w:w="3024"/>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article_number = 12, 12-bis, premier</w:t>
            </w:r>
          </w:p>
        </w:tc>
      </w:tr>
      <w:tr>
        <w:tc>
          <w:tcPr>
            <w:tcW w:type="dxa" w:w="2015"/>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Arabic article</w:t>
            </w:r>
          </w:p>
        </w:tc>
        <w:tc>
          <w:tcPr>
            <w:tcW w:type="dxa" w:w="4320"/>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Arabic forms equivalent to 'Article 12', 'Article 12 repeated/bis', or 'Article 12 third/ter'</w:t>
            </w:r>
          </w:p>
        </w:tc>
        <w:tc>
          <w:tcPr>
            <w:tcW w:type="dxa" w:w="3024"/>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article_number = 12, 12-bis, 12-ter</w:t>
            </w:r>
          </w:p>
        </w:tc>
      </w:tr>
      <w:tr>
        <w:tc>
          <w:tcPr>
            <w:tcW w:type="dxa" w:w="2015"/>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Hierarchy</w:t>
            </w:r>
          </w:p>
        </w:tc>
        <w:tc>
          <w:tcPr>
            <w:tcW w:type="dxa" w:w="4320"/>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Livre I, Titre premier, Chapitre II, Section 1</w:t>
            </w:r>
          </w:p>
        </w:tc>
        <w:tc>
          <w:tcPr>
            <w:tcW w:type="dxa" w:w="3024"/>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hierarchy_path array with level, number, label</w:t>
            </w:r>
          </w:p>
        </w:tc>
      </w:tr>
      <w:tr>
        <w:tc>
          <w:tcPr>
            <w:tcW w:type="dxa" w:w="2015"/>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Paragraphs</w:t>
            </w:r>
          </w:p>
        </w:tc>
        <w:tc>
          <w:tcPr>
            <w:tcW w:type="dxa" w:w="4320"/>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Numbered clauses, indented paragraphs, or semicolon-separated legal subclauses</w:t>
            </w:r>
          </w:p>
        </w:tc>
        <w:tc>
          <w:tcPr>
            <w:tcW w:type="dxa" w:w="3024"/>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paragraph_index plus source span</w:t>
            </w:r>
          </w:p>
        </w:tc>
      </w:tr>
      <w:tr>
        <w:tc>
          <w:tcPr>
            <w:tcW w:type="dxa" w:w="2015"/>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Tables</w:t>
            </w:r>
          </w:p>
        </w:tc>
        <w:tc>
          <w:tcPr>
            <w:tcW w:type="dxa" w:w="4320"/>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Tax rate table, compliance threshold table, or fee schedule</w:t>
            </w:r>
          </w:p>
        </w:tc>
        <w:tc>
          <w:tcPr>
            <w:tcW w:type="dxa" w:w="3024"/>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table block with rows, columns, caption, page evidence</w:t>
            </w:r>
          </w:p>
        </w:tc>
      </w:tr>
    </w:tbl>
    <w:p/>
    <w:p>
      <w:pPr>
        <w:pStyle w:val="Heading2"/>
      </w:pPr>
      <w:r>
        <w:t>7.7 Database Row Example</w:t>
      </w:r>
    </w:p>
    <w:p>
      <w:r>
        <w:rPr>
          <w:rFonts w:ascii="Calibri" w:hAnsi="Calibri"/>
        </w:rPr>
        <w:t>After validation, the loader creates a legal_article_version row. The example keeps dates simple; real effective dates must come from the official source or later consolidation by Pillar B.</w:t>
      </w:r>
    </w:p>
    <w:tbl>
      <w:tblPr>
        <w:tblW w:type="auto" w:w="0"/>
        <w:tblLayout w:type="fixed"/>
        <w:tblLook w:firstColumn="1" w:firstRow="1" w:lastColumn="0" w:lastRow="0" w:noHBand="0" w:noVBand="1" w:val="04A0"/>
      </w:tblPr>
      <w:tblGrid>
        <w:gridCol w:w="9360"/>
      </w:tblGrid>
      <w:tr>
        <w:tc>
          <w:tcPr>
            <w:tcW w:type="dxa" w:w="9360"/>
            <w:shd w:fill="F8FAFC"/>
            <w:tcBorders>
              <w:top w:val="single" w:sz="3" w:space="0" w:color="D6DEE8"/>
              <w:left w:val="single" w:sz="3" w:space="0" w:color="D6DEE8"/>
              <w:bottom w:val="single" w:sz="3" w:space="0" w:color="D6DEE8"/>
              <w:right w:val="single" w:sz="3" w:space="0" w:color="D6DEE8"/>
              <w:insideH w:val="single" w:sz="3" w:space="0" w:color="D6DEE8"/>
              <w:insideV w:val="single" w:sz="3" w:space="0" w:color="D6DEE8"/>
            </w:tcBorders>
          </w:tcPr>
          <w:p>
            <w:pPr>
              <w:spacing w:after="0"/>
            </w:pPr>
            <w:r>
              <w:rPr>
                <w:rFonts w:ascii="Consolas" w:hAnsi="Consolas"/>
                <w:color w:val="111827"/>
                <w:sz w:val="19"/>
              </w:rPr>
              <w:t>{</w:t>
              <w:br/>
              <w:t xml:space="preserve">  "version_id": "7bc9c04c-2b01-4b62-a7b3-example000001",</w:t>
              <w:br/>
              <w:t xml:space="preserve">  "article_id": "constitution_2014:article-1",</w:t>
              <w:br/>
              <w:t xml:space="preserve">  "code_id": "constitution_2014",</w:t>
              <w:br/>
              <w:t xml:space="preserve">  "article_number": "1",</w:t>
              <w:br/>
              <w:t xml:space="preserve">  "hierarchy_path": "Chapter I &gt; General provisions",</w:t>
              <w:br/>
              <w:t xml:space="preserve">  "text_ar": "تونس دولة حرة، مستقلة، ذات سيادة، الإسلام دينها، والعربية لغتها، والجمهورية نظامها.",</w:t>
              <w:br/>
              <w:t xml:space="preserve">  "text_fr": "La Tunisie est un Etat libre, independant et souverain; sa religion est l'Islam, sa langue l'arabe et son regime la Republique.",</w:t>
              <w:br/>
              <w:t xml:space="preserve">  "valid_from": "2014-02-10",</w:t>
              <w:br/>
              <w:t xml:space="preserve">  "valid_to": "2022-08-15",</w:t>
              <w:br/>
              <w:t xml:space="preserve">  "status": "superseded",</w:t>
              <w:br/>
              <w:t xml:space="preserve">  "source_ref": {</w:t>
              <w:br/>
              <w:t xml:space="preserve">    "source_id": "src-constitution-2014-ar-fr",</w:t>
              <w:br/>
              <w:t xml:space="preserve">    "page_ids": ["p0007", "p0008"],</w:t>
              <w:br/>
              <w:t xml:space="preserve">    "blocks": ["p0007-b02", "p0008-b01"],</w:t>
              <w:br/>
              <w:t xml:space="preserve">    "official_reference": "2014 Constitution; replace with official publication/JORT reference"</w:t>
              <w:br/>
              <w:t xml:space="preserve">  },</w:t>
              <w:br/>
              <w:t xml:space="preserve">  "created_by_op": null,</w:t>
              <w:br/>
              <w:t xml:space="preserve">  "ingestion_run_id": "load-2026-07-06-001"</w:t>
              <w:br/>
              <w:t>}</w:t>
            </w:r>
          </w:p>
        </w:tc>
      </w:tr>
    </w:tbl>
    <w:p/>
    <w:p>
      <w:pPr>
        <w:pStyle w:val="Heading2"/>
      </w:pPr>
      <w:r>
        <w:t>7.8 Loader Batch Example</w:t>
      </w:r>
    </w:p>
    <w:p>
      <w:r>
        <w:rPr>
          <w:rFonts w:ascii="Calibri" w:hAnsi="Calibri"/>
        </w:rPr>
        <w:t>The loader should make accepted parser output reproducible. A batch file should declare source files, parser outputs, schema version, and whether the load is dry-run or commit.</w:t>
      </w:r>
    </w:p>
    <w:tbl>
      <w:tblPr>
        <w:tblW w:type="auto" w:w="0"/>
        <w:tblLayout w:type="fixed"/>
        <w:tblLook w:firstColumn="1" w:firstRow="1" w:lastColumn="0" w:lastRow="0" w:noHBand="0" w:noVBand="1" w:val="04A0"/>
      </w:tblPr>
      <w:tblGrid>
        <w:gridCol w:w="9360"/>
      </w:tblGrid>
      <w:tr>
        <w:tc>
          <w:tcPr>
            <w:tcW w:type="dxa" w:w="9360"/>
            <w:shd w:fill="F8FAFC"/>
            <w:tcBorders>
              <w:top w:val="single" w:sz="3" w:space="0" w:color="D6DEE8"/>
              <w:left w:val="single" w:sz="3" w:space="0" w:color="D6DEE8"/>
              <w:bottom w:val="single" w:sz="3" w:space="0" w:color="D6DEE8"/>
              <w:right w:val="single" w:sz="3" w:space="0" w:color="D6DEE8"/>
              <w:insideH w:val="single" w:sz="3" w:space="0" w:color="D6DEE8"/>
              <w:insideV w:val="single" w:sz="3" w:space="0" w:color="D6DEE8"/>
            </w:tcBorders>
          </w:tcPr>
          <w:p>
            <w:pPr>
              <w:spacing w:after="0"/>
            </w:pPr>
            <w:r>
              <w:rPr>
                <w:rFonts w:ascii="Consolas" w:hAnsi="Consolas"/>
                <w:color w:val="111827"/>
                <w:sz w:val="19"/>
              </w:rPr>
              <w:t>{</w:t>
              <w:br/>
              <w:t xml:space="preserve">  "load_run_id": "load-2026-07-06-001",</w:t>
              <w:br/>
              <w:t xml:space="preserve">  "schema_version": "2026_07_legal_truth_v1",</w:t>
              <w:br/>
              <w:t xml:space="preserve">  "mode": "dry_run_then_commit",</w:t>
              <w:br/>
              <w:t xml:space="preserve">  "inputs": {</w:t>
              <w:br/>
              <w:t xml:space="preserve">    "manifest": "data/raw/constitution_2014/2014-01-26/manifest.json",</w:t>
              <w:br/>
              <w:t xml:space="preserve">    "parsed_articles": "data/processed/parse-2026-07-06-001/parsed_articles.jsonl",</w:t>
              <w:br/>
              <w:t xml:space="preserve">    "validation_report": "data/processed/parse-2026-07-06-001/validation_report.json"</w:t>
              <w:br/>
              <w:t xml:space="preserve">  },</w:t>
              <w:br/>
              <w:t xml:space="preserve">  "acceptance_rules": {</w:t>
              <w:br/>
              <w:t xml:space="preserve">    "allow_validation_errors": false,</w:t>
              <w:br/>
              <w:t xml:space="preserve">    "require_source_ref": true,</w:t>
              <w:br/>
              <w:t xml:space="preserve">    "require_non_empty_text": true,</w:t>
              <w:br/>
              <w:t xml:space="preserve">    "prevent_duplicate_article_versions": true</w:t>
              <w:br/>
              <w:t xml:space="preserve">  }</w:t>
              <w:br/>
              <w:t>}</w:t>
            </w:r>
          </w:p>
        </w:tc>
      </w:tr>
    </w:tbl>
    <w:p/>
    <w:tbl>
      <w:tblPr>
        <w:tblW w:type="auto" w:w="0"/>
        <w:tblLayout w:type="fixed"/>
        <w:tblLook w:firstColumn="1" w:firstRow="1" w:lastColumn="0" w:lastRow="0" w:noHBand="0" w:noVBand="1" w:val="04A0"/>
      </w:tblPr>
      <w:tblGrid>
        <w:gridCol w:w="9360"/>
      </w:tblGrid>
      <w:tr>
        <w:tc>
          <w:tcPr>
            <w:tcW w:type="dxa" w:w="9360"/>
            <w:shd w:fill="F8FAFC"/>
            <w:tcBorders>
              <w:top w:val="single" w:sz="3" w:space="0" w:color="D6DEE8"/>
              <w:left w:val="single" w:sz="3" w:space="0" w:color="D6DEE8"/>
              <w:bottom w:val="single" w:sz="3" w:space="0" w:color="D6DEE8"/>
              <w:right w:val="single" w:sz="3" w:space="0" w:color="D6DEE8"/>
              <w:insideH w:val="single" w:sz="3" w:space="0" w:color="D6DEE8"/>
              <w:insideV w:val="single" w:sz="3" w:space="0" w:color="D6DEE8"/>
            </w:tcBorders>
          </w:tcPr>
          <w:p>
            <w:pPr>
              <w:spacing w:after="0"/>
            </w:pPr>
            <w:r>
              <w:rPr>
                <w:rFonts w:ascii="Consolas" w:hAnsi="Consolas"/>
                <w:color w:val="111827"/>
                <w:sz w:val="19"/>
              </w:rPr>
              <w:t>python -m ingestion.load_articles \</w:t>
              <w:br/>
              <w:t xml:space="preserve">  --batch data/load_batches/load-2026-07-06-001.json \</w:t>
              <w:br/>
              <w:t xml:space="preserve">  --database-url $LEGAL_AI_DATABASE_URL \</w:t>
              <w:br/>
              <w:t xml:space="preserve">  --dry-run</w:t>
              <w:br/>
              <w:br/>
              <w:t>python -m ingestion.load_articles \</w:t>
              <w:br/>
              <w:t xml:space="preserve">  --batch data/load_batches/load-2026-07-06-001.json \</w:t>
              <w:br/>
              <w:t xml:space="preserve">  --database-url $LEGAL_AI_DATABASE_URL \</w:t>
              <w:br/>
              <w:t xml:space="preserve">  --commit</w:t>
            </w:r>
          </w:p>
        </w:tc>
      </w:tr>
    </w:tbl>
    <w:p/>
    <w:p>
      <w:pPr>
        <w:pStyle w:val="Heading2"/>
      </w:pPr>
      <w:r>
        <w:t>7.9 Validator Failure Example</w:t>
      </w:r>
    </w:p>
    <w:p>
      <w:r>
        <w:rPr>
          <w:rFonts w:ascii="Calibri" w:hAnsi="Calibri"/>
        </w:rPr>
        <w:t>The loader must stop on these errors. The report is useful for the human reviewer and for improving parser rules.</w:t>
      </w:r>
    </w:p>
    <w:tbl>
      <w:tblPr>
        <w:tblW w:type="auto" w:w="0"/>
        <w:tblLayout w:type="fixed"/>
        <w:tblLook w:firstColumn="1" w:firstRow="1" w:lastColumn="0" w:lastRow="0" w:noHBand="0" w:noVBand="1" w:val="04A0"/>
      </w:tblPr>
      <w:tblGrid>
        <w:gridCol w:w="9360"/>
      </w:tblGrid>
      <w:tr>
        <w:tc>
          <w:tcPr>
            <w:tcW w:type="dxa" w:w="9360"/>
            <w:shd w:fill="F8FAFC"/>
            <w:tcBorders>
              <w:top w:val="single" w:sz="3" w:space="0" w:color="D6DEE8"/>
              <w:left w:val="single" w:sz="3" w:space="0" w:color="D6DEE8"/>
              <w:bottom w:val="single" w:sz="3" w:space="0" w:color="D6DEE8"/>
              <w:right w:val="single" w:sz="3" w:space="0" w:color="D6DEE8"/>
              <w:insideH w:val="single" w:sz="3" w:space="0" w:color="D6DEE8"/>
              <w:insideV w:val="single" w:sz="3" w:space="0" w:color="D6DEE8"/>
            </w:tcBorders>
          </w:tcPr>
          <w:p>
            <w:pPr>
              <w:spacing w:after="0"/>
            </w:pPr>
            <w:r>
              <w:rPr>
                <w:rFonts w:ascii="Consolas" w:hAnsi="Consolas"/>
                <w:color w:val="111827"/>
                <w:sz w:val="19"/>
              </w:rPr>
              <w:t>{</w:t>
              <w:br/>
              <w:t xml:space="preserve">  "validation_status": "rejected",</w:t>
              <w:br/>
              <w:t xml:space="preserve">  "source_id": "src-example-tax-table-2024-ar",</w:t>
              <w:br/>
              <w:t xml:space="preserve">  "errors": [</w:t>
              <w:br/>
              <w:t xml:space="preserve">    {</w:t>
              <w:br/>
              <w:t xml:space="preserve">      "code": "DUPLICATE_ARTICLE_NUMBER",</w:t>
              <w:br/>
              <w:t xml:space="preserve">      "message": "Article 53 appears twice under the same hierarchy without bis/ter marker.",</w:t>
              <w:br/>
              <w:t xml:space="preserve">      "page_ids": ["p0012", "p0013"],</w:t>
              <w:br/>
              <w:t xml:space="preserve">      "suggested_action": "Review whether the second occurrence is an amendment article, a table continuation, or an OCR heading error."</w:t>
              <w:br/>
              <w:t xml:space="preserve">    },</w:t>
              <w:br/>
              <w:t xml:space="preserve">    {</w:t>
              <w:br/>
              <w:t xml:space="preserve">      "code": "MISSING_SOURCE_REF",</w:t>
              <w:br/>
              <w:t xml:space="preserve">      "message": "Parsed Article 54 has no page/block source span.",</w:t>
              <w:br/>
              <w:t xml:space="preserve">      "suggested_action": "Reject load until source evidence is attached."</w:t>
              <w:br/>
              <w:t xml:space="preserve">    }</w:t>
              <w:br/>
              <w:t xml:space="preserve">  ]</w:t>
              <w:br/>
              <w:t>}</w:t>
            </w:r>
          </w:p>
        </w:tc>
      </w:tr>
    </w:tbl>
    <w:p/>
    <w:p>
      <w:pPr>
        <w:pStyle w:val="Heading2"/>
      </w:pPr>
      <w:r>
        <w:t>7.10 End-to-End Pipeline Walkthrough from the Real Bilingual Example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152"/>
            <w:shd w:fill="E8EEF5"/>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jc w:val="center"/>
            </w:pPr>
            <w:r>
              <w:rPr>
                <w:rFonts w:ascii="Calibri" w:hAnsi="Calibri"/>
                <w:b/>
                <w:color w:val="0B2545"/>
              </w:rPr>
              <w:t>Step</w:t>
            </w:r>
          </w:p>
        </w:tc>
        <w:tc>
          <w:tcPr>
            <w:tcW w:type="dxa" w:w="2232"/>
            <w:shd w:fill="E8EEF5"/>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jc w:val="center"/>
            </w:pPr>
            <w:r>
              <w:rPr>
                <w:rFonts w:ascii="Calibri" w:hAnsi="Calibri"/>
                <w:b/>
                <w:color w:val="0B2545"/>
              </w:rPr>
              <w:t>Input</w:t>
            </w:r>
          </w:p>
        </w:tc>
        <w:tc>
          <w:tcPr>
            <w:tcW w:type="dxa" w:w="2520"/>
            <w:shd w:fill="E8EEF5"/>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jc w:val="center"/>
            </w:pPr>
            <w:r>
              <w:rPr>
                <w:rFonts w:ascii="Calibri" w:hAnsi="Calibri"/>
                <w:b/>
                <w:color w:val="0B2545"/>
              </w:rPr>
              <w:t>Output</w:t>
            </w:r>
          </w:p>
        </w:tc>
        <w:tc>
          <w:tcPr>
            <w:tcW w:type="dxa" w:w="3456"/>
            <w:shd w:fill="E8EEF5"/>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jc w:val="center"/>
            </w:pPr>
            <w:r>
              <w:rPr>
                <w:rFonts w:ascii="Calibri" w:hAnsi="Calibri"/>
                <w:b/>
                <w:color w:val="0B2545"/>
              </w:rPr>
              <w:t>Acceptance Check</w:t>
            </w:r>
          </w:p>
        </w:tc>
      </w:tr>
      <w:tr>
        <w:tc>
          <w:tcPr>
            <w:tcW w:type="dxa" w:w="1152"/>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1. Register raw source</w:t>
            </w:r>
          </w:p>
        </w:tc>
        <w:tc>
          <w:tcPr>
            <w:tcW w:type="dxa" w:w="2232"/>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Arabic official Constitution PDF and French translation PDF.</w:t>
            </w:r>
          </w:p>
        </w:tc>
        <w:tc>
          <w:tcPr>
            <w:tcW w:type="dxa" w:w="2520"/>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Immutable raw files and sha256 manifests.</w:t>
            </w:r>
          </w:p>
        </w:tc>
        <w:tc>
          <w:tcPr>
            <w:tcW w:type="dxa" w:w="3456"/>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Both language files linked under source group constitution_2014.</w:t>
            </w:r>
          </w:p>
        </w:tc>
      </w:tr>
      <w:tr>
        <w:tc>
          <w:tcPr>
            <w:tcW w:type="dxa" w:w="1152"/>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2. Render pages</w:t>
            </w:r>
          </w:p>
        </w:tc>
        <w:tc>
          <w:tcPr>
            <w:tcW w:type="dxa" w:w="2232"/>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Article pages from both PDFs.</w:t>
            </w:r>
          </w:p>
        </w:tc>
        <w:tc>
          <w:tcPr>
            <w:tcW w:type="dxa" w:w="2520"/>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300 dpi page images with stable page ids.</w:t>
            </w:r>
          </w:p>
        </w:tc>
        <w:tc>
          <w:tcPr>
            <w:tcW w:type="dxa" w:w="3456"/>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Page count matches manifest for each language file.</w:t>
            </w:r>
          </w:p>
        </w:tc>
      </w:tr>
      <w:tr>
        <w:tc>
          <w:tcPr>
            <w:tcW w:type="dxa" w:w="1152"/>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3. Detect layout</w:t>
            </w:r>
          </w:p>
        </w:tc>
        <w:tc>
          <w:tcPr>
            <w:tcW w:type="dxa" w:w="2232"/>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Page images.</w:t>
            </w:r>
          </w:p>
        </w:tc>
        <w:tc>
          <w:tcPr>
            <w:tcW w:type="dxa" w:w="2520"/>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Arabic right-to-left heading/body blocks and French article blocks.</w:t>
            </w:r>
          </w:p>
        </w:tc>
        <w:tc>
          <w:tcPr>
            <w:tcW w:type="dxa" w:w="3456"/>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Blocks have coordinates, language, and confidence.</w:t>
            </w:r>
          </w:p>
        </w:tc>
      </w:tr>
      <w:tr>
        <w:tc>
          <w:tcPr>
            <w:tcW w:type="dxa" w:w="1152"/>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4. OCR and correction</w:t>
            </w:r>
          </w:p>
        </w:tc>
        <w:tc>
          <w:tcPr>
            <w:tcW w:type="dxa" w:w="2232"/>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Layout blocks.</w:t>
            </w:r>
          </w:p>
        </w:tc>
        <w:tc>
          <w:tcPr>
            <w:tcW w:type="dxa" w:w="2520"/>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Corrected text by block.</w:t>
            </w:r>
          </w:p>
        </w:tc>
        <w:tc>
          <w:tcPr>
            <w:tcW w:type="dxa" w:w="3456"/>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Arabic and French fragments stay literal; no paraphrase allowed.</w:t>
            </w:r>
          </w:p>
        </w:tc>
      </w:tr>
      <w:tr>
        <w:tc>
          <w:tcPr>
            <w:tcW w:type="dxa" w:w="1152"/>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5. Parse structure</w:t>
            </w:r>
          </w:p>
        </w:tc>
        <w:tc>
          <w:tcPr>
            <w:tcW w:type="dxa" w:w="2232"/>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Corrected Article 1 text in both languages.</w:t>
            </w:r>
          </w:p>
        </w:tc>
        <w:tc>
          <w:tcPr>
            <w:tcW w:type="dxa" w:w="2520"/>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One article tree with text_ar and text_fr.</w:t>
            </w:r>
          </w:p>
        </w:tc>
        <w:tc>
          <w:tcPr>
            <w:tcW w:type="dxa" w:w="3456"/>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Article numbers align: الفصل الأول = Article premier = article_number 1.</w:t>
            </w:r>
          </w:p>
        </w:tc>
      </w:tr>
      <w:tr>
        <w:tc>
          <w:tcPr>
            <w:tcW w:type="dxa" w:w="1152"/>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6. Validate</w:t>
            </w:r>
          </w:p>
        </w:tc>
        <w:tc>
          <w:tcPr>
            <w:tcW w:type="dxa" w:w="2232"/>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Article tree.</w:t>
            </w:r>
          </w:p>
        </w:tc>
        <w:tc>
          <w:tcPr>
            <w:tcW w:type="dxa" w:w="2520"/>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Accepted validation report.</w:t>
            </w:r>
          </w:p>
        </w:tc>
        <w:tc>
          <w:tcPr>
            <w:tcW w:type="dxa" w:w="3456"/>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No empty text, no missing source span, bilingual alignment marked as verified or needs review.</w:t>
            </w:r>
          </w:p>
        </w:tc>
      </w:tr>
      <w:tr>
        <w:tc>
          <w:tcPr>
            <w:tcW w:type="dxa" w:w="1152"/>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7. Load</w:t>
            </w:r>
          </w:p>
        </w:tc>
        <w:tc>
          <w:tcPr>
            <w:tcW w:type="dxa" w:w="2232"/>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Accepted parser JSONL.</w:t>
            </w:r>
          </w:p>
        </w:tc>
        <w:tc>
          <w:tcPr>
            <w:tcW w:type="dxa" w:w="2520"/>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One legal_article_version row with both language fields.</w:t>
            </w:r>
          </w:p>
        </w:tc>
        <w:tc>
          <w:tcPr>
            <w:tcW w:type="dxa" w:w="3456"/>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Re-running the load does not duplicate article-1.</w:t>
            </w:r>
          </w:p>
        </w:tc>
      </w:tr>
      <w:tr>
        <w:tc>
          <w:tcPr>
            <w:tcW w:type="dxa" w:w="1152"/>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8. Handoff</w:t>
            </w:r>
          </w:p>
        </w:tc>
        <w:tc>
          <w:tcPr>
            <w:tcW w:type="dxa" w:w="2232"/>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Database row and fixture.</w:t>
            </w:r>
          </w:p>
        </w:tc>
        <w:tc>
          <w:tcPr>
            <w:tcW w:type="dxa" w:w="2520"/>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Pillar B can close valid_to in 2022; Pillar C can index AR/FR text.</w:t>
            </w:r>
          </w:p>
        </w:tc>
        <w:tc>
          <w:tcPr>
            <w:tcW w:type="dxa" w:w="3456"/>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Consumer contract tests pass.</w:t>
            </w:r>
          </w:p>
        </w:tc>
      </w:tr>
    </w:tbl>
    <w:p/>
    <w:p>
      <w:pPr>
        <w:pStyle w:val="Heading2"/>
      </w:pPr>
      <w:r>
        <w:t>7.11 Suggested Developer Fixtures</w:t>
      </w:r>
    </w:p>
    <w:p>
      <w:pPr>
        <w:pStyle w:val="ListBullet"/>
        <w:spacing w:after="80"/>
        <w:ind w:left="360" w:hanging="144"/>
      </w:pPr>
      <w:r>
        <w:rPr>
          <w:rFonts w:ascii="Calibri" w:hAnsi="Calibri"/>
        </w:rPr>
        <w:t>fixture_parser_simple_fr.json: one French title, one chapter, three normal articles.</w:t>
      </w:r>
    </w:p>
    <w:p>
      <w:pPr>
        <w:pStyle w:val="ListBullet"/>
        <w:spacing w:after="80"/>
        <w:ind w:left="360" w:hanging="144"/>
      </w:pPr>
      <w:r>
        <w:rPr>
          <w:rFonts w:ascii="Calibri" w:hAnsi="Calibri"/>
        </w:rPr>
        <w:t>fixture_parser_bis_ter_ar.json: Arabic article numbers with repeated/bis and third/ter variants.</w:t>
      </w:r>
    </w:p>
    <w:p>
      <w:pPr>
        <w:pStyle w:val="ListBullet"/>
        <w:spacing w:after="80"/>
        <w:ind w:left="360" w:hanging="144"/>
      </w:pPr>
      <w:r>
        <w:rPr>
          <w:rFonts w:ascii="Calibri" w:hAnsi="Calibri"/>
        </w:rPr>
        <w:t>fixture_parser_table_tax.json: article containing a tax-rate table with caption and row/column extraction.</w:t>
      </w:r>
    </w:p>
    <w:p>
      <w:pPr>
        <w:pStyle w:val="ListBullet"/>
        <w:spacing w:after="80"/>
        <w:ind w:left="360" w:hanging="144"/>
      </w:pPr>
      <w:r>
        <w:rPr>
          <w:rFonts w:ascii="Calibri" w:hAnsi="Calibri"/>
        </w:rPr>
        <w:t>fixture_parser_duplicate_reject.json: intentionally duplicated article number to test validator failure.</w:t>
      </w:r>
    </w:p>
    <w:p>
      <w:pPr>
        <w:pStyle w:val="ListBullet"/>
        <w:spacing w:after="80"/>
        <w:ind w:left="360" w:hanging="144"/>
      </w:pPr>
      <w:r>
        <w:rPr>
          <w:rFonts w:ascii="Calibri" w:hAnsi="Calibri"/>
        </w:rPr>
        <w:t>fixture_loader_idempotent.jsonl: accepted article versions used to prove a second load does not duplicate rows.</w:t>
      </w:r>
    </w:p>
    <w:p>
      <w:pPr>
        <w:pStyle w:val="Heading1"/>
      </w:pPr>
      <w:r>
        <w:t>8. Interfaces and Dependencies</w:t>
      </w:r>
    </w:p>
    <w:tbl>
      <w:tblPr>
        <w:tblW w:type="auto" w:w="0"/>
        <w:jc w:val="center"/>
        <w:tblLayout w:type="fixed"/>
        <w:tblLook w:firstColumn="1" w:firstRow="1" w:lastColumn="0" w:lastRow="0" w:noHBand="0" w:noVBand="1" w:val="04A0"/>
      </w:tblPr>
      <w:tblGrid>
        <w:gridCol w:w="3120"/>
        <w:gridCol w:w="3120"/>
        <w:gridCol w:w="3120"/>
      </w:tblGrid>
      <w:tr>
        <w:tc>
          <w:tcPr>
            <w:tcW w:type="dxa" w:w="2088"/>
            <w:shd w:fill="E8EEF5"/>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jc w:val="center"/>
            </w:pPr>
            <w:r>
              <w:rPr>
                <w:rFonts w:ascii="Calibri" w:hAnsi="Calibri"/>
                <w:b/>
                <w:color w:val="0B2545"/>
              </w:rPr>
              <w:t>Consumer</w:t>
            </w:r>
          </w:p>
        </w:tc>
        <w:tc>
          <w:tcPr>
            <w:tcW w:type="dxa" w:w="5472"/>
            <w:shd w:fill="E8EEF5"/>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jc w:val="center"/>
            </w:pPr>
            <w:r>
              <w:rPr>
                <w:rFonts w:ascii="Calibri" w:hAnsi="Calibri"/>
                <w:b/>
                <w:color w:val="0B2545"/>
              </w:rPr>
              <w:t>Contract</w:t>
            </w:r>
          </w:p>
        </w:tc>
        <w:tc>
          <w:tcPr>
            <w:tcW w:type="dxa" w:w="1800"/>
            <w:shd w:fill="E8EEF5"/>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jc w:val="center"/>
            </w:pPr>
            <w:r>
              <w:rPr>
                <w:rFonts w:ascii="Calibri" w:hAnsi="Calibri"/>
                <w:b/>
                <w:color w:val="0B2545"/>
              </w:rPr>
              <w:t>Due Date</w:t>
            </w:r>
          </w:p>
        </w:tc>
      </w:tr>
      <w:tr>
        <w:tc>
          <w:tcPr>
            <w:tcW w:type="dxa" w:w="2088"/>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Pillars B and C</w:t>
            </w:r>
          </w:p>
        </w:tc>
        <w:tc>
          <w:tcPr>
            <w:tcW w:type="dxa" w:w="5472"/>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Fixtures: 200 structured articles, schema-compatible JSON, and loader script.</w:t>
            </w:r>
          </w:p>
        </w:tc>
        <w:tc>
          <w:tcPr>
            <w:tcW w:type="dxa" w:w="1800"/>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End of week 1</w:t>
            </w:r>
          </w:p>
        </w:tc>
      </w:tr>
      <w:tr>
        <w:tc>
          <w:tcPr>
            <w:tcW w:type="dxa" w:w="2088"/>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Pillar B</w:t>
            </w:r>
          </w:p>
        </w:tc>
        <w:tc>
          <w:tcPr>
            <w:tcW w:type="dxa" w:w="5472"/>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Read/write access pattern for legal_article_version and amendment_operation; structural parser output.</w:t>
            </w:r>
          </w:p>
        </w:tc>
        <w:tc>
          <w:tcPr>
            <w:tcW w:type="dxa" w:w="1800"/>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End of week 3</w:t>
            </w:r>
          </w:p>
        </w:tc>
      </w:tr>
      <w:tr>
        <w:tc>
          <w:tcPr>
            <w:tcW w:type="dxa" w:w="2088"/>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Pillar C</w:t>
            </w:r>
          </w:p>
        </w:tc>
        <w:tc>
          <w:tcPr>
            <w:tcW w:type="dxa" w:w="5472"/>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Complete current-version truth database via documented read views.</w:t>
            </w:r>
          </w:p>
        </w:tc>
        <w:tc>
          <w:tcPr>
            <w:tcW w:type="dxa" w:w="1800"/>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End of week 4</w:t>
            </w:r>
          </w:p>
        </w:tc>
      </w:tr>
      <w:tr>
        <w:tc>
          <w:tcPr>
            <w:tcW w:type="dxa" w:w="2088"/>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Project lead</w:t>
            </w:r>
          </w:p>
        </w:tc>
        <w:tc>
          <w:tcPr>
            <w:tcW w:type="dxa" w:w="5472"/>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OCR quality report, parser validation report, DECISIONS.md updates.</w:t>
            </w:r>
          </w:p>
        </w:tc>
        <w:tc>
          <w:tcPr>
            <w:tcW w:type="dxa" w:w="1800"/>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Weeks 2 and 4</w:t>
            </w:r>
          </w:p>
        </w:tc>
      </w:tr>
    </w:tbl>
    <w:p/>
    <w:p>
      <w:pPr>
        <w:pStyle w:val="Heading1"/>
      </w:pPr>
      <w:r>
        <w:t>9. Four-Week Delivery Plan</w:t>
      </w:r>
    </w:p>
    <w:tbl>
      <w:tblPr>
        <w:tblW w:type="auto" w:w="0"/>
        <w:jc w:val="center"/>
        <w:tblLayout w:type="fixed"/>
        <w:tblLook w:firstColumn="1" w:firstRow="1" w:lastColumn="0" w:lastRow="0" w:noHBand="0" w:noVBand="1" w:val="04A0"/>
      </w:tblPr>
      <w:tblGrid>
        <w:gridCol w:w="3120"/>
        <w:gridCol w:w="3120"/>
        <w:gridCol w:w="3120"/>
      </w:tblGrid>
      <w:tr>
        <w:tc>
          <w:tcPr>
            <w:tcW w:type="dxa" w:w="936"/>
            <w:shd w:fill="E8EEF5"/>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jc w:val="center"/>
            </w:pPr>
            <w:r>
              <w:rPr>
                <w:rFonts w:ascii="Calibri" w:hAnsi="Calibri"/>
                <w:b/>
                <w:color w:val="0B2545"/>
              </w:rPr>
              <w:t>Week</w:t>
            </w:r>
          </w:p>
        </w:tc>
        <w:tc>
          <w:tcPr>
            <w:tcW w:type="dxa" w:w="4680"/>
            <w:shd w:fill="E8EEF5"/>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jc w:val="center"/>
            </w:pPr>
            <w:r>
              <w:rPr>
                <w:rFonts w:ascii="Calibri" w:hAnsi="Calibri"/>
                <w:b/>
                <w:color w:val="0B2545"/>
              </w:rPr>
              <w:t>Work</w:t>
            </w:r>
          </w:p>
        </w:tc>
        <w:tc>
          <w:tcPr>
            <w:tcW w:type="dxa" w:w="3744"/>
            <w:shd w:fill="E8EEF5"/>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jc w:val="center"/>
            </w:pPr>
            <w:r>
              <w:rPr>
                <w:rFonts w:ascii="Calibri" w:hAnsi="Calibri"/>
                <w:b/>
                <w:color w:val="0B2545"/>
              </w:rPr>
              <w:t>Inspectable Output</w:t>
            </w:r>
          </w:p>
        </w:tc>
      </w:tr>
      <w:tr>
        <w:tc>
          <w:tcPr>
            <w:tcW w:type="dxa" w:w="936"/>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1</w:t>
            </w:r>
          </w:p>
        </w:tc>
        <w:tc>
          <w:tcPr>
            <w:tcW w:type="dxa" w:w="4680"/>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Repository setup, raw-zone manifests, schema migrations, first fixtures assembled with assisted/manual validation.</w:t>
            </w:r>
          </w:p>
        </w:tc>
        <w:tc>
          <w:tcPr>
            <w:tcW w:type="dxa" w:w="3744"/>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Empty database with complete schema plus 200-article fixtures.</w:t>
            </w:r>
          </w:p>
        </w:tc>
      </w:tr>
      <w:tr>
        <w:tc>
          <w:tcPr>
            <w:tcW w:type="dxa" w:w="936"/>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2</w:t>
            </w:r>
          </w:p>
        </w:tc>
        <w:tc>
          <w:tcPr>
            <w:tcW w:type="dxa" w:w="4680"/>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OCR pipeline, manual gold reference, CER measurement, layout reporting.</w:t>
            </w:r>
          </w:p>
        </w:tc>
        <w:tc>
          <w:tcPr>
            <w:tcW w:type="dxa" w:w="3744"/>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CER report proving thresholds or listing blocked pages with reasons.</w:t>
            </w:r>
          </w:p>
        </w:tc>
      </w:tr>
      <w:tr>
        <w:tc>
          <w:tcPr>
            <w:tcW w:type="dxa" w:w="936"/>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3</w:t>
            </w:r>
          </w:p>
        </w:tc>
        <w:tc>
          <w:tcPr>
            <w:tcW w:type="dxa" w:w="4680"/>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Hybrid parser, validators, rejection reports, full Labor Code load.</w:t>
            </w:r>
          </w:p>
        </w:tc>
        <w:tc>
          <w:tcPr>
            <w:tcW w:type="dxa" w:w="3744"/>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Labor Code accepted with zero validator errors.</w:t>
            </w:r>
          </w:p>
        </w:tc>
      </w:tr>
      <w:tr>
        <w:tc>
          <w:tcPr>
            <w:tcW w:type="dxa" w:w="936"/>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4</w:t>
            </w:r>
          </w:p>
        </w:tc>
        <w:tc>
          <w:tcPr>
            <w:tcW w:type="dxa" w:w="4680"/>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Remaining two corpora, read views, rebuild documentation, acceptance handoff.</w:t>
            </w:r>
          </w:p>
        </w:tc>
        <w:tc>
          <w:tcPr>
            <w:tcW w:type="dxa" w:w="3744"/>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Three corpora loaded and rebuildable from scratch with one command in under two hours.</w:t>
            </w:r>
          </w:p>
        </w:tc>
      </w:tr>
    </w:tbl>
    <w:p/>
    <w:p>
      <w:pPr>
        <w:pStyle w:val="Heading1"/>
      </w:pPr>
      <w:r>
        <w:t>10. Final Acceptance Criteria</w:t>
      </w:r>
    </w:p>
    <w:p>
      <w:pPr>
        <w:pStyle w:val="ListBullet"/>
        <w:spacing w:after="80"/>
        <w:ind w:left="360" w:hanging="144"/>
      </w:pPr>
      <w:r>
        <w:rPr>
          <w:rFonts w:ascii="Calibri" w:hAnsi="Calibri"/>
        </w:rPr>
        <w:t>All three month-one corpora are loaded into the truth database and validators pass with no accepted error.</w:t>
      </w:r>
    </w:p>
    <w:p>
      <w:pPr>
        <w:pStyle w:val="ListBullet"/>
        <w:spacing w:after="80"/>
        <w:ind w:left="360" w:hanging="144"/>
      </w:pPr>
      <w:r>
        <w:rPr>
          <w:rFonts w:ascii="Calibri" w:hAnsi="Calibri"/>
        </w:rPr>
        <w:t>CER is documented within required thresholds on the 50-page gold sample.</w:t>
      </w:r>
    </w:p>
    <w:p>
      <w:pPr>
        <w:pStyle w:val="ListBullet"/>
        <w:spacing w:after="80"/>
        <w:ind w:left="360" w:hanging="144"/>
      </w:pPr>
      <w:r>
        <w:rPr>
          <w:rFonts w:ascii="Calibri" w:hAnsi="Calibri"/>
        </w:rPr>
        <w:t>Fixtures were delivered on time and their schema did not break downstream pillars without coordinated approval.</w:t>
      </w:r>
    </w:p>
    <w:p>
      <w:pPr>
        <w:pStyle w:val="ListBullet"/>
        <w:spacing w:after="80"/>
        <w:ind w:left="360" w:hanging="144"/>
      </w:pPr>
      <w:r>
        <w:rPr>
          <w:rFonts w:ascii="Calibri" w:hAnsi="Calibri"/>
        </w:rPr>
        <w:t>The full database can be rebuilt from scratch with one documented command in under two hours.</w:t>
      </w:r>
    </w:p>
    <w:p>
      <w:pPr>
        <w:pStyle w:val="ListBullet"/>
        <w:spacing w:after="80"/>
        <w:ind w:left="360" w:hanging="144"/>
      </w:pPr>
      <w:r>
        <w:rPr>
          <w:rFonts w:ascii="Calibri" w:hAnsi="Calibri"/>
        </w:rPr>
        <w:t>pytest coverage is at least 80% on parser and validators.</w:t>
      </w:r>
    </w:p>
    <w:p>
      <w:pPr>
        <w:pStyle w:val="ListBullet"/>
        <w:spacing w:after="80"/>
        <w:ind w:left="360" w:hanging="144"/>
      </w:pPr>
      <w:r>
        <w:rPr>
          <w:rFonts w:ascii="Calibri" w:hAnsi="Calibri"/>
        </w:rPr>
        <w:t>A random legal-expert audit of 30 articles matches the official source with 100% correctness.</w:t>
      </w:r>
    </w:p>
    <w:p>
      <w:pPr>
        <w:pStyle w:val="Heading1"/>
      </w:pPr>
      <w:r>
        <w:t>Shared Engineering Requirements</w:t>
      </w:r>
    </w:p>
    <w:tbl>
      <w:tblPr>
        <w:tblW w:type="auto" w:w="0"/>
        <w:jc w:val="center"/>
        <w:tblLayout w:type="fixed"/>
        <w:tblLook w:firstColumn="1" w:firstRow="1" w:lastColumn="0" w:lastRow="0" w:noHBand="0" w:noVBand="1" w:val="04A0"/>
      </w:tblPr>
      <w:tblGrid>
        <w:gridCol w:w="4680"/>
        <w:gridCol w:w="4680"/>
      </w:tblGrid>
      <w:tr>
        <w:tc>
          <w:tcPr>
            <w:tcW w:type="dxa" w:w="2448"/>
            <w:shd w:fill="E8EEF5"/>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jc w:val="center"/>
            </w:pPr>
            <w:r>
              <w:rPr>
                <w:rFonts w:ascii="Calibri" w:hAnsi="Calibri"/>
                <w:b/>
                <w:color w:val="0B2545"/>
              </w:rPr>
              <w:t>Area</w:t>
            </w:r>
          </w:p>
        </w:tc>
        <w:tc>
          <w:tcPr>
            <w:tcW w:type="dxa" w:w="6912"/>
            <w:shd w:fill="E8EEF5"/>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jc w:val="center"/>
            </w:pPr>
            <w:r>
              <w:rPr>
                <w:rFonts w:ascii="Calibri" w:hAnsi="Calibri"/>
                <w:b/>
                <w:color w:val="0B2545"/>
              </w:rPr>
              <w:t>Requirement</w:t>
            </w:r>
          </w:p>
        </w:tc>
      </w:tr>
      <w:tr>
        <w:tc>
          <w:tcPr>
            <w:tcW w:type="dxa" w:w="2448"/>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Language and runtime</w:t>
            </w:r>
          </w:p>
        </w:tc>
        <w:tc>
          <w:tcPr>
            <w:tcW w:type="dxa" w:w="6912"/>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Python 3.11 or later for the AI layer. Public functions must use type hints. Core packages must expose clear module-level docstrings.</w:t>
            </w:r>
          </w:p>
        </w:tc>
      </w:tr>
      <w:tr>
        <w:tc>
          <w:tcPr>
            <w:tcW w:type="dxa" w:w="2448"/>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Quality gates</w:t>
            </w:r>
          </w:p>
        </w:tc>
        <w:tc>
          <w:tcPr>
            <w:tcW w:type="dxa" w:w="6912"/>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ruff and mypy must pass before merge. pytest coverage must be at least 80% on core logic. Any bug fix must include a regression test.</w:t>
            </w:r>
          </w:p>
        </w:tc>
      </w:tr>
      <w:tr>
        <w:tc>
          <w:tcPr>
            <w:tcW w:type="dxa" w:w="2448"/>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Repository workflow</w:t>
            </w:r>
          </w:p>
        </w:tc>
        <w:tc>
          <w:tcPr>
            <w:tcW w:type="dxa" w:w="6912"/>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Feature branches from develop. Pull requests require project-lead review. Commits must use English Conventional Commits.</w:t>
            </w:r>
          </w:p>
        </w:tc>
      </w:tr>
      <w:tr>
        <w:tc>
          <w:tcPr>
            <w:tcW w:type="dxa" w:w="2448"/>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Secrets</w:t>
            </w:r>
          </w:p>
        </w:tc>
        <w:tc>
          <w:tcPr>
            <w:tcW w:type="dxa" w:w="6912"/>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No API keys, credentials, or private data in Git. Use .env for local secrets and keep .env.example current.</w:t>
            </w:r>
          </w:p>
        </w:tc>
      </w:tr>
      <w:tr>
        <w:tc>
          <w:tcPr>
            <w:tcW w:type="dxa" w:w="2448"/>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Tracing</w:t>
            </w:r>
          </w:p>
        </w:tc>
        <w:tc>
          <w:tcPr>
            <w:tcW w:type="dxa" w:w="6912"/>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Every LLM call must log prompt template id, model id, input hash, output, latency, token/cost estimate, schema validation result, and run id.</w:t>
            </w:r>
          </w:p>
        </w:tc>
      </w:tr>
      <w:tr>
        <w:tc>
          <w:tcPr>
            <w:tcW w:type="dxa" w:w="2448"/>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Documentation</w:t>
            </w:r>
          </w:p>
        </w:tc>
        <w:tc>
          <w:tcPr>
            <w:tcW w:type="dxa" w:w="6912"/>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Each pillar must include README instructions that rebuild or run the pillar from a clean environment with one documented command.</w:t>
            </w:r>
          </w:p>
        </w:tc>
      </w:tr>
      <w:tr>
        <w:tc>
          <w:tcPr>
            <w:tcW w:type="dxa" w:w="2448"/>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Confidentiality</w:t>
            </w:r>
          </w:p>
        </w:tc>
        <w:tc>
          <w:tcPr>
            <w:tcW w:type="dxa" w:w="6912"/>
            <w:tcBorders>
              <w:top w:val="single" w:sz="4" w:space="0" w:color="C9D3DF"/>
              <w:left w:val="single" w:sz="4" w:space="0" w:color="C9D3DF"/>
              <w:bottom w:val="single" w:sz="4" w:space="0" w:color="C9D3DF"/>
              <w:right w:val="single" w:sz="4" w:space="0" w:color="C9D3DF"/>
              <w:insideH w:val="single" w:sz="4" w:space="0" w:color="C9D3DF"/>
              <w:insideV w:val="single" w:sz="4" w:space="0" w:color="C9D3DF"/>
            </w:tcBorders>
            <w:vAlign w:val="center"/>
          </w:tcPr>
          <w:p>
            <w:pPr>
              <w:spacing w:after="40"/>
            </w:pPr>
            <w:r>
              <w:rPr>
                <w:rFonts w:ascii="Calibri" w:hAnsi="Calibri"/>
              </w:rPr>
              <w:t>All code, data, prompts, evaluation sets, and review decisions are company assets and must stay in approved repositories and tools.</w:t>
            </w:r>
          </w:p>
        </w:tc>
      </w:tr>
    </w:tbl>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748B"/>
        <w:sz w:val="18"/>
      </w:rPr>
      <w:t>Internal technical requirements - English detailed version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