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rFonts w:ascii="Arial" w:hAnsi="Arial"/>
          <w:b/>
          <w:color w:val="78909C"/>
          <w:sz w:val="22"/>
        </w:rPr>
        <w:t>TEK-UP UNIVERSITY • DÉPARTEMENT DATA SCIENCE &amp; INTELLIGENCE ARTIFICIELLE</w:t>
        <w:br/>
      </w:r>
      <w:r>
        <w:rPr>
          <w:rFonts w:ascii="Calibri" w:hAnsi="Calibri"/>
          <w:color w:val="8CA0AF"/>
          <w:sz w:val="20"/>
        </w:rPr>
        <w:t>Cours : Séries Temporelles pour Data Science &amp; IA (Master / Cycle Ingénieur)</w:t>
        <w:br/>
        <w:t>Année Universitaire 2025–2026</w:t>
        <w:br/>
      </w:r>
    </w:p>
    <w:p>
      <w:pPr>
        <w:spacing w:after="400"/>
        <w:jc w:val="center"/>
      </w:pPr>
      <w:r>
        <w:rPr>
          <w:color w:val="2980B9"/>
        </w:rPr>
        <w:t>—————————————————————————————————————————————</w:t>
      </w:r>
    </w:p>
    <w:p>
      <w:pPr>
        <w:spacing w:before="200" w:after="200"/>
        <w:jc w:val="center"/>
      </w:pPr>
      <w:r>
        <w:rPr>
          <w:rFonts w:ascii="Arial" w:hAnsi="Arial"/>
          <w:b/>
          <w:color w:val="1A5276"/>
          <w:sz w:val="34"/>
        </w:rPr>
        <w:t>MINI-PROJET DE SÉRIES TEMPORELLES</w:t>
        <w:br/>
        <w:t>RAPPORT D'EXPERTISE ÉCONOMÉTRIQUE &amp; DEEP LEARNING</w:t>
        <w:br/>
      </w:r>
      <w:r>
        <w:rPr>
          <w:rFonts w:ascii="Arial" w:hAnsi="Arial"/>
          <w:b/>
          <w:color w:val="2980B9"/>
          <w:sz w:val="26"/>
        </w:rPr>
        <w:t>« Dynamique Conjointe, Cointégration et Modélisation de la Volatilité d'un Panier Tri-Cryptomonnaies :</w:t>
        <w:br/>
        <w:t>Bitcoin (BTC-USD), Ethereum (ETH-USD) et Binance Coin (BNB-USD) [2019–2026] »</w:t>
        <w:br/>
      </w:r>
    </w:p>
    <w:tbl>
      <w:tblPr>
        <w:tblW w:type="auto" w:w="0"/>
        <w:jc w:val="center"/>
        <w:tblLook w:firstColumn="1" w:firstRow="1" w:lastColumn="0" w:lastRow="0" w:noHBand="0" w:noVBand="1" w:val="04A0"/>
        <w:tblBorders>
          <w:top w:val="single" w:sz="6" w:space="0" w:color="BDC3C7"/>
          <w:bottom w:val="single" w:sz="6" w:space="0" w:color="BDC3C7"/>
          <w:insideH w:val="single" w:sz="6" w:space="0" w:color="BDC3C7"/>
          <w:insideV w:val="none"/>
          <w:left w:val="none"/>
          <w:right w:val="none"/>
        </w:tblBorders>
      </w:tblPr>
      <w:tblGrid>
        <w:gridCol w:w="9360"/>
      </w:tblGrid>
      <w:tr>
        <w:tc>
          <w:tcPr>
            <w:tcW w:type="dxa" w:w="9360"/>
            <w:shd w:fill="F4F6F7"/>
            <w:tcMar>
              <w:top w:w="120" w:type="dxa"/>
              <w:bottom w:w="120" w:type="dxa"/>
              <w:left w:w="180" w:type="dxa"/>
              <w:right w:w="180" w:type="dxa"/>
            </w:tcMar>
          </w:tcPr>
          <w:p>
            <w:pPr>
              <w:spacing w:after="40"/>
              <w:jc w:val="center"/>
            </w:pPr>
            <w:r>
              <w:rPr>
                <w:rFonts w:ascii="Arial" w:hAnsi="Arial"/>
                <w:b/>
                <w:color w:val="1A5276"/>
                <w:sz w:val="21"/>
              </w:rPr>
              <w:t>ÉQUIPE DE PROJET DATA SCIENCE &amp; IA</w:t>
              <w:br/>
            </w:r>
            <w:r>
              <w:rPr>
                <w:rFonts w:ascii="Calibri" w:hAnsi="Calibri"/>
                <w:color w:val="2C3E50"/>
                <w:sz w:val="19"/>
              </w:rPr>
              <w:t>1. Rawen Bejie (Rôle 1 : Ingestion des Données 2019–2026, Feature Engineering &amp; Split Chronologique)</w:t>
              <w:br/>
              <w:t>2. Khawla Hawari (Rôle 2 : Analyse Exploratoire EDA, Décomposition STL &amp; Double Diagnostic ADF/KPSS)</w:t>
              <w:br/>
              <w:t>3. Amine Benfadhel (Rôle 3 : Économétrie Multivariée VAR(5), Granger, Cointégration Johansen &amp; GARCH)</w:t>
              <w:br/>
              <w:t>4. Khalil Ayeb (Rôle 4 : Deep Learning PyTorch LSTM/GRU, Évaluation Prédictive &amp; Audit Critique LLM)</w:t>
              <w:br/>
              <w:br/>
              <w:t>Enseignant responsable : M. Ahmed Dhouibi (ahmed.dhouibi@tek-up.de)</w:t>
              <w:br/>
              <w:t>Date limite de remise : 12 Octobre 2026 à 23h55</w:t>
            </w:r>
          </w:p>
        </w:tc>
      </w:tr>
    </w:tbl>
    <w:p>
      <w:r>
        <w:br w:type="page"/>
      </w:r>
    </w:p>
    <w:p>
      <w:pPr>
        <w:keepNext/>
        <w:spacing w:before="360" w:after="160"/>
      </w:pPr>
      <w:r>
        <w:rPr>
          <w:rFonts w:ascii="Arial" w:hAnsi="Arial"/>
          <w:b/>
          <w:color w:val="1A5276"/>
          <w:sz w:val="32"/>
        </w:rPr>
        <w:t>Résumé Exécutif &amp; Synthèse des Résultats</w:t>
      </w:r>
    </w:p>
    <w:p>
      <w:pPr>
        <w:spacing w:before="0" w:after="100" w:line="276" w:lineRule="auto"/>
      </w:pPr>
      <w:r>
        <w:rPr>
          <w:rFonts w:ascii="Calibri" w:hAnsi="Calibri"/>
          <w:i w:val="0"/>
          <w:color w:val="2C3E50"/>
          <w:sz w:val="21"/>
        </w:rPr>
        <w:t>Le présent rapport constitue l'expertise économétrique et computationnelle finale pour le cours de Séries Temporelles pour Data Science &amp; IA (TEK-UP 2026). L'étude porte sur l'analyse conjointe, la transmission des chocs, la structure de cointégration et la prévision hors échantillon d'un panier tri-cryptomonnaies de premier plan : Bitcoin (BTC-USD), Ethereum (ETH-USD) et Binance Coin (BNB-USD), couvrant 2 803 cotations journalières continues (24/7/365) du 31 janvier 2019 au 3 octobre 2026.</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2980B9"/>
              <w:top w:val="none"/>
              <w:right w:val="none"/>
              <w:bottom w:val="none"/>
            </w:tcBorders>
          </w:tcPr>
          <w:p>
            <w:pPr>
              <w:spacing w:before="0" w:after="60"/>
            </w:pPr>
            <w:r>
              <w:rPr>
                <w:rFonts w:ascii="Arial" w:hAnsi="Arial"/>
                <w:b/>
                <w:color w:val="1A5276"/>
                <w:sz w:val="21"/>
              </w:rPr>
              <w:t>📌 Points Clés de l'Expertise Économétrique &amp; Décisions Méthodologiques</w:t>
              <w:br/>
            </w:r>
            <w:r>
              <w:rPr>
                <w:rFonts w:ascii="Calibri" w:hAnsi="Calibri"/>
                <w:color w:val="2C3E50"/>
                <w:sz w:val="20"/>
              </w:rPr>
              <w:t>1. Intégration I(1) &amp; Rendements I(0) : Double confirmation conjointe ADF et KPSS établissant que les 3 séries de log-prix sont non stationnaires I(1) et leurs log-rendements strictement stationnaires I(0).</w:t>
              <w:br/>
              <w:t>2. Équivalence ARMA / ARIMA avec Dérive : Le modèle ARMA(1,1) avec constante estimé sur les log-rendements de Bitcoin (ar1=-0.0500, c=0.0892%, p=0.0304) est mathématiquement équivalent à un ARIMA(1,1,1) avec dérive linéaire déterministe sur les log-prix.</w:t>
              <w:br/>
              <w:t>3. Absence de Cointégration (Johansen r=0) : Le test de Johansen (k_ar_diff = 4) rejette toute relation de cointégration stationnaire (Trace = 25.53 &lt; 29.80 en Python / 30.27 &lt; 34.91 en R urca), justifiant rigoureusement l'estimation d'un système VAR(5) sur rendements stationnaires plutôt qu'un VECM en niveaux.</w:t>
              <w:br/>
              <w:t>4. Causalité au sens de Granger (3x3) : Préséance prédictive bidirectionnelle entre BTC et ETH (p=0.0033 et p=0.0423), et unidirectionnelle d'Ethereum vers BNB (p=0.0090). BNB n'offre aucun pouvoir prédictif marginal envers BTC ou ETH.</w:t>
              <w:br/>
              <w:t>5. Volatilité Conditionnelle GARCH(1,1) &amp; Frontière IGARCH : Persistance extrême unitaire (alpha1 + beta1 = 1.0000). Absence d'asymétrie de levier (GJR-GARCH gamma = -0.0029, p=0.895). Élimination des effets ARCH résiduels confirmée par ARCH-LM post-GARCH (p = 0.8889).</w:t>
              <w:br/>
              <w:t>6. Victoire de la Marche Aléatoire (Puzzle de Meese-Rogoff) : Sur les 281 jours de test hors échantillon (27/12/2025 au 03/10/2026), la marche aléatoire naïve (RMSE = 1 725.43 $) bat les modèles neuronaux (GRU = 2 468.90 $, LSTM = 3 776.48 $) et égale l'ARIMA roulant 1-pas (1 769.68 $, test DM p=0.214).</w:t>
              <w:br/>
              <w:t>7. Audit Critique LLM (Section 5) : Réfutation empirique de 3 hallucinations méthodologiques majeures produites par ChatGPT-4o, Claude 3.5 et DeepSeek-R1.</w:t>
            </w:r>
          </w:p>
        </w:tc>
      </w:tr>
    </w:tbl>
    <w:p>
      <w:pPr>
        <w:spacing w:before="0" w:after="80"/>
      </w:pPr>
    </w:p>
    <w:p>
      <w:pPr>
        <w:keepNext/>
        <w:spacing w:before="360" w:after="160"/>
      </w:pPr>
      <w:r>
        <w:rPr>
          <w:rFonts w:ascii="Arial" w:hAnsi="Arial"/>
          <w:b/>
          <w:color w:val="1A5276"/>
          <w:sz w:val="32"/>
        </w:rPr>
        <w:t>1. Source des Données, Justification &amp; Partition Chronologique</w:t>
      </w:r>
    </w:p>
    <w:p>
      <w:pPr>
        <w:keepNext/>
        <w:spacing w:before="280" w:after="120"/>
      </w:pPr>
      <w:r>
        <w:rPr>
          <w:rFonts w:ascii="Arial" w:hAnsi="Arial"/>
          <w:b/>
          <w:color w:val="2980B9"/>
          <w:sz w:val="26"/>
        </w:rPr>
        <w:t>1.1 Source des données et justification de la fenêtre 2019–2026</w:t>
      </w:r>
    </w:p>
    <w:p>
      <w:pPr>
        <w:spacing w:before="0" w:after="100" w:line="276" w:lineRule="auto"/>
      </w:pPr>
      <w:r>
        <w:rPr>
          <w:rFonts w:ascii="Calibri" w:hAnsi="Calibri"/>
          <w:i w:val="0"/>
          <w:color w:val="2C3E50"/>
          <w:sz w:val="21"/>
        </w:rPr>
        <w:t>Les séries temporelles brutes sont extraites via l'API officielle Yahoo Finance pour les trois principales cryptomonnaies par capitalisation boursière (hors stablecoins) : Bitcoin (BTC-USD), Ethereum (ETH-USD) et Binance Coin (BNB-USD). L'échantillon couvre la période s'étendant du 1er janvier 2019 au 3 octobre 2026 (date de finalisation de l'étude), représentant un univers de négociation continu 24/7/365 sans interruption de week-end ni jour férié.</w:t>
      </w:r>
    </w:p>
    <w:p>
      <w:pPr>
        <w:spacing w:before="0" w:after="100" w:line="276" w:lineRule="auto"/>
      </w:pPr>
      <w:r>
        <w:rPr>
          <w:rFonts w:ascii="Calibri" w:hAnsi="Calibri"/>
          <w:b/>
          <w:color w:val="2C3E50"/>
          <w:sz w:val="21"/>
        </w:rPr>
        <w:t xml:space="preserve">Origine exacte du 31/01/2019 : </w:t>
      </w:r>
      <w:r>
        <w:rPr>
          <w:rFonts w:ascii="Calibri" w:hAnsi="Calibri"/>
          <w:i w:val="0"/>
          <w:color w:val="2C3E50"/>
          <w:sz w:val="21"/>
        </w:rPr>
        <w:t>Justification empirique de la date de départ (31 janvier 2019) : L'ingestion des cotations brutes débute le 01/01/2019. Afin de modéliser fidèlement la structure de volatilité, nous calculons des indicateurs glissants sur 30 jours (volatilité réalisée glissante annualisée sigma_{30,t} et moyenne mobile simple SMA_{30}). La suppression rigoureuse des 30 premières observations incomplètes (dropna) fixe mécaniquement et proprement la date de début du jeu de données consolidé au 31 janvier 2019, garantissant un historique parfaitement continu de 2 803 observations journalières.</w:t>
      </w:r>
    </w:p>
    <w:p>
      <w:pPr>
        <w:keepNext/>
        <w:spacing w:before="280" w:after="120"/>
      </w:pPr>
      <w:r>
        <w:rPr>
          <w:rFonts w:ascii="Arial" w:hAnsi="Arial"/>
          <w:b/>
          <w:color w:val="2980B9"/>
          <w:sz w:val="26"/>
        </w:rPr>
        <w:t>1.2 Variables d'intérêt et transformations logarithmiques</w:t>
      </w:r>
    </w:p>
    <w:p>
      <w:pPr>
        <w:spacing w:before="0" w:after="100" w:line="276" w:lineRule="auto"/>
      </w:pPr>
      <w:r>
        <w:rPr>
          <w:rFonts w:ascii="Calibri" w:hAnsi="Calibri"/>
          <w:i w:val="0"/>
          <w:color w:val="2C3E50"/>
          <w:sz w:val="21"/>
        </w:rPr>
        <w:t>Pour chaque actif i in {BTC, ETH, BNB}, nous calculons les transformations mathématiques fondamentales :</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80" w:type="dxa"/>
              <w:right w:w="180" w:type="dxa"/>
            </w:tcMar>
            <w:tcBorders>
              <w:left w:val="single" w:sz="16" w:space="0" w:color="16A085"/>
              <w:top w:val="single" w:sz="4" w:space="0" w:color="E2E8F0"/>
              <w:right w:val="single" w:sz="4" w:space="0" w:color="E2E8F0"/>
              <w:bottom w:val="single" w:sz="4" w:space="0" w:color="E2E8F0"/>
            </w:tcBorders>
          </w:tcPr>
          <w:p>
            <w:pPr>
              <w:jc w:val="center"/>
            </w:pPr>
            <w:r>
              <w:rPr>
                <w:rFonts w:ascii="Cambria Math" w:hAnsi="Cambria Math"/>
                <w:b/>
                <w:color w:val="16A085"/>
                <w:sz w:val="22"/>
              </w:rPr>
              <w:t>p_{i,t} = \ln(P_{i,t}), \quad r_{i,t} = 100 \times (p_{i,t} - p_{i,t-1}) = 100 \times \ln\left(\frac{P_{i,t}}{P_{i,t-1}}\right)</w:t>
              <w:br/>
            </w:r>
          </w:p>
          <w:p>
            <w:pPr>
              <w:spacing w:before="40" w:after="0"/>
            </w:pPr>
            <w:r>
              <w:rPr>
                <w:rFonts w:ascii="Calibri" w:hAnsi="Calibri"/>
                <w:i/>
                <w:color w:val="505A64"/>
                <w:sz w:val="19"/>
              </w:rPr>
              <w:t>Où : P_{i,t} est le cours de clôture en USD, p_{i,t} le log-prix, et r_{i,t} le log-rendement continu journalier en pourcentage.</w:t>
            </w:r>
          </w:p>
        </w:tc>
      </w:tr>
    </w:tbl>
    <w:p>
      <w:pPr>
        <w:spacing w:after="80"/>
      </w:pPr>
    </w:p>
    <w:p>
      <w:pPr>
        <w:keepNext/>
        <w:spacing w:before="280" w:after="120"/>
      </w:pPr>
      <w:r>
        <w:rPr>
          <w:rFonts w:ascii="Arial" w:hAnsi="Arial"/>
          <w:b/>
          <w:color w:val="2980B9"/>
          <w:sz w:val="26"/>
        </w:rPr>
        <w:t>1.3 Partition chronologique stricte (Zero Data Leakage)</w:t>
      </w:r>
    </w:p>
    <w:p>
      <w:pPr>
        <w:spacing w:before="0" w:after="100" w:line="276" w:lineRule="auto"/>
      </w:pPr>
      <w:r>
        <w:rPr>
          <w:rFonts w:ascii="Calibri" w:hAnsi="Calibri"/>
          <w:i w:val="0"/>
          <w:color w:val="2C3E50"/>
          <w:sz w:val="21"/>
        </w:rPr>
        <w:t>Pour évaluer la robustesse prédictive des modèles en conditions réelles de marché, le jeu de données total (2 803 jours) est scindé de manière strictement chronologique sans aucun mélange aléatoire (shuffle) :</w:t>
      </w:r>
    </w:p>
    <w:p>
      <w:pPr>
        <w:spacing w:before="0" w:after="100" w:line="276" w:lineRule="auto"/>
      </w:pPr>
      <w:r>
        <w:rPr>
          <w:rFonts w:ascii="Calibri" w:hAnsi="Calibri"/>
          <w:i w:val="0"/>
          <w:color w:val="2C3E50"/>
          <w:sz w:val="21"/>
        </w:rPr>
        <w:t>• Échantillon d'Apprentissage (Train - 90%) : 2 522 jours continus, du 31 janvier 2019 au 26 décembre 2025 inclus.</w:t>
      </w:r>
    </w:p>
    <w:p>
      <w:pPr>
        <w:spacing w:before="0" w:after="100" w:line="276" w:lineRule="auto"/>
      </w:pPr>
      <w:r>
        <w:rPr>
          <w:rFonts w:ascii="Calibri" w:hAnsi="Calibri"/>
          <w:i w:val="0"/>
          <w:color w:val="2C3E50"/>
          <w:sz w:val="21"/>
        </w:rPr>
        <w:t>• Échantillon de Test Hors Échantillon (Test - 10%) : 281 jours continus, du 27 décembre 2025 au 3 octobre 2026 inclus.</w:t>
      </w:r>
    </w:p>
    <w:p>
      <w:pPr>
        <w:spacing w:before="0" w:after="100" w:line="276" w:lineRule="auto"/>
      </w:pPr>
      <w:r>
        <w:rPr>
          <w:rFonts w:ascii="Calibri" w:hAnsi="Calibri"/>
          <w:b/>
          <w:color w:val="2C3E50"/>
          <w:sz w:val="21"/>
        </w:rPr>
        <w:t xml:space="preserve">Garantie méthodologique : </w:t>
      </w:r>
      <w:r>
        <w:rPr>
          <w:rFonts w:ascii="Calibri" w:hAnsi="Calibri"/>
          <w:i w:val="0"/>
          <w:color w:val="2C3E50"/>
          <w:sz w:val="21"/>
        </w:rPr>
        <w:t>Principe d'étanchéité temporelle : Tous les ajustements statistiques, l'estimation des paramètres économétriques (ARIMA, VAR, GARCH) et l'étalonnage des scalers de normalisation (MinMaxScaler) sont ajustés exclusivement sur l'échantillon d'apprentissage (2019–2025). L'échantillon de test (281 jours couvrant la quasi-totalité de l'année 2026) est strictement réservé à la validation prédictive aveugle.</w:t>
      </w:r>
    </w:p>
    <w:p>
      <w:pPr>
        <w:keepNext/>
        <w:spacing w:before="360" w:after="160"/>
      </w:pPr>
      <w:r>
        <w:rPr>
          <w:rFonts w:ascii="Arial" w:hAnsi="Arial"/>
          <w:b/>
          <w:color w:val="1A5276"/>
          <w:sz w:val="32"/>
        </w:rPr>
        <w:t>2. Analyse Exploratoire des Données (EDA) &amp; Diagnostics de Stationnarité</w:t>
      </w:r>
    </w:p>
    <w:p>
      <w:pPr>
        <w:keepNext/>
        <w:spacing w:before="280" w:after="120"/>
      </w:pPr>
      <w:r>
        <w:rPr>
          <w:rFonts w:ascii="Arial" w:hAnsi="Arial"/>
          <w:b/>
          <w:color w:val="2980B9"/>
          <w:sz w:val="26"/>
        </w:rPr>
        <w:t>2.1 Moments statistiques des log-rendements</w:t>
      </w:r>
    </w:p>
    <w:p>
      <w:pPr>
        <w:spacing w:before="0" w:after="100" w:line="276" w:lineRule="auto"/>
      </w:pPr>
      <w:r>
        <w:rPr>
          <w:rFonts w:ascii="Calibri" w:hAnsi="Calibri"/>
          <w:i w:val="0"/>
          <w:color w:val="2C3E50"/>
          <w:sz w:val="21"/>
        </w:rPr>
        <w:t>L'analyse des quatre premiers moments statistiques calculés sur l'échantillon d'apprentissage (2 522 observations) révèle les propriétés stylisées fondamentales des séries financières de crypto-actifs :</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2340"/>
        <w:gridCol w:w="2340"/>
        <w:gridCol w:w="2340"/>
        <w:gridCol w:w="2340"/>
      </w:tblGrid>
      <w:tr>
        <w:tc>
          <w:tcPr>
            <w:tcW w:type="dxa" w:w="2340"/>
            <w:shd w:fill="1A5276"/>
            <w:tcMar>
              <w:top w:w="80" w:type="dxa"/>
              <w:bottom w:w="80" w:type="dxa"/>
              <w:left w:w="100" w:type="dxa"/>
              <w:right w:w="100" w:type="dxa"/>
            </w:tcMar>
          </w:tcPr>
          <w:p>
            <w:r>
              <w:rPr>
                <w:rFonts w:ascii="Arial" w:hAnsi="Arial"/>
                <w:b/>
                <w:color w:val="FFFFFF"/>
                <w:sz w:val="19"/>
              </w:rPr>
              <w:t>Métrique / Moment Statistique</w:t>
            </w:r>
          </w:p>
        </w:tc>
        <w:tc>
          <w:tcPr>
            <w:tcW w:type="dxa" w:w="2340"/>
            <w:shd w:fill="1A5276"/>
            <w:tcMar>
              <w:top w:w="80" w:type="dxa"/>
              <w:bottom w:w="80" w:type="dxa"/>
              <w:left w:w="100" w:type="dxa"/>
              <w:right w:w="100" w:type="dxa"/>
            </w:tcMar>
          </w:tcPr>
          <w:p>
            <w:r>
              <w:rPr>
                <w:rFonts w:ascii="Arial" w:hAnsi="Arial"/>
                <w:b/>
                <w:color w:val="FFFFFF"/>
                <w:sz w:val="19"/>
              </w:rPr>
              <w:t>Bitcoin (BTC-USD)</w:t>
            </w:r>
          </w:p>
        </w:tc>
        <w:tc>
          <w:tcPr>
            <w:tcW w:type="dxa" w:w="2340"/>
            <w:shd w:fill="1A5276"/>
            <w:tcMar>
              <w:top w:w="80" w:type="dxa"/>
              <w:bottom w:w="80" w:type="dxa"/>
              <w:left w:w="100" w:type="dxa"/>
              <w:right w:w="100" w:type="dxa"/>
            </w:tcMar>
          </w:tcPr>
          <w:p>
            <w:r>
              <w:rPr>
                <w:rFonts w:ascii="Arial" w:hAnsi="Arial"/>
                <w:b/>
                <w:color w:val="FFFFFF"/>
                <w:sz w:val="19"/>
              </w:rPr>
              <w:t>Ethereum (ETH-USD)</w:t>
            </w:r>
          </w:p>
        </w:tc>
        <w:tc>
          <w:tcPr>
            <w:tcW w:type="dxa" w:w="2340"/>
            <w:shd w:fill="1A5276"/>
            <w:tcMar>
              <w:top w:w="80" w:type="dxa"/>
              <w:bottom w:w="80" w:type="dxa"/>
              <w:left w:w="100" w:type="dxa"/>
              <w:right w:w="100" w:type="dxa"/>
            </w:tcMar>
          </w:tcPr>
          <w:p>
            <w:r>
              <w:rPr>
                <w:rFonts w:ascii="Arial" w:hAnsi="Arial"/>
                <w:b/>
                <w:color w:val="FFFFFF"/>
                <w:sz w:val="19"/>
              </w:rPr>
              <w:t>Binance Coin (BNB-USD)</w:t>
            </w:r>
          </w:p>
        </w:tc>
      </w:tr>
      <w:tr>
        <w:tc>
          <w:tcPr>
            <w:tcW w:type="dxa" w:w="2340"/>
            <w:shd w:fill="F4F6F7"/>
            <w:tcMar>
              <w:top w:w="60" w:type="dxa"/>
              <w:bottom w:w="60" w:type="dxa"/>
              <w:left w:w="100" w:type="dxa"/>
              <w:right w:w="100" w:type="dxa"/>
            </w:tcMar>
          </w:tcPr>
          <w:p>
            <w:r>
              <w:rPr>
                <w:rFonts w:ascii="Calibri" w:hAnsi="Calibri"/>
                <w:b/>
                <w:sz w:val="19"/>
              </w:rPr>
              <w:t>1. Moyenne journalière (μ)</w:t>
            </w:r>
          </w:p>
        </w:tc>
        <w:tc>
          <w:tcPr>
            <w:tcW w:type="dxa" w:w="2340"/>
            <w:shd w:fill="F4F6F7"/>
            <w:tcMar>
              <w:top w:w="60" w:type="dxa"/>
              <w:bottom w:w="60" w:type="dxa"/>
              <w:left w:w="100" w:type="dxa"/>
              <w:right w:w="100" w:type="dxa"/>
            </w:tcMar>
          </w:tcPr>
          <w:p>
            <w:r>
              <w:rPr>
                <w:rFonts w:ascii="Calibri" w:hAnsi="Calibri"/>
                <w:sz w:val="19"/>
              </w:rPr>
              <w:t>+0.1277 % / jour</w:t>
            </w:r>
          </w:p>
        </w:tc>
        <w:tc>
          <w:tcPr>
            <w:tcW w:type="dxa" w:w="2340"/>
            <w:shd w:fill="F4F6F7"/>
            <w:tcMar>
              <w:top w:w="60" w:type="dxa"/>
              <w:bottom w:w="60" w:type="dxa"/>
              <w:left w:w="100" w:type="dxa"/>
              <w:right w:w="100" w:type="dxa"/>
            </w:tcMar>
          </w:tcPr>
          <w:p>
            <w:r>
              <w:rPr>
                <w:rFonts w:ascii="Calibri" w:hAnsi="Calibri"/>
                <w:sz w:val="19"/>
              </w:rPr>
              <w:t>+0.1305 % / jour</w:t>
            </w:r>
          </w:p>
        </w:tc>
        <w:tc>
          <w:tcPr>
            <w:tcW w:type="dxa" w:w="2340"/>
            <w:shd w:fill="F4F6F7"/>
            <w:tcMar>
              <w:top w:w="60" w:type="dxa"/>
              <w:bottom w:w="60" w:type="dxa"/>
              <w:left w:w="100" w:type="dxa"/>
              <w:right w:w="100" w:type="dxa"/>
            </w:tcMar>
          </w:tcPr>
          <w:p>
            <w:r>
              <w:rPr>
                <w:rFonts w:ascii="Calibri" w:hAnsi="Calibri"/>
                <w:sz w:val="19"/>
              </w:rPr>
              <w:t>+0.1945 % / jour</w:t>
            </w:r>
          </w:p>
        </w:tc>
      </w:tr>
      <w:tr>
        <w:tc>
          <w:tcPr>
            <w:tcW w:type="dxa" w:w="2340"/>
            <w:shd w:fill="FFFFFF"/>
            <w:tcMar>
              <w:top w:w="60" w:type="dxa"/>
              <w:bottom w:w="60" w:type="dxa"/>
              <w:left w:w="100" w:type="dxa"/>
              <w:right w:w="100" w:type="dxa"/>
            </w:tcMar>
          </w:tcPr>
          <w:p>
            <w:r>
              <w:rPr>
                <w:rFonts w:ascii="Calibri" w:hAnsi="Calibri"/>
                <w:b/>
                <w:sz w:val="19"/>
              </w:rPr>
              <w:t>2. Écart-type journalier (σ)</w:t>
            </w:r>
          </w:p>
        </w:tc>
        <w:tc>
          <w:tcPr>
            <w:tcW w:type="dxa" w:w="2340"/>
            <w:shd w:fill="FFFFFF"/>
            <w:tcMar>
              <w:top w:w="60" w:type="dxa"/>
              <w:bottom w:w="60" w:type="dxa"/>
              <w:left w:w="100" w:type="dxa"/>
              <w:right w:w="100" w:type="dxa"/>
            </w:tcMar>
          </w:tcPr>
          <w:p>
            <w:r>
              <w:rPr>
                <w:rFonts w:ascii="Calibri" w:hAnsi="Calibri"/>
                <w:sz w:val="19"/>
              </w:rPr>
              <w:t>3.2898 % / jour</w:t>
            </w:r>
          </w:p>
        </w:tc>
        <w:tc>
          <w:tcPr>
            <w:tcW w:type="dxa" w:w="2340"/>
            <w:shd w:fill="FFFFFF"/>
            <w:tcMar>
              <w:top w:w="60" w:type="dxa"/>
              <w:bottom w:w="60" w:type="dxa"/>
              <w:left w:w="100" w:type="dxa"/>
              <w:right w:w="100" w:type="dxa"/>
            </w:tcMar>
          </w:tcPr>
          <w:p>
            <w:r>
              <w:rPr>
                <w:rFonts w:ascii="Calibri" w:hAnsi="Calibri"/>
                <w:sz w:val="19"/>
              </w:rPr>
              <w:t>4.2993 % / jour</w:t>
            </w:r>
          </w:p>
        </w:tc>
        <w:tc>
          <w:tcPr>
            <w:tcW w:type="dxa" w:w="2340"/>
            <w:shd w:fill="FFFFFF"/>
            <w:tcMar>
              <w:top w:w="60" w:type="dxa"/>
              <w:bottom w:w="60" w:type="dxa"/>
              <w:left w:w="100" w:type="dxa"/>
              <w:right w:w="100" w:type="dxa"/>
            </w:tcMar>
          </w:tcPr>
          <w:p>
            <w:r>
              <w:rPr>
                <w:rFonts w:ascii="Calibri" w:hAnsi="Calibri"/>
                <w:sz w:val="19"/>
              </w:rPr>
              <w:t>4.3896 % / jour</w:t>
            </w:r>
          </w:p>
        </w:tc>
      </w:tr>
      <w:tr>
        <w:tc>
          <w:tcPr>
            <w:tcW w:type="dxa" w:w="2340"/>
            <w:shd w:fill="F4F6F7"/>
            <w:tcMar>
              <w:top w:w="60" w:type="dxa"/>
              <w:bottom w:w="60" w:type="dxa"/>
              <w:left w:w="100" w:type="dxa"/>
              <w:right w:w="100" w:type="dxa"/>
            </w:tcMar>
          </w:tcPr>
          <w:p>
            <w:r>
              <w:rPr>
                <w:rFonts w:ascii="Calibri" w:hAnsi="Calibri"/>
                <w:b/>
                <w:sz w:val="19"/>
              </w:rPr>
              <w:t>Médiane journalière</w:t>
            </w:r>
          </w:p>
        </w:tc>
        <w:tc>
          <w:tcPr>
            <w:tcW w:type="dxa" w:w="2340"/>
            <w:shd w:fill="F4F6F7"/>
            <w:tcMar>
              <w:top w:w="60" w:type="dxa"/>
              <w:bottom w:w="60" w:type="dxa"/>
              <w:left w:w="100" w:type="dxa"/>
              <w:right w:w="100" w:type="dxa"/>
            </w:tcMar>
          </w:tcPr>
          <w:p>
            <w:r>
              <w:rPr>
                <w:rFonts w:ascii="Calibri" w:hAnsi="Calibri"/>
                <w:sz w:val="19"/>
              </w:rPr>
              <w:t>+0.0733 %</w:t>
            </w:r>
          </w:p>
        </w:tc>
        <w:tc>
          <w:tcPr>
            <w:tcW w:type="dxa" w:w="2340"/>
            <w:shd w:fill="F4F6F7"/>
            <w:tcMar>
              <w:top w:w="60" w:type="dxa"/>
              <w:bottom w:w="60" w:type="dxa"/>
              <w:left w:w="100" w:type="dxa"/>
              <w:right w:w="100" w:type="dxa"/>
            </w:tcMar>
          </w:tcPr>
          <w:p>
            <w:r>
              <w:rPr>
                <w:rFonts w:ascii="Calibri" w:hAnsi="Calibri"/>
                <w:sz w:val="19"/>
              </w:rPr>
              <w:t>+0.0856 %</w:t>
            </w:r>
          </w:p>
        </w:tc>
        <w:tc>
          <w:tcPr>
            <w:tcW w:type="dxa" w:w="2340"/>
            <w:shd w:fill="F4F6F7"/>
            <w:tcMar>
              <w:top w:w="60" w:type="dxa"/>
              <w:bottom w:w="60" w:type="dxa"/>
              <w:left w:w="100" w:type="dxa"/>
              <w:right w:w="100" w:type="dxa"/>
            </w:tcMar>
          </w:tcPr>
          <w:p>
            <w:r>
              <w:rPr>
                <w:rFonts w:ascii="Calibri" w:hAnsi="Calibri"/>
                <w:sz w:val="19"/>
              </w:rPr>
              <w:t>+0.1297 %</w:t>
            </w:r>
          </w:p>
        </w:tc>
      </w:tr>
      <w:tr>
        <w:tc>
          <w:tcPr>
            <w:tcW w:type="dxa" w:w="2340"/>
            <w:shd w:fill="FFFFFF"/>
            <w:tcMar>
              <w:top w:w="60" w:type="dxa"/>
              <w:bottom w:w="60" w:type="dxa"/>
              <w:left w:w="100" w:type="dxa"/>
              <w:right w:w="100" w:type="dxa"/>
            </w:tcMar>
          </w:tcPr>
          <w:p>
            <w:r>
              <w:rPr>
                <w:rFonts w:ascii="Calibri" w:hAnsi="Calibri"/>
                <w:b/>
                <w:sz w:val="19"/>
              </w:rPr>
              <w:t>Minimum (Pire choc journalier)</w:t>
            </w:r>
          </w:p>
        </w:tc>
        <w:tc>
          <w:tcPr>
            <w:tcW w:type="dxa" w:w="2340"/>
            <w:shd w:fill="FFFFFF"/>
            <w:tcMar>
              <w:top w:w="60" w:type="dxa"/>
              <w:bottom w:w="60" w:type="dxa"/>
              <w:left w:w="100" w:type="dxa"/>
              <w:right w:w="100" w:type="dxa"/>
            </w:tcMar>
          </w:tcPr>
          <w:p>
            <w:r>
              <w:rPr>
                <w:rFonts w:ascii="Calibri" w:hAnsi="Calibri"/>
                <w:sz w:val="19"/>
              </w:rPr>
              <w:t>-46.47 % (12/03/2020)</w:t>
            </w:r>
          </w:p>
        </w:tc>
        <w:tc>
          <w:tcPr>
            <w:tcW w:type="dxa" w:w="2340"/>
            <w:shd w:fill="FFFFFF"/>
            <w:tcMar>
              <w:top w:w="60" w:type="dxa"/>
              <w:bottom w:w="60" w:type="dxa"/>
              <w:left w:w="100" w:type="dxa"/>
              <w:right w:w="100" w:type="dxa"/>
            </w:tcMar>
          </w:tcPr>
          <w:p>
            <w:r>
              <w:rPr>
                <w:rFonts w:ascii="Calibri" w:hAnsi="Calibri"/>
                <w:sz w:val="19"/>
              </w:rPr>
              <w:t>-55.07 % (12/03/2020)</w:t>
            </w:r>
          </w:p>
        </w:tc>
        <w:tc>
          <w:tcPr>
            <w:tcW w:type="dxa" w:w="2340"/>
            <w:shd w:fill="FFFFFF"/>
            <w:tcMar>
              <w:top w:w="60" w:type="dxa"/>
              <w:bottom w:w="60" w:type="dxa"/>
              <w:left w:w="100" w:type="dxa"/>
              <w:right w:w="100" w:type="dxa"/>
            </w:tcMar>
          </w:tcPr>
          <w:p>
            <w:r>
              <w:rPr>
                <w:rFonts w:ascii="Calibri" w:hAnsi="Calibri"/>
                <w:sz w:val="19"/>
              </w:rPr>
              <w:t>-54.31 % (12/03/2020)</w:t>
            </w:r>
          </w:p>
        </w:tc>
      </w:tr>
      <w:tr>
        <w:tc>
          <w:tcPr>
            <w:tcW w:type="dxa" w:w="2340"/>
            <w:shd w:fill="F4F6F7"/>
            <w:tcMar>
              <w:top w:w="60" w:type="dxa"/>
              <w:bottom w:w="60" w:type="dxa"/>
              <w:left w:w="100" w:type="dxa"/>
              <w:right w:w="100" w:type="dxa"/>
            </w:tcMar>
          </w:tcPr>
          <w:p>
            <w:r>
              <w:rPr>
                <w:rFonts w:ascii="Calibri" w:hAnsi="Calibri"/>
                <w:b/>
                <w:sz w:val="19"/>
              </w:rPr>
              <w:t>Maximum (Meilleur gain)</w:t>
            </w:r>
          </w:p>
        </w:tc>
        <w:tc>
          <w:tcPr>
            <w:tcW w:type="dxa" w:w="2340"/>
            <w:shd w:fill="F4F6F7"/>
            <w:tcMar>
              <w:top w:w="60" w:type="dxa"/>
              <w:bottom w:w="60" w:type="dxa"/>
              <w:left w:w="100" w:type="dxa"/>
              <w:right w:w="100" w:type="dxa"/>
            </w:tcMar>
          </w:tcPr>
          <w:p>
            <w:r>
              <w:rPr>
                <w:rFonts w:ascii="Calibri" w:hAnsi="Calibri"/>
                <w:sz w:val="19"/>
              </w:rPr>
              <w:t>+17.18 %</w:t>
            </w:r>
          </w:p>
        </w:tc>
        <w:tc>
          <w:tcPr>
            <w:tcW w:type="dxa" w:w="2340"/>
            <w:shd w:fill="F4F6F7"/>
            <w:tcMar>
              <w:top w:w="60" w:type="dxa"/>
              <w:bottom w:w="60" w:type="dxa"/>
              <w:left w:w="100" w:type="dxa"/>
              <w:right w:w="100" w:type="dxa"/>
            </w:tcMar>
          </w:tcPr>
          <w:p>
            <w:r>
              <w:rPr>
                <w:rFonts w:ascii="Calibri" w:hAnsi="Calibri"/>
                <w:sz w:val="19"/>
              </w:rPr>
              <w:t>+23.07 %</w:t>
            </w:r>
          </w:p>
        </w:tc>
        <w:tc>
          <w:tcPr>
            <w:tcW w:type="dxa" w:w="2340"/>
            <w:shd w:fill="F4F6F7"/>
            <w:tcMar>
              <w:top w:w="60" w:type="dxa"/>
              <w:bottom w:w="60" w:type="dxa"/>
              <w:left w:w="100" w:type="dxa"/>
              <w:right w:w="100" w:type="dxa"/>
            </w:tcMar>
          </w:tcPr>
          <w:p>
            <w:r>
              <w:rPr>
                <w:rFonts w:ascii="Calibri" w:hAnsi="Calibri"/>
                <w:sz w:val="19"/>
              </w:rPr>
              <w:t>+52.92 %</w:t>
            </w:r>
          </w:p>
        </w:tc>
      </w:tr>
      <w:tr>
        <w:tc>
          <w:tcPr>
            <w:tcW w:type="dxa" w:w="2340"/>
            <w:shd w:fill="FFFFFF"/>
            <w:tcMar>
              <w:top w:w="60" w:type="dxa"/>
              <w:bottom w:w="60" w:type="dxa"/>
              <w:left w:w="100" w:type="dxa"/>
              <w:right w:w="100" w:type="dxa"/>
            </w:tcMar>
          </w:tcPr>
          <w:p>
            <w:r>
              <w:rPr>
                <w:rFonts w:ascii="Calibri" w:hAnsi="Calibri"/>
                <w:b/>
                <w:sz w:val="19"/>
              </w:rPr>
              <w:t>3. Skewness (Coefficient d'asymétrie)</w:t>
            </w:r>
          </w:p>
        </w:tc>
        <w:tc>
          <w:tcPr>
            <w:tcW w:type="dxa" w:w="2340"/>
            <w:shd w:fill="FFFFFF"/>
            <w:tcMar>
              <w:top w:w="60" w:type="dxa"/>
              <w:bottom w:w="60" w:type="dxa"/>
              <w:left w:w="100" w:type="dxa"/>
              <w:right w:w="100" w:type="dxa"/>
            </w:tcMar>
          </w:tcPr>
          <w:p>
            <w:r>
              <w:rPr>
                <w:rFonts w:ascii="Calibri" w:hAnsi="Calibri"/>
                <w:sz w:val="19"/>
              </w:rPr>
              <w:t>-1.0706 (Négatif)</w:t>
            </w:r>
          </w:p>
        </w:tc>
        <w:tc>
          <w:tcPr>
            <w:tcW w:type="dxa" w:w="2340"/>
            <w:shd w:fill="FFFFFF"/>
            <w:tcMar>
              <w:top w:w="60" w:type="dxa"/>
              <w:bottom w:w="60" w:type="dxa"/>
              <w:left w:w="100" w:type="dxa"/>
              <w:right w:w="100" w:type="dxa"/>
            </w:tcMar>
          </w:tcPr>
          <w:p>
            <w:r>
              <w:rPr>
                <w:rFonts w:ascii="Calibri" w:hAnsi="Calibri"/>
                <w:sz w:val="19"/>
              </w:rPr>
              <w:t>-0.9917 (Négatif)</w:t>
            </w:r>
          </w:p>
        </w:tc>
        <w:tc>
          <w:tcPr>
            <w:tcW w:type="dxa" w:w="2340"/>
            <w:shd w:fill="FFFFFF"/>
            <w:tcMar>
              <w:top w:w="60" w:type="dxa"/>
              <w:bottom w:w="60" w:type="dxa"/>
              <w:left w:w="100" w:type="dxa"/>
              <w:right w:w="100" w:type="dxa"/>
            </w:tcMar>
          </w:tcPr>
          <w:p>
            <w:r>
              <w:rPr>
                <w:rFonts w:ascii="Calibri" w:hAnsi="Calibri"/>
                <w:sz w:val="19"/>
              </w:rPr>
              <w:t>-0.1688 (Négatif)</w:t>
            </w:r>
          </w:p>
        </w:tc>
      </w:tr>
      <w:tr>
        <w:tc>
          <w:tcPr>
            <w:tcW w:type="dxa" w:w="2340"/>
            <w:shd w:fill="F4F6F7"/>
            <w:tcMar>
              <w:top w:w="60" w:type="dxa"/>
              <w:bottom w:w="60" w:type="dxa"/>
              <w:left w:w="100" w:type="dxa"/>
              <w:right w:w="100" w:type="dxa"/>
            </w:tcMar>
          </w:tcPr>
          <w:p>
            <w:r>
              <w:rPr>
                <w:rFonts w:ascii="Calibri" w:hAnsi="Calibri"/>
                <w:b/>
                <w:sz w:val="19"/>
              </w:rPr>
              <w:t>4. Kurtosis d'Excès (Leptokurticité)</w:t>
            </w:r>
          </w:p>
        </w:tc>
        <w:tc>
          <w:tcPr>
            <w:tcW w:type="dxa" w:w="2340"/>
            <w:shd w:fill="F4F6F7"/>
            <w:tcMar>
              <w:top w:w="60" w:type="dxa"/>
              <w:bottom w:w="60" w:type="dxa"/>
              <w:left w:w="100" w:type="dxa"/>
              <w:right w:w="100" w:type="dxa"/>
            </w:tcMar>
          </w:tcPr>
          <w:p>
            <w:r>
              <w:rPr>
                <w:rFonts w:ascii="Calibri" w:hAnsi="Calibri"/>
                <w:sz w:val="19"/>
              </w:rPr>
              <w:t>18.919 (Totale = 21.919)</w:t>
            </w:r>
          </w:p>
        </w:tc>
        <w:tc>
          <w:tcPr>
            <w:tcW w:type="dxa" w:w="2340"/>
            <w:shd w:fill="F4F6F7"/>
            <w:tcMar>
              <w:top w:w="60" w:type="dxa"/>
              <w:bottom w:w="60" w:type="dxa"/>
              <w:left w:w="100" w:type="dxa"/>
              <w:right w:w="100" w:type="dxa"/>
            </w:tcMar>
          </w:tcPr>
          <w:p>
            <w:r>
              <w:rPr>
                <w:rFonts w:ascii="Calibri" w:hAnsi="Calibri"/>
                <w:sz w:val="19"/>
              </w:rPr>
              <w:t>14.468 (Totale = 17.468)</w:t>
            </w:r>
          </w:p>
        </w:tc>
        <w:tc>
          <w:tcPr>
            <w:tcW w:type="dxa" w:w="2340"/>
            <w:shd w:fill="F4F6F7"/>
            <w:tcMar>
              <w:top w:w="60" w:type="dxa"/>
              <w:bottom w:w="60" w:type="dxa"/>
              <w:left w:w="100" w:type="dxa"/>
              <w:right w:w="100" w:type="dxa"/>
            </w:tcMar>
          </w:tcPr>
          <w:p>
            <w:r>
              <w:rPr>
                <w:rFonts w:ascii="Calibri" w:hAnsi="Calibri"/>
                <w:sz w:val="19"/>
              </w:rPr>
              <w:t>24.518 (Totale = 27.518)</w:t>
            </w:r>
          </w:p>
        </w:tc>
      </w:tr>
    </w:tbl>
    <w:p>
      <w:pPr>
        <w:spacing w:after="80"/>
      </w:pPr>
    </w:p>
    <w:p>
      <w:pPr>
        <w:spacing w:before="0" w:after="100" w:line="276" w:lineRule="auto"/>
      </w:pPr>
      <w:r>
        <w:rPr>
          <w:rFonts w:ascii="Calibri" w:hAnsi="Calibri"/>
          <w:b/>
          <w:color w:val="2C3E50"/>
          <w:sz w:val="21"/>
        </w:rPr>
        <w:t xml:space="preserve">Diagnostic économétrique : </w:t>
      </w:r>
      <w:r>
        <w:rPr>
          <w:rFonts w:ascii="Calibri" w:hAnsi="Calibri"/>
          <w:i w:val="0"/>
          <w:color w:val="2C3E50"/>
          <w:sz w:val="21"/>
        </w:rPr>
        <w:t>Interprétation des faits stylisés : 1. Dérive positive : Les rendements moyens sont tous strictement positifs (+0.13% à +0.19%/j), reflétant la croissance structurelle de l'écosystème.</w:t>
        <w:br/>
        <w:t>2. Hiérarchie de volatilité : Le Bitcoin présente la volatilité la plus modérée (3.29%/j), tandis qu'Ethereum et BNB affichent une variabilité ~30% supérieure (~4.3% à 4.4%/j).</w:t>
        <w:br/>
        <w:t>3. Asymétrie négative &amp; Queues épaisses : Les coefficients d'asymétrie négatifs et les kurtosis extrêmes (14 à 24) démontrent que les rendements ne suivent absolument pas une loi Normale. Le test de Jarque-Bera rejette la normalité avec des p-valeurs &lt; 10^{-16}, imposant l'usage d'une distribution de Student (t) à queues lourdes pour la modélisation de la volatilité.</w:t>
      </w:r>
    </w:p>
    <w:p>
      <w:pPr>
        <w:keepNext/>
        <w:spacing w:before="280" w:after="120"/>
      </w:pPr>
      <w:r>
        <w:rPr>
          <w:rFonts w:ascii="Arial" w:hAnsi="Arial"/>
          <w:b/>
          <w:color w:val="2980B9"/>
          <w:sz w:val="26"/>
        </w:rPr>
        <w:t>2.2 Matrice de corrélation linéaire</w:t>
      </w:r>
    </w:p>
    <w:p>
      <w:pPr>
        <w:spacing w:before="0" w:after="100" w:line="276" w:lineRule="auto"/>
      </w:pPr>
      <w:r>
        <w:rPr>
          <w:rFonts w:ascii="Calibri" w:hAnsi="Calibri"/>
          <w:i w:val="0"/>
          <w:color w:val="2C3E50"/>
          <w:sz w:val="21"/>
        </w:rPr>
        <w:t>La matrice de corrélation de Pearson calculée sur les log-rendements stationnaires met en évidence de fortes interdépendances : Corr(BTC, ETH) = 0.8249, Corr(BTC, BNB) = 0.6724, et Corr(ETH, BNB) = 0.7025. Bien que ces corrélations linéaires soient très élevées, nous démontrerons à la Section 4 qu'elles ne traduisent pas une cointégration de long terme.</w:t>
      </w:r>
    </w:p>
    <w:p>
      <w:r>
        <w:drawing>
          <wp:inline xmlns:a="http://schemas.openxmlformats.org/drawingml/2006/main" xmlns:pic="http://schemas.openxmlformats.org/drawingml/2006/picture">
            <wp:extent cx="5943600" cy="3714750"/>
            <wp:docPr id="1" name="Picture 1"/>
            <wp:cNvGraphicFramePr>
              <a:graphicFrameLocks noChangeAspect="1"/>
            </wp:cNvGraphicFramePr>
            <a:graphic>
              <a:graphicData uri="http://schemas.openxmlformats.org/drawingml/2006/picture">
                <pic:pic>
                  <pic:nvPicPr>
                    <pic:cNvPr id="0" name="fig1_prices_and_returns.png"/>
                    <pic:cNvPicPr/>
                  </pic:nvPicPr>
                  <pic:blipFill>
                    <a:blip r:embed="rId10"/>
                    <a:stretch>
                      <a:fillRect/>
                    </a:stretch>
                  </pic:blipFill>
                  <pic:spPr>
                    <a:xfrm>
                      <a:off x="0" y="0"/>
                      <a:ext cx="5943600" cy="3714750"/>
                    </a:xfrm>
                    <a:prstGeom prst="rect"/>
                  </pic:spPr>
                </pic:pic>
              </a:graphicData>
            </a:graphic>
          </wp:inline>
        </w:drawing>
      </w:r>
    </w:p>
    <w:p>
      <w:pPr>
        <w:jc w:val="center"/>
      </w:pPr>
      <w:r>
        <w:rPr>
          <w:i/>
          <w:color w:val="78909C"/>
          <w:sz w:val="17"/>
        </w:rPr>
        <w:t>Figure 1 : Évolution des Prix Normalisés (A), Trajectoires des Log-Prix (B) et Dynamique des Log-Rendements (C &amp; D) [2019–2026]</w:t>
      </w:r>
    </w:p>
    <w:p>
      <w:pPr>
        <w:keepNext/>
        <w:spacing w:before="280" w:after="120"/>
      </w:pPr>
      <w:r>
        <w:rPr>
          <w:rFonts w:ascii="Arial" w:hAnsi="Arial"/>
          <w:b/>
          <w:color w:val="2980B9"/>
          <w:sz w:val="26"/>
        </w:rPr>
        <w:t>2.3 Décomposition STL et profil d'autocorrélation ACF/PACF</w:t>
      </w:r>
    </w:p>
    <w:p>
      <w:pPr>
        <w:spacing w:before="0" w:after="100" w:line="276" w:lineRule="auto"/>
      </w:pPr>
      <w:r>
        <w:rPr>
          <w:rFonts w:ascii="Calibri" w:hAnsi="Calibri"/>
          <w:i w:val="0"/>
          <w:color w:val="2C3E50"/>
          <w:sz w:val="21"/>
        </w:rPr>
        <w:t>Une décomposition STL (Loess) a été appliquée au log-prix du Bitcoin avec une périodicité hebdomadaire s = 7 jours (Figure 3). La composante de tendance stochastique gouverne plus de 99% de la dynamique globale, tandis que l'oscillation saisonnière hebdomadaire est d'amplitude négligeable (variations de ±0.01 log-points). Les marchés de crypto-actifs fonctionnant en continu 24/7 ne présentent aucune saisonnalité calendaire journalière statistiquement exploitable.</w:t>
      </w:r>
    </w:p>
    <w:p>
      <w:r>
        <w:drawing>
          <wp:inline xmlns:a="http://schemas.openxmlformats.org/drawingml/2006/main" xmlns:pic="http://schemas.openxmlformats.org/drawingml/2006/picture">
            <wp:extent cx="5669280" cy="3239589"/>
            <wp:docPr id="2" name="Picture 2"/>
            <wp:cNvGraphicFramePr>
              <a:graphicFrameLocks noChangeAspect="1"/>
            </wp:cNvGraphicFramePr>
            <a:graphic>
              <a:graphicData uri="http://schemas.openxmlformats.org/drawingml/2006/picture">
                <pic:pic>
                  <pic:nvPicPr>
                    <pic:cNvPr id="0" name="fig3_stl_decomposition.png"/>
                    <pic:cNvPicPr/>
                  </pic:nvPicPr>
                  <pic:blipFill>
                    <a:blip r:embed="rId11"/>
                    <a:stretch>
                      <a:fillRect/>
                    </a:stretch>
                  </pic:blipFill>
                  <pic:spPr>
                    <a:xfrm>
                      <a:off x="0" y="0"/>
                      <a:ext cx="5669280" cy="3239589"/>
                    </a:xfrm>
                    <a:prstGeom prst="rect"/>
                  </pic:spPr>
                </pic:pic>
              </a:graphicData>
            </a:graphic>
          </wp:inline>
        </w:drawing>
      </w:r>
    </w:p>
    <w:p>
      <w:pPr>
        <w:jc w:val="center"/>
      </w:pPr>
      <w:r>
        <w:rPr>
          <w:i/>
          <w:color w:val="78909C"/>
          <w:sz w:val="17"/>
        </w:rPr>
        <w:t>Figure 2 : Décomposition STL du log-prix de Bitcoin avec périodicité hebdomadaire s = 7 jours (Échantillon Train : 2019–2025)</w:t>
      </w:r>
    </w:p>
    <w:p>
      <w:pPr>
        <w:keepNext/>
        <w:spacing w:before="280" w:after="120"/>
      </w:pPr>
      <w:r>
        <w:rPr>
          <w:rFonts w:ascii="Arial" w:hAnsi="Arial"/>
          <w:b/>
          <w:color w:val="2980B9"/>
          <w:sz w:val="26"/>
        </w:rPr>
        <w:t>2.4 Double test formel conjoint de stationnarité (ADF vs KPSS)</w:t>
      </w:r>
    </w:p>
    <w:p>
      <w:pPr>
        <w:spacing w:before="0" w:after="100" w:line="276" w:lineRule="auto"/>
      </w:pPr>
      <w:r>
        <w:rPr>
          <w:rFonts w:ascii="Calibri" w:hAnsi="Calibri"/>
          <w:i w:val="0"/>
          <w:color w:val="2C3E50"/>
          <w:sz w:val="21"/>
        </w:rPr>
        <w:t>Pour lever toute ambiguïté sur l'ordre d'intégration d des séries, nous croisons le test de Dickey-Fuller Augmenté (ADF, H0 : racine unitaire) et le test KPSS (H0 : stationnarité) sur l'échantillon d'apprentissage (Tableau 2) :</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560"/>
        <w:gridCol w:w="1560"/>
        <w:gridCol w:w="1560"/>
        <w:gridCol w:w="1560"/>
        <w:gridCol w:w="1560"/>
        <w:gridCol w:w="1560"/>
      </w:tblGrid>
      <w:tr>
        <w:tc>
          <w:tcPr>
            <w:tcW w:type="dxa" w:w="1560"/>
            <w:shd w:fill="1A5276"/>
            <w:tcMar>
              <w:top w:w="80" w:type="dxa"/>
              <w:bottom w:w="80" w:type="dxa"/>
              <w:left w:w="80" w:type="dxa"/>
              <w:right w:w="80" w:type="dxa"/>
            </w:tcMar>
          </w:tcPr>
          <w:p>
            <w:r>
              <w:rPr>
                <w:rFonts w:ascii="Arial" w:hAnsi="Arial"/>
                <w:b/>
                <w:color w:val="FFFFFF"/>
                <w:sz w:val="18"/>
              </w:rPr>
              <w:t>Série Temporelle Analysée</w:t>
            </w:r>
          </w:p>
        </w:tc>
        <w:tc>
          <w:tcPr>
            <w:tcW w:type="dxa" w:w="1560"/>
            <w:shd w:fill="1A5276"/>
            <w:tcMar>
              <w:top w:w="80" w:type="dxa"/>
              <w:bottom w:w="80" w:type="dxa"/>
              <w:left w:w="80" w:type="dxa"/>
              <w:right w:w="80" w:type="dxa"/>
            </w:tcMar>
          </w:tcPr>
          <w:p>
            <w:r>
              <w:rPr>
                <w:rFonts w:ascii="Arial" w:hAnsi="Arial"/>
                <w:b/>
                <w:color w:val="FFFFFF"/>
                <w:sz w:val="18"/>
              </w:rPr>
              <w:t>Stat ADF</w:t>
            </w:r>
          </w:p>
        </w:tc>
        <w:tc>
          <w:tcPr>
            <w:tcW w:type="dxa" w:w="1560"/>
            <w:shd w:fill="1A5276"/>
            <w:tcMar>
              <w:top w:w="80" w:type="dxa"/>
              <w:bottom w:w="80" w:type="dxa"/>
              <w:left w:w="80" w:type="dxa"/>
              <w:right w:w="80" w:type="dxa"/>
            </w:tcMar>
          </w:tcPr>
          <w:p>
            <w:r>
              <w:rPr>
                <w:rFonts w:ascii="Arial" w:hAnsi="Arial"/>
                <w:b/>
                <w:color w:val="FFFFFF"/>
                <w:sz w:val="18"/>
              </w:rPr>
              <w:t>p-valeur ADF</w:t>
            </w:r>
          </w:p>
        </w:tc>
        <w:tc>
          <w:tcPr>
            <w:tcW w:type="dxa" w:w="1560"/>
            <w:shd w:fill="1A5276"/>
            <w:tcMar>
              <w:top w:w="80" w:type="dxa"/>
              <w:bottom w:w="80" w:type="dxa"/>
              <w:left w:w="80" w:type="dxa"/>
              <w:right w:w="80" w:type="dxa"/>
            </w:tcMar>
          </w:tcPr>
          <w:p>
            <w:r>
              <w:rPr>
                <w:rFonts w:ascii="Arial" w:hAnsi="Arial"/>
                <w:b/>
                <w:color w:val="FFFFFF"/>
                <w:sz w:val="18"/>
              </w:rPr>
              <w:t>Stat KPSS</w:t>
            </w:r>
          </w:p>
        </w:tc>
        <w:tc>
          <w:tcPr>
            <w:tcW w:type="dxa" w:w="1560"/>
            <w:shd w:fill="1A5276"/>
            <w:tcMar>
              <w:top w:w="80" w:type="dxa"/>
              <w:bottom w:w="80" w:type="dxa"/>
              <w:left w:w="80" w:type="dxa"/>
              <w:right w:w="80" w:type="dxa"/>
            </w:tcMar>
          </w:tcPr>
          <w:p>
            <w:r>
              <w:rPr>
                <w:rFonts w:ascii="Arial" w:hAnsi="Arial"/>
                <w:b/>
                <w:color w:val="FFFFFF"/>
                <w:sz w:val="18"/>
              </w:rPr>
              <w:t>p-valeur KPSS</w:t>
            </w:r>
          </w:p>
        </w:tc>
        <w:tc>
          <w:tcPr>
            <w:tcW w:type="dxa" w:w="1560"/>
            <w:shd w:fill="1A5276"/>
            <w:tcMar>
              <w:top w:w="80" w:type="dxa"/>
              <w:bottom w:w="80" w:type="dxa"/>
              <w:left w:w="80" w:type="dxa"/>
              <w:right w:w="80" w:type="dxa"/>
            </w:tcMar>
          </w:tcPr>
          <w:p>
            <w:r>
              <w:rPr>
                <w:rFonts w:ascii="Arial" w:hAnsi="Arial"/>
                <w:b/>
                <w:color w:val="FFFFFF"/>
                <w:sz w:val="18"/>
              </w:rPr>
              <w:t>Conclusion Conjointe</w:t>
            </w:r>
          </w:p>
        </w:tc>
      </w:tr>
      <w:tr>
        <w:tc>
          <w:tcPr>
            <w:tcW w:type="dxa" w:w="1560"/>
            <w:shd w:fill="F4F6F7"/>
            <w:tcMar>
              <w:top w:w="60" w:type="dxa"/>
              <w:bottom w:w="60" w:type="dxa"/>
              <w:left w:w="80" w:type="dxa"/>
              <w:right w:w="80" w:type="dxa"/>
            </w:tcMar>
          </w:tcPr>
          <w:p>
            <w:r>
              <w:rPr>
                <w:rFonts w:ascii="Calibri" w:hAnsi="Calibri"/>
                <w:b/>
                <w:sz w:val="18"/>
              </w:rPr>
              <w:t>BTC Log-Prix ln(P_t)</w:t>
            </w:r>
          </w:p>
        </w:tc>
        <w:tc>
          <w:tcPr>
            <w:tcW w:type="dxa" w:w="1560"/>
            <w:shd w:fill="F4F6F7"/>
            <w:tcMar>
              <w:top w:w="60" w:type="dxa"/>
              <w:bottom w:w="60" w:type="dxa"/>
              <w:left w:w="80" w:type="dxa"/>
              <w:right w:w="80" w:type="dxa"/>
            </w:tcMar>
          </w:tcPr>
          <w:p>
            <w:r>
              <w:rPr>
                <w:rFonts w:ascii="Calibri" w:hAnsi="Calibri"/>
                <w:sz w:val="18"/>
              </w:rPr>
              <w:t>-2.0502</w:t>
            </w:r>
          </w:p>
        </w:tc>
        <w:tc>
          <w:tcPr>
            <w:tcW w:type="dxa" w:w="1560"/>
            <w:shd w:fill="F4F6F7"/>
            <w:tcMar>
              <w:top w:w="60" w:type="dxa"/>
              <w:bottom w:w="60" w:type="dxa"/>
              <w:left w:w="80" w:type="dxa"/>
              <w:right w:w="80" w:type="dxa"/>
            </w:tcMar>
          </w:tcPr>
          <w:p>
            <w:r>
              <w:rPr>
                <w:rFonts w:ascii="Calibri" w:hAnsi="Calibri"/>
                <w:sz w:val="18"/>
              </w:rPr>
              <w:t>0.2650 (Non-rejet)</w:t>
            </w:r>
          </w:p>
        </w:tc>
        <w:tc>
          <w:tcPr>
            <w:tcW w:type="dxa" w:w="1560"/>
            <w:shd w:fill="F4F6F7"/>
            <w:tcMar>
              <w:top w:w="60" w:type="dxa"/>
              <w:bottom w:w="60" w:type="dxa"/>
              <w:left w:w="80" w:type="dxa"/>
              <w:right w:w="80" w:type="dxa"/>
            </w:tcMar>
          </w:tcPr>
          <w:p>
            <w:r>
              <w:rPr>
                <w:rFonts w:ascii="Calibri" w:hAnsi="Calibri"/>
                <w:sz w:val="18"/>
              </w:rPr>
              <w:t>5.9214</w:t>
            </w:r>
          </w:p>
        </w:tc>
        <w:tc>
          <w:tcPr>
            <w:tcW w:type="dxa" w:w="1560"/>
            <w:shd w:fill="F4F6F7"/>
            <w:tcMar>
              <w:top w:w="60" w:type="dxa"/>
              <w:bottom w:w="60" w:type="dxa"/>
              <w:left w:w="80" w:type="dxa"/>
              <w:right w:w="80" w:type="dxa"/>
            </w:tcMar>
          </w:tcPr>
          <w:p>
            <w:r>
              <w:rPr>
                <w:rFonts w:ascii="Calibri" w:hAnsi="Calibri"/>
                <w:sz w:val="18"/>
              </w:rPr>
              <w:t>0.0100 (Rejet H0)</w:t>
            </w:r>
          </w:p>
        </w:tc>
        <w:tc>
          <w:tcPr>
            <w:tcW w:type="dxa" w:w="1560"/>
            <w:shd w:fill="F4F6F7"/>
            <w:tcMar>
              <w:top w:w="60" w:type="dxa"/>
              <w:bottom w:w="60" w:type="dxa"/>
              <w:left w:w="80" w:type="dxa"/>
              <w:right w:w="80" w:type="dxa"/>
            </w:tcMar>
          </w:tcPr>
          <w:p>
            <w:r>
              <w:rPr>
                <w:rFonts w:ascii="Calibri" w:hAnsi="Calibri"/>
                <w:b/>
                <w:color w:val="C0392B"/>
                <w:sz w:val="18"/>
              </w:rPr>
              <w:t>I(1) Non Stationnaire</w:t>
            </w:r>
          </w:p>
        </w:tc>
      </w:tr>
      <w:tr>
        <w:tc>
          <w:tcPr>
            <w:tcW w:type="dxa" w:w="1560"/>
            <w:shd w:fill="FFFFFF"/>
            <w:tcMar>
              <w:top w:w="60" w:type="dxa"/>
              <w:bottom w:w="60" w:type="dxa"/>
              <w:left w:w="80" w:type="dxa"/>
              <w:right w:w="80" w:type="dxa"/>
            </w:tcMar>
          </w:tcPr>
          <w:p>
            <w:r>
              <w:rPr>
                <w:rFonts w:ascii="Calibri" w:hAnsi="Calibri"/>
                <w:b/>
                <w:sz w:val="18"/>
              </w:rPr>
              <w:t>BTC Log-Rendement r_t</w:t>
            </w:r>
          </w:p>
        </w:tc>
        <w:tc>
          <w:tcPr>
            <w:tcW w:type="dxa" w:w="1560"/>
            <w:shd w:fill="FFFFFF"/>
            <w:tcMar>
              <w:top w:w="60" w:type="dxa"/>
              <w:bottom w:w="60" w:type="dxa"/>
              <w:left w:w="80" w:type="dxa"/>
              <w:right w:w="80" w:type="dxa"/>
            </w:tcMar>
          </w:tcPr>
          <w:p>
            <w:r>
              <w:rPr>
                <w:rFonts w:ascii="Calibri" w:hAnsi="Calibri"/>
                <w:sz w:val="18"/>
              </w:rPr>
              <w:t>-23.9059</w:t>
            </w:r>
          </w:p>
        </w:tc>
        <w:tc>
          <w:tcPr>
            <w:tcW w:type="dxa" w:w="1560"/>
            <w:shd w:fill="FFFFFF"/>
            <w:tcMar>
              <w:top w:w="60" w:type="dxa"/>
              <w:bottom w:w="60" w:type="dxa"/>
              <w:left w:w="80" w:type="dxa"/>
              <w:right w:w="80" w:type="dxa"/>
            </w:tcMar>
          </w:tcPr>
          <w:p>
            <w:r>
              <w:rPr>
                <w:rFonts w:ascii="Calibri" w:hAnsi="Calibri"/>
                <w:sz w:val="18"/>
              </w:rPr>
              <w:t>&lt; 0.0001 (Rejet H0)</w:t>
            </w:r>
          </w:p>
        </w:tc>
        <w:tc>
          <w:tcPr>
            <w:tcW w:type="dxa" w:w="1560"/>
            <w:shd w:fill="FFFFFF"/>
            <w:tcMar>
              <w:top w:w="60" w:type="dxa"/>
              <w:bottom w:w="60" w:type="dxa"/>
              <w:left w:w="80" w:type="dxa"/>
              <w:right w:w="80" w:type="dxa"/>
            </w:tcMar>
          </w:tcPr>
          <w:p>
            <w:r>
              <w:rPr>
                <w:rFonts w:ascii="Calibri" w:hAnsi="Calibri"/>
                <w:sz w:val="18"/>
              </w:rPr>
              <w:t>0.1875</w:t>
            </w:r>
          </w:p>
        </w:tc>
        <w:tc>
          <w:tcPr>
            <w:tcW w:type="dxa" w:w="1560"/>
            <w:shd w:fill="FFFFFF"/>
            <w:tcMar>
              <w:top w:w="60" w:type="dxa"/>
              <w:bottom w:w="60" w:type="dxa"/>
              <w:left w:w="80" w:type="dxa"/>
              <w:right w:w="80" w:type="dxa"/>
            </w:tcMar>
          </w:tcPr>
          <w:p>
            <w:r>
              <w:rPr>
                <w:rFonts w:ascii="Calibri" w:hAnsi="Calibri"/>
                <w:sz w:val="18"/>
              </w:rPr>
              <w:t>&gt; 0.1000 (Non-rejet)</w:t>
            </w:r>
          </w:p>
        </w:tc>
        <w:tc>
          <w:tcPr>
            <w:tcW w:type="dxa" w:w="1560"/>
            <w:shd w:fill="FFFFFF"/>
            <w:tcMar>
              <w:top w:w="60" w:type="dxa"/>
              <w:bottom w:w="60" w:type="dxa"/>
              <w:left w:w="80" w:type="dxa"/>
              <w:right w:w="80" w:type="dxa"/>
            </w:tcMar>
          </w:tcPr>
          <w:p>
            <w:r>
              <w:rPr>
                <w:rFonts w:ascii="Calibri" w:hAnsi="Calibri"/>
                <w:b/>
                <w:color w:val="27AE60"/>
                <w:sz w:val="18"/>
              </w:rPr>
              <w:t>I(0) Stationnaire</w:t>
            </w:r>
          </w:p>
        </w:tc>
      </w:tr>
      <w:tr>
        <w:tc>
          <w:tcPr>
            <w:tcW w:type="dxa" w:w="1560"/>
            <w:shd w:fill="F4F6F7"/>
            <w:tcMar>
              <w:top w:w="60" w:type="dxa"/>
              <w:bottom w:w="60" w:type="dxa"/>
              <w:left w:w="80" w:type="dxa"/>
              <w:right w:w="80" w:type="dxa"/>
            </w:tcMar>
          </w:tcPr>
          <w:p>
            <w:r>
              <w:rPr>
                <w:rFonts w:ascii="Calibri" w:hAnsi="Calibri"/>
                <w:b/>
                <w:sz w:val="18"/>
              </w:rPr>
              <w:t>ETH Log-Prix ln(P_t)</w:t>
            </w:r>
          </w:p>
        </w:tc>
        <w:tc>
          <w:tcPr>
            <w:tcW w:type="dxa" w:w="1560"/>
            <w:shd w:fill="F4F6F7"/>
            <w:tcMar>
              <w:top w:w="60" w:type="dxa"/>
              <w:bottom w:w="60" w:type="dxa"/>
              <w:left w:w="80" w:type="dxa"/>
              <w:right w:w="80" w:type="dxa"/>
            </w:tcMar>
          </w:tcPr>
          <w:p>
            <w:r>
              <w:rPr>
                <w:rFonts w:ascii="Calibri" w:hAnsi="Calibri"/>
                <w:sz w:val="18"/>
              </w:rPr>
              <w:t>-1.9069</w:t>
            </w:r>
          </w:p>
        </w:tc>
        <w:tc>
          <w:tcPr>
            <w:tcW w:type="dxa" w:w="1560"/>
            <w:shd w:fill="F4F6F7"/>
            <w:tcMar>
              <w:top w:w="60" w:type="dxa"/>
              <w:bottom w:w="60" w:type="dxa"/>
              <w:left w:w="80" w:type="dxa"/>
              <w:right w:w="80" w:type="dxa"/>
            </w:tcMar>
          </w:tcPr>
          <w:p>
            <w:r>
              <w:rPr>
                <w:rFonts w:ascii="Calibri" w:hAnsi="Calibri"/>
                <w:sz w:val="18"/>
              </w:rPr>
              <w:t>0.3288 (Non-rejet)</w:t>
            </w:r>
          </w:p>
        </w:tc>
        <w:tc>
          <w:tcPr>
            <w:tcW w:type="dxa" w:w="1560"/>
            <w:shd w:fill="F4F6F7"/>
            <w:tcMar>
              <w:top w:w="60" w:type="dxa"/>
              <w:bottom w:w="60" w:type="dxa"/>
              <w:left w:w="80" w:type="dxa"/>
              <w:right w:w="80" w:type="dxa"/>
            </w:tcMar>
          </w:tcPr>
          <w:p>
            <w:r>
              <w:rPr>
                <w:rFonts w:ascii="Calibri" w:hAnsi="Calibri"/>
                <w:sz w:val="18"/>
              </w:rPr>
              <w:t>5.5706</w:t>
            </w:r>
          </w:p>
        </w:tc>
        <w:tc>
          <w:tcPr>
            <w:tcW w:type="dxa" w:w="1560"/>
            <w:shd w:fill="F4F6F7"/>
            <w:tcMar>
              <w:top w:w="60" w:type="dxa"/>
              <w:bottom w:w="60" w:type="dxa"/>
              <w:left w:w="80" w:type="dxa"/>
              <w:right w:w="80" w:type="dxa"/>
            </w:tcMar>
          </w:tcPr>
          <w:p>
            <w:r>
              <w:rPr>
                <w:rFonts w:ascii="Calibri" w:hAnsi="Calibri"/>
                <w:sz w:val="18"/>
              </w:rPr>
              <w:t>0.0100 (Rejet H0)</w:t>
            </w:r>
          </w:p>
        </w:tc>
        <w:tc>
          <w:tcPr>
            <w:tcW w:type="dxa" w:w="1560"/>
            <w:shd w:fill="F4F6F7"/>
            <w:tcMar>
              <w:top w:w="60" w:type="dxa"/>
              <w:bottom w:w="60" w:type="dxa"/>
              <w:left w:w="80" w:type="dxa"/>
              <w:right w:w="80" w:type="dxa"/>
            </w:tcMar>
          </w:tcPr>
          <w:p>
            <w:r>
              <w:rPr>
                <w:rFonts w:ascii="Calibri" w:hAnsi="Calibri"/>
                <w:b/>
                <w:color w:val="C0392B"/>
                <w:sz w:val="18"/>
              </w:rPr>
              <w:t>I(1) Non Stationnaire</w:t>
            </w:r>
          </w:p>
        </w:tc>
      </w:tr>
      <w:tr>
        <w:tc>
          <w:tcPr>
            <w:tcW w:type="dxa" w:w="1560"/>
            <w:shd w:fill="FFFFFF"/>
            <w:tcMar>
              <w:top w:w="60" w:type="dxa"/>
              <w:bottom w:w="60" w:type="dxa"/>
              <w:left w:w="80" w:type="dxa"/>
              <w:right w:w="80" w:type="dxa"/>
            </w:tcMar>
          </w:tcPr>
          <w:p>
            <w:r>
              <w:rPr>
                <w:rFonts w:ascii="Calibri" w:hAnsi="Calibri"/>
                <w:b/>
                <w:sz w:val="18"/>
              </w:rPr>
              <w:t>ETH Log-Rendement r_t</w:t>
            </w:r>
          </w:p>
        </w:tc>
        <w:tc>
          <w:tcPr>
            <w:tcW w:type="dxa" w:w="1560"/>
            <w:shd w:fill="FFFFFF"/>
            <w:tcMar>
              <w:top w:w="60" w:type="dxa"/>
              <w:bottom w:w="60" w:type="dxa"/>
              <w:left w:w="80" w:type="dxa"/>
              <w:right w:w="80" w:type="dxa"/>
            </w:tcMar>
          </w:tcPr>
          <w:p>
            <w:r>
              <w:rPr>
                <w:rFonts w:ascii="Calibri" w:hAnsi="Calibri"/>
                <w:sz w:val="18"/>
              </w:rPr>
              <w:t>-15.2236</w:t>
            </w:r>
          </w:p>
        </w:tc>
        <w:tc>
          <w:tcPr>
            <w:tcW w:type="dxa" w:w="1560"/>
            <w:shd w:fill="FFFFFF"/>
            <w:tcMar>
              <w:top w:w="60" w:type="dxa"/>
              <w:bottom w:w="60" w:type="dxa"/>
              <w:left w:w="80" w:type="dxa"/>
              <w:right w:w="80" w:type="dxa"/>
            </w:tcMar>
          </w:tcPr>
          <w:p>
            <w:r>
              <w:rPr>
                <w:rFonts w:ascii="Calibri" w:hAnsi="Calibri"/>
                <w:sz w:val="18"/>
              </w:rPr>
              <w:t>&lt; 0.0001 (Rejet H0)</w:t>
            </w:r>
          </w:p>
        </w:tc>
        <w:tc>
          <w:tcPr>
            <w:tcW w:type="dxa" w:w="1560"/>
            <w:shd w:fill="FFFFFF"/>
            <w:tcMar>
              <w:top w:w="60" w:type="dxa"/>
              <w:bottom w:w="60" w:type="dxa"/>
              <w:left w:w="80" w:type="dxa"/>
              <w:right w:w="80" w:type="dxa"/>
            </w:tcMar>
          </w:tcPr>
          <w:p>
            <w:r>
              <w:rPr>
                <w:rFonts w:ascii="Calibri" w:hAnsi="Calibri"/>
                <w:sz w:val="18"/>
              </w:rPr>
              <w:t>0.2340</w:t>
            </w:r>
          </w:p>
        </w:tc>
        <w:tc>
          <w:tcPr>
            <w:tcW w:type="dxa" w:w="1560"/>
            <w:shd w:fill="FFFFFF"/>
            <w:tcMar>
              <w:top w:w="60" w:type="dxa"/>
              <w:bottom w:w="60" w:type="dxa"/>
              <w:left w:w="80" w:type="dxa"/>
              <w:right w:w="80" w:type="dxa"/>
            </w:tcMar>
          </w:tcPr>
          <w:p>
            <w:r>
              <w:rPr>
                <w:rFonts w:ascii="Calibri" w:hAnsi="Calibri"/>
                <w:sz w:val="18"/>
              </w:rPr>
              <w:t>&gt; 0.1000 (Non-rejet)</w:t>
            </w:r>
          </w:p>
        </w:tc>
        <w:tc>
          <w:tcPr>
            <w:tcW w:type="dxa" w:w="1560"/>
            <w:shd w:fill="FFFFFF"/>
            <w:tcMar>
              <w:top w:w="60" w:type="dxa"/>
              <w:bottom w:w="60" w:type="dxa"/>
              <w:left w:w="80" w:type="dxa"/>
              <w:right w:w="80" w:type="dxa"/>
            </w:tcMar>
          </w:tcPr>
          <w:p>
            <w:r>
              <w:rPr>
                <w:rFonts w:ascii="Calibri" w:hAnsi="Calibri"/>
                <w:b/>
                <w:color w:val="27AE60"/>
                <w:sz w:val="18"/>
              </w:rPr>
              <w:t>I(0) Stationnaire</w:t>
            </w:r>
          </w:p>
        </w:tc>
      </w:tr>
      <w:tr>
        <w:tc>
          <w:tcPr>
            <w:tcW w:type="dxa" w:w="1560"/>
            <w:shd w:fill="F4F6F7"/>
            <w:tcMar>
              <w:top w:w="60" w:type="dxa"/>
              <w:bottom w:w="60" w:type="dxa"/>
              <w:left w:w="80" w:type="dxa"/>
              <w:right w:w="80" w:type="dxa"/>
            </w:tcMar>
          </w:tcPr>
          <w:p>
            <w:r>
              <w:rPr>
                <w:rFonts w:ascii="Calibri" w:hAnsi="Calibri"/>
                <w:b/>
                <w:sz w:val="18"/>
              </w:rPr>
              <w:t>BNB Log-Prix ln(P_t)</w:t>
            </w:r>
          </w:p>
        </w:tc>
        <w:tc>
          <w:tcPr>
            <w:tcW w:type="dxa" w:w="1560"/>
            <w:shd w:fill="F4F6F7"/>
            <w:tcMar>
              <w:top w:w="60" w:type="dxa"/>
              <w:bottom w:w="60" w:type="dxa"/>
              <w:left w:w="80" w:type="dxa"/>
              <w:right w:w="80" w:type="dxa"/>
            </w:tcMar>
          </w:tcPr>
          <w:p>
            <w:r>
              <w:rPr>
                <w:rFonts w:ascii="Calibri" w:hAnsi="Calibri"/>
                <w:sz w:val="18"/>
              </w:rPr>
              <w:t>-1.7794</w:t>
            </w:r>
          </w:p>
        </w:tc>
        <w:tc>
          <w:tcPr>
            <w:tcW w:type="dxa" w:w="1560"/>
            <w:shd w:fill="F4F6F7"/>
            <w:tcMar>
              <w:top w:w="60" w:type="dxa"/>
              <w:bottom w:w="60" w:type="dxa"/>
              <w:left w:w="80" w:type="dxa"/>
              <w:right w:w="80" w:type="dxa"/>
            </w:tcMar>
          </w:tcPr>
          <w:p>
            <w:r>
              <w:rPr>
                <w:rFonts w:ascii="Calibri" w:hAnsi="Calibri"/>
                <w:sz w:val="18"/>
              </w:rPr>
              <w:t>0.3907 (Non-rejet)</w:t>
            </w:r>
          </w:p>
        </w:tc>
        <w:tc>
          <w:tcPr>
            <w:tcW w:type="dxa" w:w="1560"/>
            <w:shd w:fill="F4F6F7"/>
            <w:tcMar>
              <w:top w:w="60" w:type="dxa"/>
              <w:bottom w:w="60" w:type="dxa"/>
              <w:left w:w="80" w:type="dxa"/>
              <w:right w:w="80" w:type="dxa"/>
            </w:tcMar>
          </w:tcPr>
          <w:p>
            <w:r>
              <w:rPr>
                <w:rFonts w:ascii="Calibri" w:hAnsi="Calibri"/>
                <w:sz w:val="18"/>
              </w:rPr>
              <w:t>6.2061</w:t>
            </w:r>
          </w:p>
        </w:tc>
        <w:tc>
          <w:tcPr>
            <w:tcW w:type="dxa" w:w="1560"/>
            <w:shd w:fill="F4F6F7"/>
            <w:tcMar>
              <w:top w:w="60" w:type="dxa"/>
              <w:bottom w:w="60" w:type="dxa"/>
              <w:left w:w="80" w:type="dxa"/>
              <w:right w:w="80" w:type="dxa"/>
            </w:tcMar>
          </w:tcPr>
          <w:p>
            <w:r>
              <w:rPr>
                <w:rFonts w:ascii="Calibri" w:hAnsi="Calibri"/>
                <w:sz w:val="18"/>
              </w:rPr>
              <w:t>0.0100 (Rejet H0)</w:t>
            </w:r>
          </w:p>
        </w:tc>
        <w:tc>
          <w:tcPr>
            <w:tcW w:type="dxa" w:w="1560"/>
            <w:shd w:fill="F4F6F7"/>
            <w:tcMar>
              <w:top w:w="60" w:type="dxa"/>
              <w:bottom w:w="60" w:type="dxa"/>
              <w:left w:w="80" w:type="dxa"/>
              <w:right w:w="80" w:type="dxa"/>
            </w:tcMar>
          </w:tcPr>
          <w:p>
            <w:r>
              <w:rPr>
                <w:rFonts w:ascii="Calibri" w:hAnsi="Calibri"/>
                <w:b/>
                <w:color w:val="C0392B"/>
                <w:sz w:val="18"/>
              </w:rPr>
              <w:t>I(1) Non Stationnaire</w:t>
            </w:r>
          </w:p>
        </w:tc>
      </w:tr>
      <w:tr>
        <w:tc>
          <w:tcPr>
            <w:tcW w:type="dxa" w:w="1560"/>
            <w:shd w:fill="FFFFFF"/>
            <w:tcMar>
              <w:top w:w="60" w:type="dxa"/>
              <w:bottom w:w="60" w:type="dxa"/>
              <w:left w:w="80" w:type="dxa"/>
              <w:right w:w="80" w:type="dxa"/>
            </w:tcMar>
          </w:tcPr>
          <w:p>
            <w:r>
              <w:rPr>
                <w:rFonts w:ascii="Calibri" w:hAnsi="Calibri"/>
                <w:b/>
                <w:sz w:val="18"/>
              </w:rPr>
              <w:t>BNB Log-Rendement r_t</w:t>
            </w:r>
          </w:p>
        </w:tc>
        <w:tc>
          <w:tcPr>
            <w:tcW w:type="dxa" w:w="1560"/>
            <w:shd w:fill="FFFFFF"/>
            <w:tcMar>
              <w:top w:w="60" w:type="dxa"/>
              <w:bottom w:w="60" w:type="dxa"/>
              <w:left w:w="80" w:type="dxa"/>
              <w:right w:w="80" w:type="dxa"/>
            </w:tcMar>
          </w:tcPr>
          <w:p>
            <w:r>
              <w:rPr>
                <w:rFonts w:ascii="Calibri" w:hAnsi="Calibri"/>
                <w:sz w:val="18"/>
              </w:rPr>
              <w:t>-12.3416</w:t>
            </w:r>
          </w:p>
        </w:tc>
        <w:tc>
          <w:tcPr>
            <w:tcW w:type="dxa" w:w="1560"/>
            <w:shd w:fill="FFFFFF"/>
            <w:tcMar>
              <w:top w:w="60" w:type="dxa"/>
              <w:bottom w:w="60" w:type="dxa"/>
              <w:left w:w="80" w:type="dxa"/>
              <w:right w:w="80" w:type="dxa"/>
            </w:tcMar>
          </w:tcPr>
          <w:p>
            <w:r>
              <w:rPr>
                <w:rFonts w:ascii="Calibri" w:hAnsi="Calibri"/>
                <w:sz w:val="18"/>
              </w:rPr>
              <w:t>&lt; 0.0001 (Rejet H0)</w:t>
            </w:r>
          </w:p>
        </w:tc>
        <w:tc>
          <w:tcPr>
            <w:tcW w:type="dxa" w:w="1560"/>
            <w:shd w:fill="FFFFFF"/>
            <w:tcMar>
              <w:top w:w="60" w:type="dxa"/>
              <w:bottom w:w="60" w:type="dxa"/>
              <w:left w:w="80" w:type="dxa"/>
              <w:right w:w="80" w:type="dxa"/>
            </w:tcMar>
          </w:tcPr>
          <w:p>
            <w:r>
              <w:rPr>
                <w:rFonts w:ascii="Calibri" w:hAnsi="Calibri"/>
                <w:sz w:val="18"/>
              </w:rPr>
              <w:t>0.2701</w:t>
            </w:r>
          </w:p>
        </w:tc>
        <w:tc>
          <w:tcPr>
            <w:tcW w:type="dxa" w:w="1560"/>
            <w:shd w:fill="FFFFFF"/>
            <w:tcMar>
              <w:top w:w="60" w:type="dxa"/>
              <w:bottom w:w="60" w:type="dxa"/>
              <w:left w:w="80" w:type="dxa"/>
              <w:right w:w="80" w:type="dxa"/>
            </w:tcMar>
          </w:tcPr>
          <w:p>
            <w:r>
              <w:rPr>
                <w:rFonts w:ascii="Calibri" w:hAnsi="Calibri"/>
                <w:sz w:val="18"/>
              </w:rPr>
              <w:t>&gt; 0.1000 (Non-rejet)</w:t>
            </w:r>
          </w:p>
        </w:tc>
        <w:tc>
          <w:tcPr>
            <w:tcW w:type="dxa" w:w="1560"/>
            <w:shd w:fill="FFFFFF"/>
            <w:tcMar>
              <w:top w:w="60" w:type="dxa"/>
              <w:bottom w:w="60" w:type="dxa"/>
              <w:left w:w="80" w:type="dxa"/>
              <w:right w:w="80" w:type="dxa"/>
            </w:tcMar>
          </w:tcPr>
          <w:p>
            <w:r>
              <w:rPr>
                <w:rFonts w:ascii="Calibri" w:hAnsi="Calibri"/>
                <w:b/>
                <w:color w:val="27AE60"/>
                <w:sz w:val="18"/>
              </w:rPr>
              <w:t>I(0) Stationnaire</w:t>
            </w:r>
          </w:p>
        </w:tc>
      </w:tr>
    </w:tbl>
    <w:p>
      <w:pPr>
        <w:spacing w:after="80"/>
      </w:pPr>
    </w:p>
    <w:p>
      <w:pPr>
        <w:spacing w:before="0" w:after="100" w:line="276" w:lineRule="auto"/>
      </w:pPr>
      <w:r>
        <w:rPr>
          <w:rFonts w:ascii="Calibri" w:hAnsi="Calibri"/>
          <w:i w:val="0"/>
          <w:color w:val="2C3E50"/>
          <w:sz w:val="21"/>
        </w:rPr>
        <w:t>Conclusion sur l'ordre d'intégration : Pour les trois actifs, les log-prix sont non stationnaires I(1) et leurs log-rendements sont strictement stationnaires I(0). Toute modélisation économétrique en niveau de prix direct conduirait à des régressions fallacieuses (spurious regressions). Les modélisations ARIMA et VAR doivent être estimées sur les séries stationnaires en différences premières.</w:t>
      </w:r>
    </w:p>
    <w:p>
      <w:pPr>
        <w:keepNext/>
        <w:spacing w:before="360" w:after="160"/>
      </w:pPr>
      <w:r>
        <w:rPr>
          <w:rFonts w:ascii="Arial" w:hAnsi="Arial"/>
          <w:b/>
          <w:color w:val="1A5276"/>
          <w:sz w:val="32"/>
        </w:rPr>
        <w:t>3. Modélisation Économétrique Univariée : ARMA vs ARIMA</w:t>
      </w:r>
    </w:p>
    <w:p>
      <w:pPr>
        <w:keepNext/>
        <w:spacing w:before="280" w:after="120"/>
      </w:pPr>
      <w:r>
        <w:rPr>
          <w:rFonts w:ascii="Arial" w:hAnsi="Arial"/>
          <w:b/>
          <w:color w:val="2980B9"/>
          <w:sz w:val="26"/>
        </w:rPr>
        <w:t>3.1 Justification théorique de l'équivalence ARMA(1,1) et ARIMA(1,1,1)</w:t>
      </w:r>
    </w:p>
    <w:p>
      <w:pPr>
        <w:spacing w:before="0" w:after="100" w:line="276" w:lineRule="auto"/>
      </w:pPr>
      <w:r>
        <w:rPr>
          <w:rFonts w:ascii="Calibri" w:hAnsi="Calibri"/>
          <w:b/>
          <w:color w:val="2C3E50"/>
          <w:sz w:val="21"/>
        </w:rPr>
        <w:t xml:space="preserve">Cadre formel : </w:t>
      </w:r>
      <w:r>
        <w:rPr>
          <w:rFonts w:ascii="Calibri" w:hAnsi="Calibri"/>
          <w:i w:val="0"/>
          <w:color w:val="2C3E50"/>
          <w:sz w:val="21"/>
        </w:rPr>
        <w:t>Clarification mathématique fondamentale sur la spécification des modèles : Soit p_t = ln(P_t) le log-prix et r_t = p_t - p_{t-1} le log-rendement stationnaire. L'estimation d'un modèle ARMA(1,1) avec constante c sur les rendements s'écrit :</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80" w:type="dxa"/>
              <w:right w:w="180" w:type="dxa"/>
            </w:tcMar>
            <w:tcBorders>
              <w:left w:val="single" w:sz="16" w:space="0" w:color="16A085"/>
              <w:top w:val="single" w:sz="4" w:space="0" w:color="E2E8F0"/>
              <w:right w:val="single" w:sz="4" w:space="0" w:color="E2E8F0"/>
              <w:bottom w:val="single" w:sz="4" w:space="0" w:color="E2E8F0"/>
            </w:tcBorders>
          </w:tcPr>
          <w:p>
            <w:pPr>
              <w:jc w:val="center"/>
            </w:pPr>
            <w:r>
              <w:rPr>
                <w:rFonts w:ascii="Cambria Math" w:hAnsi="Cambria Math"/>
                <w:b/>
                <w:color w:val="16A085"/>
                <w:sz w:val="22"/>
              </w:rPr>
              <w:t>(1 - \phi_1 L)(r_t - \mu) = (1 + \theta_1 L) \epsilon_t \iff r_t = c + \phi_1 r_{t-1} + \theta_1 \epsilon_{t-1} + \epsilon_t</w:t>
              <w:br/>
            </w:r>
          </w:p>
          <w:p>
            <w:pPr>
              <w:spacing w:before="40" w:after="0"/>
            </w:pPr>
            <w:r>
              <w:rPr>
                <w:rFonts w:ascii="Calibri" w:hAnsi="Calibri"/>
                <w:i/>
                <w:color w:val="505A64"/>
                <w:sz w:val="19"/>
              </w:rPr>
              <w:t>Où : L est l'opérateur de retard, \mu = \mathbb{E}[r_t] = c / (1 - \phi_1) la moyenne inconditionnelle des rendements, et \epsilon_t \sim WN(0, \sigma^2).</w:t>
            </w:r>
          </w:p>
        </w:tc>
      </w:tr>
    </w:tbl>
    <w:p>
      <w:pPr>
        <w:spacing w:after="80"/>
      </w:pPr>
    </w:p>
    <w:p>
      <w:pPr>
        <w:spacing w:before="0" w:after="100" w:line="276" w:lineRule="auto"/>
      </w:pPr>
      <w:r>
        <w:rPr>
          <w:rFonts w:ascii="Calibri" w:hAnsi="Calibri"/>
          <w:b/>
          <w:color w:val="2C3E50"/>
          <w:sz w:val="21"/>
        </w:rPr>
        <w:t xml:space="preserve">Équivalence mathématique : </w:t>
      </w:r>
      <w:r>
        <w:rPr>
          <w:rFonts w:ascii="Calibri" w:hAnsi="Calibri"/>
          <w:i w:val="0"/>
          <w:color w:val="2C3E50"/>
          <w:sz w:val="21"/>
        </w:rPr>
        <w:t>Comme r_t = (1 - L) p_t, la substitution directe dans l'espace des log-prix produit rigoureusement : (1 - \phi_1 L)(1 - L) p_t = c + (1 + \theta_1 L) \epsilon_t. Cette équation correspond très exactement à un modèle ARIMA(1,1,1) avec terme de dérive linéaire déterministe (drift) c * t dans la trajectoire du log-prix. Les deux formulations sont donc mathématiquement et numériquement équivalentes.</w:t>
      </w:r>
    </w:p>
    <w:p>
      <w:pPr>
        <w:keepNext/>
        <w:spacing w:before="280" w:after="120"/>
      </w:pPr>
      <w:r>
        <w:rPr>
          <w:rFonts w:ascii="Arial" w:hAnsi="Arial"/>
          <w:b/>
          <w:color w:val="2980B9"/>
          <w:sz w:val="26"/>
        </w:rPr>
        <w:t>3.2 Paramètres estimés sur les rendements de Bitcoin (2019–2025)</w:t>
      </w:r>
    </w:p>
    <w:p>
      <w:pPr>
        <w:spacing w:before="0" w:after="100" w:line="276" w:lineRule="auto"/>
      </w:pPr>
      <w:r>
        <w:rPr>
          <w:rFonts w:ascii="Calibri" w:hAnsi="Calibri"/>
          <w:i w:val="0"/>
          <w:color w:val="2C3E50"/>
          <w:sz w:val="21"/>
        </w:rPr>
        <w:t>L'ajustement du modèle ARMA(1,1) / ARIMA(1,0,1) avec constante de dérive sur les 2 522 observations de rendement BTC fournit les coefficients suivants :</w:t>
        <w:br/>
        <w:t>• Constante de dérive (c) : +0.0892 % / jour (erreur-type = 0.0412, t = 2.165, p = 0.0304). La dérive haussière est statistiquement significative au seuil de 5%.</w:t>
        <w:br/>
        <w:t>• Coefficient autorégressif (phi_1) : -0.0500 (erreur-type = 0.0175, t = -2.849, p = 0.0044). Léger rappel à la moyenne négatif à très court terme.</w:t>
        <w:br/>
        <w:t>• Coefficient moyenne mobile (theta_1) : +0.0124 (non significatif, p = 0.621).</w:t>
        <w:br/>
        <w:t>• Variance des résidus (sigma^2) : 10.78 (AIC = 13 159.55, BIC = 13 182.88).</w:t>
      </w:r>
    </w:p>
    <w:p>
      <w:pPr>
        <w:keepNext/>
        <w:spacing w:before="280" w:after="120"/>
      </w:pPr>
      <w:r>
        <w:rPr>
          <w:rFonts w:ascii="Arial" w:hAnsi="Arial"/>
          <w:b/>
          <w:color w:val="2980B9"/>
          <w:sz w:val="26"/>
        </w:rPr>
        <w:t>3.3 Diagnostics des résidus ARIMA</w:t>
      </w:r>
    </w:p>
    <w:p>
      <w:pPr>
        <w:spacing w:before="0" w:after="100" w:line="276" w:lineRule="auto"/>
      </w:pPr>
      <w:r>
        <w:rPr>
          <w:rFonts w:ascii="Calibri" w:hAnsi="Calibri"/>
          <w:i w:val="0"/>
          <w:color w:val="2C3E50"/>
          <w:sz w:val="21"/>
        </w:rPr>
        <w:t>• Test de Ljung-Box (retard 7) : Statistique Q = 9.82, p-valeur = 0.198 &gt; 0.05. Non-rejet de l'hypothèse d'absence d'autocorrélation linéaire dans les résidus en moyenne.</w:t>
      </w:r>
    </w:p>
    <w:p>
      <w:pPr>
        <w:spacing w:before="0" w:after="100" w:line="276" w:lineRule="auto"/>
      </w:pPr>
      <w:r>
        <w:rPr>
          <w:rFonts w:ascii="Calibri" w:hAnsi="Calibri"/>
          <w:i w:val="0"/>
          <w:color w:val="2C3E50"/>
          <w:sz w:val="21"/>
        </w:rPr>
        <w:t>• Test de Jarque-Bera : Statistique = 38 272, p-valeur &lt; 10^{-16}. Rejet net de la normalité (présence de chocs extrêmes).</w:t>
      </w:r>
    </w:p>
    <w:p>
      <w:pPr>
        <w:spacing w:before="0" w:after="100" w:line="276" w:lineRule="auto"/>
      </w:pPr>
      <w:r>
        <w:rPr>
          <w:rFonts w:ascii="Calibri" w:hAnsi="Calibri"/>
          <w:i w:val="0"/>
          <w:color w:val="2C3E50"/>
          <w:sz w:val="21"/>
        </w:rPr>
        <w:t>• Test ARCH-LM d'Engle (hétéroscédasticité) : Statistique LM = 124.5, p-valeur &lt; 10^{-16}. Rejet massif de l'homoscédasticité.</w:t>
      </w:r>
    </w:p>
    <w:p>
      <w:pPr>
        <w:spacing w:before="0" w:after="100" w:line="276" w:lineRule="auto"/>
      </w:pPr>
      <w:r>
        <w:rPr>
          <w:rFonts w:ascii="Calibri" w:hAnsi="Calibri"/>
          <w:b/>
          <w:color w:val="2C3E50"/>
          <w:sz w:val="21"/>
        </w:rPr>
        <w:t xml:space="preserve">Conclusion sur les résidus : </w:t>
      </w:r>
      <w:r>
        <w:rPr>
          <w:rFonts w:ascii="Calibri" w:hAnsi="Calibri"/>
          <w:i w:val="0"/>
          <w:color w:val="2C3E50"/>
          <w:sz w:val="21"/>
        </w:rPr>
        <w:t>Constat méthodologique : Bien que les résidus ARIMA soient décorrélés au premier ordre (bruit blanc faible), leurs carrés présentent une dépendance temporelle massive (clustering de volatilité), justifiant formellement le recours à un modèle GARCH.</w:t>
      </w:r>
    </w:p>
    <w:p>
      <w:pPr>
        <w:keepNext/>
        <w:spacing w:before="360" w:after="160"/>
      </w:pPr>
      <w:r>
        <w:rPr>
          <w:rFonts w:ascii="Arial" w:hAnsi="Arial"/>
          <w:b/>
          <w:color w:val="1A5276"/>
          <w:sz w:val="32"/>
        </w:rPr>
        <w:t>4. Économétrie Multivariée : Système VAR(5) &amp; Cointégration</w:t>
      </w:r>
    </w:p>
    <w:p>
      <w:pPr>
        <w:keepNext/>
        <w:spacing w:before="280" w:after="120"/>
      </w:pPr>
      <w:r>
        <w:rPr>
          <w:rFonts w:ascii="Arial" w:hAnsi="Arial"/>
          <w:b/>
          <w:color w:val="2980B9"/>
          <w:sz w:val="26"/>
        </w:rPr>
        <w:t>4.1 Spécification explicite du système VAR trivarié</w:t>
      </w:r>
    </w:p>
    <w:p>
      <w:pPr>
        <w:spacing w:before="0" w:after="100" w:line="276" w:lineRule="auto"/>
      </w:pPr>
      <w:r>
        <w:rPr>
          <w:rFonts w:ascii="Calibri" w:hAnsi="Calibri"/>
          <w:b/>
          <w:color w:val="2C3E50"/>
          <w:sz w:val="21"/>
        </w:rPr>
        <w:t xml:space="preserve">Vecteur de variables : </w:t>
      </w:r>
      <w:r>
        <w:rPr>
          <w:rFonts w:ascii="Calibri" w:hAnsi="Calibri"/>
          <w:i w:val="0"/>
          <w:color w:val="2C3E50"/>
          <w:sz w:val="21"/>
        </w:rPr>
        <w:t>Le système Vector AutoRegressive (VAR) est estimé sur le vecteur des log-rendements stationnaires I(0) des trois crypto-actifs : Y_t = [r_{t}^{BTC}, r_{t}^{ETH}, r_{t}^{BNB}]'. Le critère d'information d'Akaike (AIC) sélectionne un ordre optimal de p = 5 retards journaliers (AIC = 14.28 vs HQIC p=1, BIC p=1). Le modèle s'écrit sous forme matricielle :</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80" w:type="dxa"/>
              <w:right w:w="180" w:type="dxa"/>
            </w:tcMar>
            <w:tcBorders>
              <w:left w:val="single" w:sz="16" w:space="0" w:color="16A085"/>
              <w:top w:val="single" w:sz="4" w:space="0" w:color="E2E8F0"/>
              <w:right w:val="single" w:sz="4" w:space="0" w:color="E2E8F0"/>
              <w:bottom w:val="single" w:sz="4" w:space="0" w:color="E2E8F0"/>
            </w:tcBorders>
          </w:tcPr>
          <w:p>
            <w:pPr>
              <w:jc w:val="center"/>
            </w:pPr>
            <w:r>
              <w:rPr>
                <w:rFonts w:ascii="Cambria Math" w:hAnsi="Cambria Math"/>
                <w:b/>
                <w:color w:val="16A085"/>
                <w:sz w:val="22"/>
              </w:rPr>
              <w:t>Y_t = c + \sum_{j=1}^{5} A_j Y_{t-j} + U_t, \quad U_t \sim WN(0, \Sigma)</w:t>
              <w:br/>
            </w:r>
          </w:p>
          <w:p>
            <w:pPr>
              <w:spacing w:before="40" w:after="0"/>
            </w:pPr>
            <w:r>
              <w:rPr>
                <w:rFonts w:ascii="Calibri" w:hAnsi="Calibri"/>
                <w:i/>
                <w:color w:val="505A64"/>
                <w:sz w:val="19"/>
              </w:rPr>
              <w:t>Où : A_j sont les matrices de coefficients 3x3, c le vecteur des constantes, et \Sigma la matrice de variance-covariance contemporaine des résidus.</w:t>
            </w:r>
          </w:p>
        </w:tc>
      </w:tr>
    </w:tbl>
    <w:p>
      <w:pPr>
        <w:spacing w:after="80"/>
      </w:pPr>
    </w:p>
    <w:p>
      <w:pPr>
        <w:keepNext/>
        <w:spacing w:before="280" w:after="120"/>
      </w:pPr>
      <w:r>
        <w:rPr>
          <w:rFonts w:ascii="Arial" w:hAnsi="Arial"/>
          <w:b/>
          <w:color w:val="2980B9"/>
          <w:sz w:val="26"/>
        </w:rPr>
        <w:t>4.2 Matrice de causalité au sens de Granger (Réseau 3x3)</w:t>
      </w:r>
    </w:p>
    <w:p>
      <w:pPr>
        <w:spacing w:before="0" w:after="100" w:line="276" w:lineRule="auto"/>
      </w:pPr>
      <w:r>
        <w:rPr>
          <w:rFonts w:ascii="Calibri" w:hAnsi="Calibri"/>
          <w:i w:val="0"/>
          <w:color w:val="2C3E50"/>
          <w:sz w:val="21"/>
        </w:rPr>
        <w:t>Pour analyser la dynamique de transmission temporelle des signaux prédictifs, nous calculons les tests de causalité au sens de Granger (1969) sur le VAR(5) (Tableau 3) :</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872"/>
        <w:gridCol w:w="1872"/>
        <w:gridCol w:w="1872"/>
        <w:gridCol w:w="1872"/>
        <w:gridCol w:w="1872"/>
      </w:tblGrid>
      <w:tr>
        <w:tc>
          <w:tcPr>
            <w:tcW w:type="dxa" w:w="1872"/>
            <w:shd w:fill="1A5276"/>
            <w:tcMar>
              <w:top w:w="80" w:type="dxa"/>
              <w:bottom w:w="80" w:type="dxa"/>
              <w:left w:w="80" w:type="dxa"/>
              <w:right w:w="80" w:type="dxa"/>
            </w:tcMar>
          </w:tcPr>
          <w:p>
            <w:r>
              <w:rPr>
                <w:rFonts w:ascii="Arial" w:hAnsi="Arial"/>
                <w:b/>
                <w:color w:val="FFFFFF"/>
                <w:sz w:val="18"/>
              </w:rPr>
              <w:t>Direction de Causalité</w:t>
            </w:r>
          </w:p>
        </w:tc>
        <w:tc>
          <w:tcPr>
            <w:tcW w:type="dxa" w:w="1872"/>
            <w:shd w:fill="1A5276"/>
            <w:tcMar>
              <w:top w:w="80" w:type="dxa"/>
              <w:bottom w:w="80" w:type="dxa"/>
              <w:left w:w="80" w:type="dxa"/>
              <w:right w:w="80" w:type="dxa"/>
            </w:tcMar>
          </w:tcPr>
          <w:p>
            <w:r>
              <w:rPr>
                <w:rFonts w:ascii="Arial" w:hAnsi="Arial"/>
                <w:b/>
                <w:color w:val="FFFFFF"/>
                <w:sz w:val="18"/>
              </w:rPr>
              <w:t>Hypothèse Nulle (H0)</w:t>
            </w:r>
          </w:p>
        </w:tc>
        <w:tc>
          <w:tcPr>
            <w:tcW w:type="dxa" w:w="1872"/>
            <w:shd w:fill="1A5276"/>
            <w:tcMar>
              <w:top w:w="80" w:type="dxa"/>
              <w:bottom w:w="80" w:type="dxa"/>
              <w:left w:w="80" w:type="dxa"/>
              <w:right w:w="80" w:type="dxa"/>
            </w:tcMar>
          </w:tcPr>
          <w:p>
            <w:r>
              <w:rPr>
                <w:rFonts w:ascii="Arial" w:hAnsi="Arial"/>
                <w:b/>
                <w:color w:val="FFFFFF"/>
                <w:sz w:val="18"/>
              </w:rPr>
              <w:t>Statistique F</w:t>
            </w:r>
          </w:p>
        </w:tc>
        <w:tc>
          <w:tcPr>
            <w:tcW w:type="dxa" w:w="1872"/>
            <w:shd w:fill="1A5276"/>
            <w:tcMar>
              <w:top w:w="80" w:type="dxa"/>
              <w:bottom w:w="80" w:type="dxa"/>
              <w:left w:w="80" w:type="dxa"/>
              <w:right w:w="80" w:type="dxa"/>
            </w:tcMar>
          </w:tcPr>
          <w:p>
            <w:r>
              <w:rPr>
                <w:rFonts w:ascii="Arial" w:hAnsi="Arial"/>
                <w:b/>
                <w:color w:val="FFFFFF"/>
                <w:sz w:val="18"/>
              </w:rPr>
              <w:t>p-valeur</w:t>
            </w:r>
          </w:p>
        </w:tc>
        <w:tc>
          <w:tcPr>
            <w:tcW w:type="dxa" w:w="1872"/>
            <w:shd w:fill="1A5276"/>
            <w:tcMar>
              <w:top w:w="80" w:type="dxa"/>
              <w:bottom w:w="80" w:type="dxa"/>
              <w:left w:w="80" w:type="dxa"/>
              <w:right w:w="80" w:type="dxa"/>
            </w:tcMar>
          </w:tcPr>
          <w:p>
            <w:r>
              <w:rPr>
                <w:rFonts w:ascii="Arial" w:hAnsi="Arial"/>
                <w:b/>
                <w:color w:val="FFFFFF"/>
                <w:sz w:val="18"/>
              </w:rPr>
              <w:t>Significatif à 5%</w:t>
            </w:r>
          </w:p>
        </w:tc>
      </w:tr>
      <w:tr>
        <w:tc>
          <w:tcPr>
            <w:tcW w:type="dxa" w:w="1872"/>
            <w:shd w:fill="F4F6F7"/>
            <w:tcMar>
              <w:top w:w="60" w:type="dxa"/>
              <w:bottom w:w="60" w:type="dxa"/>
              <w:left w:w="80" w:type="dxa"/>
              <w:right w:w="80" w:type="dxa"/>
            </w:tcMar>
          </w:tcPr>
          <w:p>
            <w:r>
              <w:rPr>
                <w:rFonts w:ascii="Calibri" w:hAnsi="Calibri"/>
                <w:b/>
                <w:sz w:val="18"/>
              </w:rPr>
              <w:t>ETH Rendement -&gt; BTC Rendement</w:t>
            </w:r>
          </w:p>
        </w:tc>
        <w:tc>
          <w:tcPr>
            <w:tcW w:type="dxa" w:w="1872"/>
            <w:shd w:fill="F4F6F7"/>
            <w:tcMar>
              <w:top w:w="60" w:type="dxa"/>
              <w:bottom w:w="60" w:type="dxa"/>
              <w:left w:w="80" w:type="dxa"/>
              <w:right w:w="80" w:type="dxa"/>
            </w:tcMar>
          </w:tcPr>
          <w:p>
            <w:r>
              <w:rPr>
                <w:rFonts w:ascii="Calibri" w:hAnsi="Calibri"/>
                <w:sz w:val="18"/>
              </w:rPr>
              <w:t>ETH ne cause pas BTC</w:t>
            </w:r>
          </w:p>
        </w:tc>
        <w:tc>
          <w:tcPr>
            <w:tcW w:type="dxa" w:w="1872"/>
            <w:shd w:fill="F4F6F7"/>
            <w:tcMar>
              <w:top w:w="60" w:type="dxa"/>
              <w:bottom w:w="60" w:type="dxa"/>
              <w:left w:w="80" w:type="dxa"/>
              <w:right w:w="80" w:type="dxa"/>
            </w:tcMar>
          </w:tcPr>
          <w:p>
            <w:r>
              <w:rPr>
                <w:rFonts w:ascii="Calibri" w:hAnsi="Calibri"/>
                <w:sz w:val="18"/>
              </w:rPr>
              <w:t>3.547</w:t>
            </w:r>
          </w:p>
        </w:tc>
        <w:tc>
          <w:tcPr>
            <w:tcW w:type="dxa" w:w="1872"/>
            <w:shd w:fill="F4F6F7"/>
            <w:tcMar>
              <w:top w:w="60" w:type="dxa"/>
              <w:bottom w:w="60" w:type="dxa"/>
              <w:left w:w="80" w:type="dxa"/>
              <w:right w:w="80" w:type="dxa"/>
            </w:tcMar>
          </w:tcPr>
          <w:p>
            <w:r>
              <w:rPr>
                <w:rFonts w:ascii="Calibri" w:hAnsi="Calibri"/>
                <w:sz w:val="18"/>
              </w:rPr>
              <w:t>0.0033</w:t>
            </w:r>
          </w:p>
        </w:tc>
        <w:tc>
          <w:tcPr>
            <w:tcW w:type="dxa" w:w="1872"/>
            <w:shd w:fill="F4F6F7"/>
            <w:tcMar>
              <w:top w:w="60" w:type="dxa"/>
              <w:bottom w:w="60" w:type="dxa"/>
              <w:left w:w="80" w:type="dxa"/>
              <w:right w:w="80" w:type="dxa"/>
            </w:tcMar>
          </w:tcPr>
          <w:p>
            <w:r>
              <w:rPr>
                <w:rFonts w:ascii="Calibri" w:hAnsi="Calibri"/>
                <w:b/>
                <w:color w:val="27AE60"/>
                <w:sz w:val="18"/>
              </w:rPr>
              <w:t>OUI (Rejet H0)</w:t>
            </w:r>
          </w:p>
        </w:tc>
      </w:tr>
      <w:tr>
        <w:tc>
          <w:tcPr>
            <w:tcW w:type="dxa" w:w="1872"/>
            <w:shd w:fill="FFFFFF"/>
            <w:tcMar>
              <w:top w:w="60" w:type="dxa"/>
              <w:bottom w:w="60" w:type="dxa"/>
              <w:left w:w="80" w:type="dxa"/>
              <w:right w:w="80" w:type="dxa"/>
            </w:tcMar>
          </w:tcPr>
          <w:p>
            <w:r>
              <w:rPr>
                <w:rFonts w:ascii="Calibri" w:hAnsi="Calibri"/>
                <w:b/>
                <w:sz w:val="18"/>
              </w:rPr>
              <w:t>BTC Rendement -&gt; ETH Rendement</w:t>
            </w:r>
          </w:p>
        </w:tc>
        <w:tc>
          <w:tcPr>
            <w:tcW w:type="dxa" w:w="1872"/>
            <w:shd w:fill="FFFFFF"/>
            <w:tcMar>
              <w:top w:w="60" w:type="dxa"/>
              <w:bottom w:w="60" w:type="dxa"/>
              <w:left w:w="80" w:type="dxa"/>
              <w:right w:w="80" w:type="dxa"/>
            </w:tcMar>
          </w:tcPr>
          <w:p>
            <w:r>
              <w:rPr>
                <w:rFonts w:ascii="Calibri" w:hAnsi="Calibri"/>
                <w:sz w:val="18"/>
              </w:rPr>
              <w:t>BTC ne cause pas ETH</w:t>
            </w:r>
          </w:p>
        </w:tc>
        <w:tc>
          <w:tcPr>
            <w:tcW w:type="dxa" w:w="1872"/>
            <w:shd w:fill="FFFFFF"/>
            <w:tcMar>
              <w:top w:w="60" w:type="dxa"/>
              <w:bottom w:w="60" w:type="dxa"/>
              <w:left w:w="80" w:type="dxa"/>
              <w:right w:w="80" w:type="dxa"/>
            </w:tcMar>
          </w:tcPr>
          <w:p>
            <w:r>
              <w:rPr>
                <w:rFonts w:ascii="Calibri" w:hAnsi="Calibri"/>
                <w:sz w:val="18"/>
              </w:rPr>
              <w:t>2.302</w:t>
            </w:r>
          </w:p>
        </w:tc>
        <w:tc>
          <w:tcPr>
            <w:tcW w:type="dxa" w:w="1872"/>
            <w:shd w:fill="FFFFFF"/>
            <w:tcMar>
              <w:top w:w="60" w:type="dxa"/>
              <w:bottom w:w="60" w:type="dxa"/>
              <w:left w:w="80" w:type="dxa"/>
              <w:right w:w="80" w:type="dxa"/>
            </w:tcMar>
          </w:tcPr>
          <w:p>
            <w:r>
              <w:rPr>
                <w:rFonts w:ascii="Calibri" w:hAnsi="Calibri"/>
                <w:sz w:val="18"/>
              </w:rPr>
              <w:t>0.0423</w:t>
            </w:r>
          </w:p>
        </w:tc>
        <w:tc>
          <w:tcPr>
            <w:tcW w:type="dxa" w:w="1872"/>
            <w:shd w:fill="FFFFFF"/>
            <w:tcMar>
              <w:top w:w="60" w:type="dxa"/>
              <w:bottom w:w="60" w:type="dxa"/>
              <w:left w:w="80" w:type="dxa"/>
              <w:right w:w="80" w:type="dxa"/>
            </w:tcMar>
          </w:tcPr>
          <w:p>
            <w:r>
              <w:rPr>
                <w:rFonts w:ascii="Calibri" w:hAnsi="Calibri"/>
                <w:b/>
                <w:color w:val="27AE60"/>
                <w:sz w:val="18"/>
              </w:rPr>
              <w:t>OUI (Rejet H0)</w:t>
            </w:r>
          </w:p>
        </w:tc>
      </w:tr>
      <w:tr>
        <w:tc>
          <w:tcPr>
            <w:tcW w:type="dxa" w:w="1872"/>
            <w:shd w:fill="F4F6F7"/>
            <w:tcMar>
              <w:top w:w="60" w:type="dxa"/>
              <w:bottom w:w="60" w:type="dxa"/>
              <w:left w:w="80" w:type="dxa"/>
              <w:right w:w="80" w:type="dxa"/>
            </w:tcMar>
          </w:tcPr>
          <w:p>
            <w:r>
              <w:rPr>
                <w:rFonts w:ascii="Calibri" w:hAnsi="Calibri"/>
                <w:b/>
                <w:sz w:val="18"/>
              </w:rPr>
              <w:t>ETH Rendement -&gt; BNB Rendement</w:t>
            </w:r>
          </w:p>
        </w:tc>
        <w:tc>
          <w:tcPr>
            <w:tcW w:type="dxa" w:w="1872"/>
            <w:shd w:fill="F4F6F7"/>
            <w:tcMar>
              <w:top w:w="60" w:type="dxa"/>
              <w:bottom w:w="60" w:type="dxa"/>
              <w:left w:w="80" w:type="dxa"/>
              <w:right w:w="80" w:type="dxa"/>
            </w:tcMar>
          </w:tcPr>
          <w:p>
            <w:r>
              <w:rPr>
                <w:rFonts w:ascii="Calibri" w:hAnsi="Calibri"/>
                <w:sz w:val="18"/>
              </w:rPr>
              <w:t>ETH ne cause pas BNB</w:t>
            </w:r>
          </w:p>
        </w:tc>
        <w:tc>
          <w:tcPr>
            <w:tcW w:type="dxa" w:w="1872"/>
            <w:shd w:fill="F4F6F7"/>
            <w:tcMar>
              <w:top w:w="60" w:type="dxa"/>
              <w:bottom w:w="60" w:type="dxa"/>
              <w:left w:w="80" w:type="dxa"/>
              <w:right w:w="80" w:type="dxa"/>
            </w:tcMar>
          </w:tcPr>
          <w:p>
            <w:r>
              <w:rPr>
                <w:rFonts w:ascii="Calibri" w:hAnsi="Calibri"/>
                <w:sz w:val="18"/>
              </w:rPr>
              <w:t>3.071</w:t>
            </w:r>
          </w:p>
        </w:tc>
        <w:tc>
          <w:tcPr>
            <w:tcW w:type="dxa" w:w="1872"/>
            <w:shd w:fill="F4F6F7"/>
            <w:tcMar>
              <w:top w:w="60" w:type="dxa"/>
              <w:bottom w:w="60" w:type="dxa"/>
              <w:left w:w="80" w:type="dxa"/>
              <w:right w:w="80" w:type="dxa"/>
            </w:tcMar>
          </w:tcPr>
          <w:p>
            <w:r>
              <w:rPr>
                <w:rFonts w:ascii="Calibri" w:hAnsi="Calibri"/>
                <w:sz w:val="18"/>
              </w:rPr>
              <w:t>0.0090</w:t>
            </w:r>
          </w:p>
        </w:tc>
        <w:tc>
          <w:tcPr>
            <w:tcW w:type="dxa" w:w="1872"/>
            <w:shd w:fill="F4F6F7"/>
            <w:tcMar>
              <w:top w:w="60" w:type="dxa"/>
              <w:bottom w:w="60" w:type="dxa"/>
              <w:left w:w="80" w:type="dxa"/>
              <w:right w:w="80" w:type="dxa"/>
            </w:tcMar>
          </w:tcPr>
          <w:p>
            <w:r>
              <w:rPr>
                <w:rFonts w:ascii="Calibri" w:hAnsi="Calibri"/>
                <w:b/>
                <w:color w:val="27AE60"/>
                <w:sz w:val="18"/>
              </w:rPr>
              <w:t>OUI (Rejet H0)</w:t>
            </w:r>
          </w:p>
        </w:tc>
      </w:tr>
      <w:tr>
        <w:tc>
          <w:tcPr>
            <w:tcW w:type="dxa" w:w="1872"/>
            <w:shd w:fill="FFFFFF"/>
            <w:tcMar>
              <w:top w:w="60" w:type="dxa"/>
              <w:bottom w:w="60" w:type="dxa"/>
              <w:left w:w="80" w:type="dxa"/>
              <w:right w:w="80" w:type="dxa"/>
            </w:tcMar>
          </w:tcPr>
          <w:p>
            <w:r>
              <w:rPr>
                <w:rFonts w:ascii="Calibri" w:hAnsi="Calibri"/>
                <w:b/>
                <w:sz w:val="18"/>
              </w:rPr>
              <w:t>BTC Rendement -&gt; BNB Rendement</w:t>
            </w:r>
          </w:p>
        </w:tc>
        <w:tc>
          <w:tcPr>
            <w:tcW w:type="dxa" w:w="1872"/>
            <w:shd w:fill="FFFFFF"/>
            <w:tcMar>
              <w:top w:w="60" w:type="dxa"/>
              <w:bottom w:w="60" w:type="dxa"/>
              <w:left w:w="80" w:type="dxa"/>
              <w:right w:w="80" w:type="dxa"/>
            </w:tcMar>
          </w:tcPr>
          <w:p>
            <w:r>
              <w:rPr>
                <w:rFonts w:ascii="Calibri" w:hAnsi="Calibri"/>
                <w:sz w:val="18"/>
              </w:rPr>
              <w:t>BTC ne cause pas BNB</w:t>
            </w:r>
          </w:p>
        </w:tc>
        <w:tc>
          <w:tcPr>
            <w:tcW w:type="dxa" w:w="1872"/>
            <w:shd w:fill="FFFFFF"/>
            <w:tcMar>
              <w:top w:w="60" w:type="dxa"/>
              <w:bottom w:w="60" w:type="dxa"/>
              <w:left w:w="80" w:type="dxa"/>
              <w:right w:w="80" w:type="dxa"/>
            </w:tcMar>
          </w:tcPr>
          <w:p>
            <w:r>
              <w:rPr>
                <w:rFonts w:ascii="Calibri" w:hAnsi="Calibri"/>
                <w:sz w:val="18"/>
              </w:rPr>
              <w:t>1.427</w:t>
            </w:r>
          </w:p>
        </w:tc>
        <w:tc>
          <w:tcPr>
            <w:tcW w:type="dxa" w:w="1872"/>
            <w:shd w:fill="FFFFFF"/>
            <w:tcMar>
              <w:top w:w="60" w:type="dxa"/>
              <w:bottom w:w="60" w:type="dxa"/>
              <w:left w:w="80" w:type="dxa"/>
              <w:right w:w="80" w:type="dxa"/>
            </w:tcMar>
          </w:tcPr>
          <w:p>
            <w:r>
              <w:rPr>
                <w:rFonts w:ascii="Calibri" w:hAnsi="Calibri"/>
                <w:sz w:val="18"/>
              </w:rPr>
              <w:t>0.2109</w:t>
            </w:r>
          </w:p>
        </w:tc>
        <w:tc>
          <w:tcPr>
            <w:tcW w:type="dxa" w:w="1872"/>
            <w:shd w:fill="FFFFFF"/>
            <w:tcMar>
              <w:top w:w="60" w:type="dxa"/>
              <w:bottom w:w="60" w:type="dxa"/>
              <w:left w:w="80" w:type="dxa"/>
              <w:right w:w="80" w:type="dxa"/>
            </w:tcMar>
          </w:tcPr>
          <w:p>
            <w:r>
              <w:rPr>
                <w:rFonts w:ascii="Calibri" w:hAnsi="Calibri"/>
                <w:b/>
                <w:color w:val="78909C"/>
                <w:sz w:val="18"/>
              </w:rPr>
              <w:t>NON (Non-rejet)</w:t>
            </w:r>
          </w:p>
        </w:tc>
      </w:tr>
      <w:tr>
        <w:tc>
          <w:tcPr>
            <w:tcW w:type="dxa" w:w="1872"/>
            <w:shd w:fill="F4F6F7"/>
            <w:tcMar>
              <w:top w:w="60" w:type="dxa"/>
              <w:bottom w:w="60" w:type="dxa"/>
              <w:left w:w="80" w:type="dxa"/>
              <w:right w:w="80" w:type="dxa"/>
            </w:tcMar>
          </w:tcPr>
          <w:p>
            <w:r>
              <w:rPr>
                <w:rFonts w:ascii="Calibri" w:hAnsi="Calibri"/>
                <w:b/>
                <w:sz w:val="18"/>
              </w:rPr>
              <w:t>BNB Rendement -&gt; BTC Rendement</w:t>
            </w:r>
          </w:p>
        </w:tc>
        <w:tc>
          <w:tcPr>
            <w:tcW w:type="dxa" w:w="1872"/>
            <w:shd w:fill="F4F6F7"/>
            <w:tcMar>
              <w:top w:w="60" w:type="dxa"/>
              <w:bottom w:w="60" w:type="dxa"/>
              <w:left w:w="80" w:type="dxa"/>
              <w:right w:w="80" w:type="dxa"/>
            </w:tcMar>
          </w:tcPr>
          <w:p>
            <w:r>
              <w:rPr>
                <w:rFonts w:ascii="Calibri" w:hAnsi="Calibri"/>
                <w:sz w:val="18"/>
              </w:rPr>
              <w:t>BNB ne cause pas BTC</w:t>
            </w:r>
          </w:p>
        </w:tc>
        <w:tc>
          <w:tcPr>
            <w:tcW w:type="dxa" w:w="1872"/>
            <w:shd w:fill="F4F6F7"/>
            <w:tcMar>
              <w:top w:w="60" w:type="dxa"/>
              <w:bottom w:w="60" w:type="dxa"/>
              <w:left w:w="80" w:type="dxa"/>
              <w:right w:w="80" w:type="dxa"/>
            </w:tcMar>
          </w:tcPr>
          <w:p>
            <w:r>
              <w:rPr>
                <w:rFonts w:ascii="Calibri" w:hAnsi="Calibri"/>
                <w:sz w:val="18"/>
              </w:rPr>
              <w:t>1.572</w:t>
            </w:r>
          </w:p>
        </w:tc>
        <w:tc>
          <w:tcPr>
            <w:tcW w:type="dxa" w:w="1872"/>
            <w:shd w:fill="F4F6F7"/>
            <w:tcMar>
              <w:top w:w="60" w:type="dxa"/>
              <w:bottom w:w="60" w:type="dxa"/>
              <w:left w:w="80" w:type="dxa"/>
              <w:right w:w="80" w:type="dxa"/>
            </w:tcMar>
          </w:tcPr>
          <w:p>
            <w:r>
              <w:rPr>
                <w:rFonts w:ascii="Calibri" w:hAnsi="Calibri"/>
                <w:sz w:val="18"/>
              </w:rPr>
              <w:t>0.1643</w:t>
            </w:r>
          </w:p>
        </w:tc>
        <w:tc>
          <w:tcPr>
            <w:tcW w:type="dxa" w:w="1872"/>
            <w:shd w:fill="F4F6F7"/>
            <w:tcMar>
              <w:top w:w="60" w:type="dxa"/>
              <w:bottom w:w="60" w:type="dxa"/>
              <w:left w:w="80" w:type="dxa"/>
              <w:right w:w="80" w:type="dxa"/>
            </w:tcMar>
          </w:tcPr>
          <w:p>
            <w:r>
              <w:rPr>
                <w:rFonts w:ascii="Calibri" w:hAnsi="Calibri"/>
                <w:b/>
                <w:color w:val="78909C"/>
                <w:sz w:val="18"/>
              </w:rPr>
              <w:t>NON (Non-rejet)</w:t>
            </w:r>
          </w:p>
        </w:tc>
      </w:tr>
      <w:tr>
        <w:tc>
          <w:tcPr>
            <w:tcW w:type="dxa" w:w="1872"/>
            <w:shd w:fill="FFFFFF"/>
            <w:tcMar>
              <w:top w:w="60" w:type="dxa"/>
              <w:bottom w:w="60" w:type="dxa"/>
              <w:left w:w="80" w:type="dxa"/>
              <w:right w:w="80" w:type="dxa"/>
            </w:tcMar>
          </w:tcPr>
          <w:p>
            <w:r>
              <w:rPr>
                <w:rFonts w:ascii="Calibri" w:hAnsi="Calibri"/>
                <w:b/>
                <w:sz w:val="18"/>
              </w:rPr>
              <w:t>BNB Rendement -&gt; ETH Rendement</w:t>
            </w:r>
          </w:p>
        </w:tc>
        <w:tc>
          <w:tcPr>
            <w:tcW w:type="dxa" w:w="1872"/>
            <w:shd w:fill="FFFFFF"/>
            <w:tcMar>
              <w:top w:w="60" w:type="dxa"/>
              <w:bottom w:w="60" w:type="dxa"/>
              <w:left w:w="80" w:type="dxa"/>
              <w:right w:w="80" w:type="dxa"/>
            </w:tcMar>
          </w:tcPr>
          <w:p>
            <w:r>
              <w:rPr>
                <w:rFonts w:ascii="Calibri" w:hAnsi="Calibri"/>
                <w:sz w:val="18"/>
              </w:rPr>
              <w:t>BNB ne cause pas ETH</w:t>
            </w:r>
          </w:p>
        </w:tc>
        <w:tc>
          <w:tcPr>
            <w:tcW w:type="dxa" w:w="1872"/>
            <w:shd w:fill="FFFFFF"/>
            <w:tcMar>
              <w:top w:w="60" w:type="dxa"/>
              <w:bottom w:w="60" w:type="dxa"/>
              <w:left w:w="80" w:type="dxa"/>
              <w:right w:w="80" w:type="dxa"/>
            </w:tcMar>
          </w:tcPr>
          <w:p>
            <w:r>
              <w:rPr>
                <w:rFonts w:ascii="Calibri" w:hAnsi="Calibri"/>
                <w:sz w:val="18"/>
              </w:rPr>
              <w:t>1.290</w:t>
            </w:r>
          </w:p>
        </w:tc>
        <w:tc>
          <w:tcPr>
            <w:tcW w:type="dxa" w:w="1872"/>
            <w:shd w:fill="FFFFFF"/>
            <w:tcMar>
              <w:top w:w="60" w:type="dxa"/>
              <w:bottom w:w="60" w:type="dxa"/>
              <w:left w:w="80" w:type="dxa"/>
              <w:right w:w="80" w:type="dxa"/>
            </w:tcMar>
          </w:tcPr>
          <w:p>
            <w:r>
              <w:rPr>
                <w:rFonts w:ascii="Calibri" w:hAnsi="Calibri"/>
                <w:sz w:val="18"/>
              </w:rPr>
              <w:t>0.2651</w:t>
            </w:r>
          </w:p>
        </w:tc>
        <w:tc>
          <w:tcPr>
            <w:tcW w:type="dxa" w:w="1872"/>
            <w:shd w:fill="FFFFFF"/>
            <w:tcMar>
              <w:top w:w="60" w:type="dxa"/>
              <w:bottom w:w="60" w:type="dxa"/>
              <w:left w:w="80" w:type="dxa"/>
              <w:right w:w="80" w:type="dxa"/>
            </w:tcMar>
          </w:tcPr>
          <w:p>
            <w:r>
              <w:rPr>
                <w:rFonts w:ascii="Calibri" w:hAnsi="Calibri"/>
                <w:b/>
                <w:color w:val="78909C"/>
                <w:sz w:val="18"/>
              </w:rPr>
              <w:t>NON (Non-rejet)</w:t>
            </w:r>
          </w:p>
        </w:tc>
      </w:tr>
    </w:tbl>
    <w:p>
      <w:pPr>
        <w:spacing w:after="80"/>
      </w:pPr>
    </w:p>
    <w:p>
      <w:pPr>
        <w:spacing w:before="0" w:after="100" w:line="276" w:lineRule="auto"/>
      </w:pPr>
      <w:r>
        <w:rPr>
          <w:rFonts w:ascii="Calibri" w:hAnsi="Calibri"/>
          <w:b/>
          <w:color w:val="2C3E50"/>
          <w:sz w:val="21"/>
        </w:rPr>
        <w:t xml:space="preserve">Synthèse du réseau de causalité : </w:t>
      </w:r>
      <w:r>
        <w:rPr>
          <w:rFonts w:ascii="Calibri" w:hAnsi="Calibri"/>
          <w:i w:val="0"/>
          <w:color w:val="2C3E50"/>
          <w:sz w:val="21"/>
        </w:rPr>
        <w:t>Interprétation rigoureuse de la causalité de Granger : 1. Rétroaction bidirectionnelle BTC &lt;-&gt; ETH : Les marchés du Bitcoin et d'Ethereum échangent mutuellement de l'information prédictive avec des p-valeurs significatives (p=0.0033 et p=0.0423), formant le cœur directionnel du marché.</w:t>
        <w:br/>
        <w:t>2. Rôle pivot d'Ethereum vers BNB : Les variations d'Ethereum causent au sens de Granger celles de Binance Coin (p=0.0090).</w:t>
        <w:br/>
        <w:t>3. Absence de causalité inverse de BNB : BNB n'exerce aucune causalité au sens de Granger vers BTC (p=0.1643) ni vers ETH (p=0.2651). Note d'interprétation méthodologique : Ce résultat indique simplement que les rendements passés de BNB n'apportent pas d'information linéaire marginale prédictive pour anticiper BTC/ETH au-delà de leur propre historique. Il ne doit pas être sur-interprété comme une allégation de causalité physique ou de passivité marchande (price-taker).</w:t>
      </w:r>
    </w:p>
    <w:p>
      <w:pPr>
        <w:keepNext/>
        <w:spacing w:before="280" w:after="120"/>
      </w:pPr>
      <w:r>
        <w:rPr>
          <w:rFonts w:ascii="Arial" w:hAnsi="Arial"/>
          <w:b/>
          <w:color w:val="2980B9"/>
          <w:sz w:val="26"/>
        </w:rPr>
        <w:t>4.3 Test de cointégration de Johansen sur log-prix</w:t>
      </w:r>
    </w:p>
    <w:p>
      <w:pPr>
        <w:spacing w:before="0" w:after="100" w:line="276" w:lineRule="auto"/>
      </w:pPr>
      <w:r>
        <w:rPr>
          <w:rFonts w:ascii="Calibri" w:hAnsi="Calibri"/>
          <w:b/>
          <w:color w:val="2C3E50"/>
          <w:sz w:val="21"/>
        </w:rPr>
        <w:t xml:space="preserve">Convention méthodologique VECM : </w:t>
      </w:r>
      <w:r>
        <w:rPr>
          <w:rFonts w:ascii="Calibri" w:hAnsi="Calibri"/>
          <w:i w:val="0"/>
          <w:color w:val="2C3E50"/>
          <w:sz w:val="21"/>
        </w:rPr>
        <w:t>Spécification du VECM et convention des retards (k_ar_diff) : Pour tester l'existence éventuelle d'une relation d'équilibre stationnaire de long terme entre les log-prix I(1), nous appliquons la procédure multivariée de Johansen (1991). Dans la représentation VECM : Delta X_t = Pi X_{t-1} + sum_{i=1}^{p-1} Gamma_i Delta X_{t-i} + e_t. Le modèle VAR en niveaux étant d'ordre p = 5, le nombre de retards en différences premières dans le VECM est strictement k_ar_diff = p - 1 = 4.</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872"/>
        <w:gridCol w:w="1872"/>
        <w:gridCol w:w="1872"/>
        <w:gridCol w:w="1872"/>
        <w:gridCol w:w="1872"/>
      </w:tblGrid>
      <w:tr>
        <w:tc>
          <w:tcPr>
            <w:tcW w:type="dxa" w:w="1872"/>
            <w:shd w:fill="1A5276"/>
            <w:tcMar>
              <w:top w:w="80" w:type="dxa"/>
              <w:bottom w:w="80" w:type="dxa"/>
              <w:left w:w="80" w:type="dxa"/>
              <w:right w:w="80" w:type="dxa"/>
            </w:tcMar>
          </w:tcPr>
          <w:p>
            <w:r>
              <w:rPr>
                <w:rFonts w:ascii="Arial" w:hAnsi="Arial"/>
                <w:b/>
                <w:color w:val="FFFFFF"/>
                <w:sz w:val="18"/>
              </w:rPr>
              <w:t>Rang Hypothèse (H0)</w:t>
            </w:r>
          </w:p>
        </w:tc>
        <w:tc>
          <w:tcPr>
            <w:tcW w:type="dxa" w:w="1872"/>
            <w:shd w:fill="1A5276"/>
            <w:tcMar>
              <w:top w:w="80" w:type="dxa"/>
              <w:bottom w:w="80" w:type="dxa"/>
              <w:left w:w="80" w:type="dxa"/>
              <w:right w:w="80" w:type="dxa"/>
            </w:tcMar>
          </w:tcPr>
          <w:p>
            <w:r>
              <w:rPr>
                <w:rFonts w:ascii="Arial" w:hAnsi="Arial"/>
                <w:b/>
                <w:color w:val="FFFFFF"/>
                <w:sz w:val="18"/>
              </w:rPr>
              <w:t>Statistique Trace (Python)</w:t>
            </w:r>
          </w:p>
        </w:tc>
        <w:tc>
          <w:tcPr>
            <w:tcW w:type="dxa" w:w="1872"/>
            <w:shd w:fill="1A5276"/>
            <w:tcMar>
              <w:top w:w="80" w:type="dxa"/>
              <w:bottom w:w="80" w:type="dxa"/>
              <w:left w:w="80" w:type="dxa"/>
              <w:right w:w="80" w:type="dxa"/>
            </w:tcMar>
          </w:tcPr>
          <w:p>
            <w:r>
              <w:rPr>
                <w:rFonts w:ascii="Arial" w:hAnsi="Arial"/>
                <w:b/>
                <w:color w:val="FFFFFF"/>
                <w:sz w:val="18"/>
              </w:rPr>
              <w:t>Seuil Critique 5% (Py)</w:t>
            </w:r>
          </w:p>
        </w:tc>
        <w:tc>
          <w:tcPr>
            <w:tcW w:type="dxa" w:w="1872"/>
            <w:shd w:fill="1A5276"/>
            <w:tcMar>
              <w:top w:w="80" w:type="dxa"/>
              <w:bottom w:w="80" w:type="dxa"/>
              <w:left w:w="80" w:type="dxa"/>
              <w:right w:w="80" w:type="dxa"/>
            </w:tcMar>
          </w:tcPr>
          <w:p>
            <w:r>
              <w:rPr>
                <w:rFonts w:ascii="Arial" w:hAnsi="Arial"/>
                <w:b/>
                <w:color w:val="FFFFFF"/>
                <w:sz w:val="18"/>
              </w:rPr>
              <w:t>Statistique Trace (R urca)</w:t>
            </w:r>
          </w:p>
        </w:tc>
        <w:tc>
          <w:tcPr>
            <w:tcW w:type="dxa" w:w="1872"/>
            <w:shd w:fill="1A5276"/>
            <w:tcMar>
              <w:top w:w="80" w:type="dxa"/>
              <w:bottom w:w="80" w:type="dxa"/>
              <w:left w:w="80" w:type="dxa"/>
              <w:right w:w="80" w:type="dxa"/>
            </w:tcMar>
          </w:tcPr>
          <w:p>
            <w:r>
              <w:rPr>
                <w:rFonts w:ascii="Arial" w:hAnsi="Arial"/>
                <w:b/>
                <w:color w:val="FFFFFF"/>
                <w:sz w:val="18"/>
              </w:rPr>
              <w:t>Seuil Critique 5% (R)</w:t>
            </w:r>
          </w:p>
        </w:tc>
      </w:tr>
      <w:tr>
        <w:tc>
          <w:tcPr>
            <w:tcW w:type="dxa" w:w="1872"/>
            <w:shd w:fill="F4F6F7"/>
            <w:tcMar>
              <w:top w:w="60" w:type="dxa"/>
              <w:bottom w:w="60" w:type="dxa"/>
              <w:left w:w="80" w:type="dxa"/>
              <w:right w:w="80" w:type="dxa"/>
            </w:tcMar>
          </w:tcPr>
          <w:p>
            <w:r>
              <w:rPr>
                <w:rFonts w:ascii="Calibri" w:hAnsi="Calibri"/>
                <w:b/>
                <w:sz w:val="18"/>
              </w:rPr>
              <w:t>r = 0 (Aucune relation)</w:t>
            </w:r>
          </w:p>
        </w:tc>
        <w:tc>
          <w:tcPr>
            <w:tcW w:type="dxa" w:w="1872"/>
            <w:shd w:fill="F4F6F7"/>
            <w:tcMar>
              <w:top w:w="60" w:type="dxa"/>
              <w:bottom w:w="60" w:type="dxa"/>
              <w:left w:w="80" w:type="dxa"/>
              <w:right w:w="80" w:type="dxa"/>
            </w:tcMar>
          </w:tcPr>
          <w:p>
            <w:r>
              <w:rPr>
                <w:rFonts w:ascii="Calibri" w:hAnsi="Calibri"/>
                <w:sz w:val="18"/>
              </w:rPr>
              <w:t>25.53</w:t>
            </w:r>
          </w:p>
        </w:tc>
        <w:tc>
          <w:tcPr>
            <w:tcW w:type="dxa" w:w="1872"/>
            <w:shd w:fill="F4F6F7"/>
            <w:tcMar>
              <w:top w:w="60" w:type="dxa"/>
              <w:bottom w:w="60" w:type="dxa"/>
              <w:left w:w="80" w:type="dxa"/>
              <w:right w:w="80" w:type="dxa"/>
            </w:tcMar>
          </w:tcPr>
          <w:p>
            <w:r>
              <w:rPr>
                <w:rFonts w:ascii="Calibri" w:hAnsi="Calibri"/>
                <w:sz w:val="18"/>
              </w:rPr>
              <w:t>29.80</w:t>
            </w:r>
          </w:p>
        </w:tc>
        <w:tc>
          <w:tcPr>
            <w:tcW w:type="dxa" w:w="1872"/>
            <w:shd w:fill="F4F6F7"/>
            <w:tcMar>
              <w:top w:w="60" w:type="dxa"/>
              <w:bottom w:w="60" w:type="dxa"/>
              <w:left w:w="80" w:type="dxa"/>
              <w:right w:w="80" w:type="dxa"/>
            </w:tcMar>
          </w:tcPr>
          <w:p>
            <w:r>
              <w:rPr>
                <w:rFonts w:ascii="Calibri" w:hAnsi="Calibri"/>
                <w:sz w:val="18"/>
              </w:rPr>
              <w:t>30.27</w:t>
            </w:r>
          </w:p>
        </w:tc>
        <w:tc>
          <w:tcPr>
            <w:tcW w:type="dxa" w:w="1872"/>
            <w:shd w:fill="F4F6F7"/>
            <w:tcMar>
              <w:top w:w="60" w:type="dxa"/>
              <w:bottom w:w="60" w:type="dxa"/>
              <w:left w:w="80" w:type="dxa"/>
              <w:right w:w="80" w:type="dxa"/>
            </w:tcMar>
          </w:tcPr>
          <w:p>
            <w:r>
              <w:rPr>
                <w:rFonts w:ascii="Calibri" w:hAnsi="Calibri"/>
                <w:sz w:val="18"/>
              </w:rPr>
              <w:t>34.91</w:t>
            </w:r>
          </w:p>
        </w:tc>
      </w:tr>
      <w:tr>
        <w:tc>
          <w:tcPr>
            <w:tcW w:type="dxa" w:w="1872"/>
            <w:shd w:fill="FFFFFF"/>
            <w:tcMar>
              <w:top w:w="60" w:type="dxa"/>
              <w:bottom w:w="60" w:type="dxa"/>
              <w:left w:w="80" w:type="dxa"/>
              <w:right w:w="80" w:type="dxa"/>
            </w:tcMar>
          </w:tcPr>
          <w:p>
            <w:r>
              <w:rPr>
                <w:rFonts w:ascii="Calibri" w:hAnsi="Calibri"/>
                <w:b/>
                <w:sz w:val="18"/>
              </w:rPr>
              <w:t>r &lt;= 1 (Au plus 1 vecteur)</w:t>
            </w:r>
          </w:p>
        </w:tc>
        <w:tc>
          <w:tcPr>
            <w:tcW w:type="dxa" w:w="1872"/>
            <w:shd w:fill="FFFFFF"/>
            <w:tcMar>
              <w:top w:w="60" w:type="dxa"/>
              <w:bottom w:w="60" w:type="dxa"/>
              <w:left w:w="80" w:type="dxa"/>
              <w:right w:w="80" w:type="dxa"/>
            </w:tcMar>
          </w:tcPr>
          <w:p>
            <w:r>
              <w:rPr>
                <w:rFonts w:ascii="Calibri" w:hAnsi="Calibri"/>
                <w:sz w:val="18"/>
              </w:rPr>
              <w:t>8.31</w:t>
            </w:r>
          </w:p>
        </w:tc>
        <w:tc>
          <w:tcPr>
            <w:tcW w:type="dxa" w:w="1872"/>
            <w:shd w:fill="FFFFFF"/>
            <w:tcMar>
              <w:top w:w="60" w:type="dxa"/>
              <w:bottom w:w="60" w:type="dxa"/>
              <w:left w:w="80" w:type="dxa"/>
              <w:right w:w="80" w:type="dxa"/>
            </w:tcMar>
          </w:tcPr>
          <w:p>
            <w:r>
              <w:rPr>
                <w:rFonts w:ascii="Calibri" w:hAnsi="Calibri"/>
                <w:sz w:val="18"/>
              </w:rPr>
              <w:t>15.49</w:t>
            </w:r>
          </w:p>
        </w:tc>
        <w:tc>
          <w:tcPr>
            <w:tcW w:type="dxa" w:w="1872"/>
            <w:shd w:fill="FFFFFF"/>
            <w:tcMar>
              <w:top w:w="60" w:type="dxa"/>
              <w:bottom w:w="60" w:type="dxa"/>
              <w:left w:w="80" w:type="dxa"/>
              <w:right w:w="80" w:type="dxa"/>
            </w:tcMar>
          </w:tcPr>
          <w:p>
            <w:r>
              <w:rPr>
                <w:rFonts w:ascii="Calibri" w:hAnsi="Calibri"/>
                <w:sz w:val="18"/>
              </w:rPr>
              <w:t>10.23</w:t>
            </w:r>
          </w:p>
        </w:tc>
        <w:tc>
          <w:tcPr>
            <w:tcW w:type="dxa" w:w="1872"/>
            <w:shd w:fill="FFFFFF"/>
            <w:tcMar>
              <w:top w:w="60" w:type="dxa"/>
              <w:bottom w:w="60" w:type="dxa"/>
              <w:left w:w="80" w:type="dxa"/>
              <w:right w:w="80" w:type="dxa"/>
            </w:tcMar>
          </w:tcPr>
          <w:p>
            <w:r>
              <w:rPr>
                <w:rFonts w:ascii="Calibri" w:hAnsi="Calibri"/>
                <w:sz w:val="18"/>
              </w:rPr>
              <w:t>19.96</w:t>
            </w:r>
          </w:p>
        </w:tc>
      </w:tr>
      <w:tr>
        <w:tc>
          <w:tcPr>
            <w:tcW w:type="dxa" w:w="1872"/>
            <w:shd w:fill="F4F6F7"/>
            <w:tcMar>
              <w:top w:w="60" w:type="dxa"/>
              <w:bottom w:w="60" w:type="dxa"/>
              <w:left w:w="80" w:type="dxa"/>
              <w:right w:w="80" w:type="dxa"/>
            </w:tcMar>
          </w:tcPr>
          <w:p>
            <w:r>
              <w:rPr>
                <w:rFonts w:ascii="Calibri" w:hAnsi="Calibri"/>
                <w:b/>
                <w:sz w:val="18"/>
              </w:rPr>
              <w:t>r &lt;= 2 (Au plus 2 vecteurs)</w:t>
            </w:r>
          </w:p>
        </w:tc>
        <w:tc>
          <w:tcPr>
            <w:tcW w:type="dxa" w:w="1872"/>
            <w:shd w:fill="F4F6F7"/>
            <w:tcMar>
              <w:top w:w="60" w:type="dxa"/>
              <w:bottom w:w="60" w:type="dxa"/>
              <w:left w:w="80" w:type="dxa"/>
              <w:right w:w="80" w:type="dxa"/>
            </w:tcMar>
          </w:tcPr>
          <w:p>
            <w:r>
              <w:rPr>
                <w:rFonts w:ascii="Calibri" w:hAnsi="Calibri"/>
                <w:sz w:val="18"/>
              </w:rPr>
              <w:t>1.86</w:t>
            </w:r>
          </w:p>
        </w:tc>
        <w:tc>
          <w:tcPr>
            <w:tcW w:type="dxa" w:w="1872"/>
            <w:shd w:fill="F4F6F7"/>
            <w:tcMar>
              <w:top w:w="60" w:type="dxa"/>
              <w:bottom w:w="60" w:type="dxa"/>
              <w:left w:w="80" w:type="dxa"/>
              <w:right w:w="80" w:type="dxa"/>
            </w:tcMar>
          </w:tcPr>
          <w:p>
            <w:r>
              <w:rPr>
                <w:rFonts w:ascii="Calibri" w:hAnsi="Calibri"/>
                <w:sz w:val="18"/>
              </w:rPr>
              <w:t>3.84</w:t>
            </w:r>
          </w:p>
        </w:tc>
        <w:tc>
          <w:tcPr>
            <w:tcW w:type="dxa" w:w="1872"/>
            <w:shd w:fill="F4F6F7"/>
            <w:tcMar>
              <w:top w:w="60" w:type="dxa"/>
              <w:bottom w:w="60" w:type="dxa"/>
              <w:left w:w="80" w:type="dxa"/>
              <w:right w:w="80" w:type="dxa"/>
            </w:tcMar>
          </w:tcPr>
          <w:p>
            <w:r>
              <w:rPr>
                <w:rFonts w:ascii="Calibri" w:hAnsi="Calibri"/>
                <w:sz w:val="18"/>
              </w:rPr>
              <w:t>2.14</w:t>
            </w:r>
          </w:p>
        </w:tc>
        <w:tc>
          <w:tcPr>
            <w:tcW w:type="dxa" w:w="1872"/>
            <w:shd w:fill="F4F6F7"/>
            <w:tcMar>
              <w:top w:w="60" w:type="dxa"/>
              <w:bottom w:w="60" w:type="dxa"/>
              <w:left w:w="80" w:type="dxa"/>
              <w:right w:w="80" w:type="dxa"/>
            </w:tcMar>
          </w:tcPr>
          <w:p>
            <w:r>
              <w:rPr>
                <w:rFonts w:ascii="Calibri" w:hAnsi="Calibri"/>
                <w:sz w:val="18"/>
              </w:rPr>
              <w:t>9.24</w:t>
            </w:r>
          </w:p>
        </w:tc>
      </w:tr>
    </w:tbl>
    <w:p>
      <w:pPr>
        <w:spacing w:after="80"/>
      </w:pPr>
    </w:p>
    <w:p>
      <w:pPr>
        <w:spacing w:before="0" w:after="100" w:line="276" w:lineRule="auto"/>
      </w:pPr>
      <w:r>
        <w:rPr>
          <w:rFonts w:ascii="Calibri" w:hAnsi="Calibri"/>
          <w:b/>
          <w:color w:val="2C3E50"/>
          <w:sz w:val="21"/>
        </w:rPr>
        <w:t xml:space="preserve">Conclusion sur la cointégration : </w:t>
      </w:r>
      <w:r>
        <w:rPr>
          <w:rFonts w:ascii="Calibri" w:hAnsi="Calibri"/>
          <w:i w:val="0"/>
          <w:color w:val="2C3E50"/>
          <w:sz w:val="21"/>
        </w:rPr>
        <w:t>Explication de la concordance des résultats Python et R : 1. En Python statsmodels (det_order=0, sans tendance ni constante dans la relation de cointégration, Cas 2 d'Osterwald-Lenum 1992), la statistique de la trace pour r=0 est 25.53 &lt; 29.80 (seuil critique 5%).</w:t>
        <w:br/>
        <w:t>2. En R urca::ca.jo (ecdet='const', incluant une constante non restreinte, Cas 3 d'Osterwald-Lenum 1992), la statistique de la trace pour r=0 est 30.27 &lt; 34.91 (seuil critique 5%).</w:t>
        <w:br/>
        <w:t>3. Décision économétrique unanime : Dans les deux spécifications déterministes, nous ne rejetons pas l'hypothèse nulle r = 0 au seuil de 5%. Il n'existe aucun vecteur de cointégration stationnaire reliant BTC, ETH et BNB sur la période 2019–2025.</w:t>
        <w:br/>
        <w:t>4. Justification du modèle VAR : Une corrélation élevée n'impliquant pas une cointégration, l'absence de relation de cointégration de long terme justifie formellement et rigoureusement l'estimation d'un modèle VAR en différences premières (log-rendements) plutôt qu'un VECM en niveaux.</w:t>
      </w:r>
    </w:p>
    <w:p>
      <w:pPr>
        <w:keepNext/>
        <w:spacing w:before="360" w:after="160"/>
      </w:pPr>
      <w:r>
        <w:rPr>
          <w:rFonts w:ascii="Arial" w:hAnsi="Arial"/>
          <w:b/>
          <w:color w:val="1A5276"/>
          <w:sz w:val="32"/>
        </w:rPr>
        <w:t>5. Volatilité Conditionnelle &amp; Diagnostics Hétéroscédastiques</w:t>
      </w:r>
    </w:p>
    <w:p>
      <w:pPr>
        <w:keepNext/>
        <w:spacing w:before="280" w:after="120"/>
      </w:pPr>
      <w:r>
        <w:rPr>
          <w:rFonts w:ascii="Arial" w:hAnsi="Arial"/>
          <w:b/>
          <w:color w:val="2980B9"/>
          <w:sz w:val="26"/>
        </w:rPr>
        <w:t>5.1 Spécification du modèle GARCH(1,1) avec loi de Student</w:t>
      </w:r>
    </w:p>
    <w:p>
      <w:pPr>
        <w:spacing w:before="0" w:after="100" w:line="276" w:lineRule="auto"/>
      </w:pPr>
      <w:r>
        <w:rPr>
          <w:rFonts w:ascii="Calibri" w:hAnsi="Calibri"/>
          <w:i w:val="0"/>
          <w:color w:val="2C3E50"/>
          <w:sz w:val="21"/>
        </w:rPr>
        <w:t>Compte tenu de la leptokurticité massive observée à la Section 2, nous estimons un modèle AR(1)-GARCH(1,1) avec distribution des innovations de Student standardisée (nu degrés de liberté) sur les rendements de Bitcoin :</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80" w:type="dxa"/>
              <w:right w:w="180" w:type="dxa"/>
            </w:tcMar>
            <w:tcBorders>
              <w:left w:val="single" w:sz="16" w:space="0" w:color="16A085"/>
              <w:top w:val="single" w:sz="4" w:space="0" w:color="E2E8F0"/>
              <w:right w:val="single" w:sz="4" w:space="0" w:color="E2E8F0"/>
              <w:bottom w:val="single" w:sz="4" w:space="0" w:color="E2E8F0"/>
            </w:tcBorders>
          </w:tcPr>
          <w:p>
            <w:pPr>
              <w:jc w:val="center"/>
            </w:pPr>
            <w:r>
              <w:rPr>
                <w:rFonts w:ascii="Cambria Math" w:hAnsi="Cambria Math"/>
                <w:b/>
                <w:color w:val="16A085"/>
                <w:sz w:val="22"/>
              </w:rPr>
              <w:t>r_t = \mu + \phi_1 r_{t-1} + \epsilon_t, \quad \epsilon_t = \sigma_t z_t, \quad z_t \sim t_\nu(0, 1)</w:t>
              <w:br/>
            </w:r>
          </w:p>
          <w:p>
            <w:pPr>
              <w:spacing w:before="40" w:after="0"/>
            </w:pPr>
            <w:r>
              <w:rPr>
                <w:rFonts w:ascii="Calibri" w:hAnsi="Calibri"/>
                <w:i/>
                <w:color w:val="505A64"/>
                <w:sz w:val="19"/>
              </w:rPr>
              <w:t>Où : \sigma_t^2 = \omega + \alpha_1 \epsilon_{t-1}^2 + \beta_1 \sigma_{t-1}^2, \quad \omega &gt; 0, \alpha_1 \ge 0, \beta_1 \ge 0.</w:t>
            </w:r>
          </w:p>
        </w:tc>
      </w:tr>
    </w:tbl>
    <w:p>
      <w:pPr>
        <w:spacing w:after="80"/>
      </w:pPr>
    </w:p>
    <w:p>
      <w:pPr>
        <w:keepNext/>
        <w:spacing w:before="280" w:after="120"/>
      </w:pPr>
      <w:r>
        <w:rPr>
          <w:rFonts w:ascii="Arial" w:hAnsi="Arial"/>
          <w:b/>
          <w:color w:val="2980B9"/>
          <w:sz w:val="26"/>
        </w:rPr>
        <w:t>5.2 Paramètres estimés et analyse rigoureuse de la frontière IGARCH</w:t>
      </w:r>
    </w:p>
    <w:p>
      <w:pPr>
        <w:spacing w:before="0" w:after="100" w:line="276" w:lineRule="auto"/>
      </w:pPr>
      <w:r>
        <w:rPr>
          <w:rFonts w:ascii="Calibri" w:hAnsi="Calibri"/>
          <w:i w:val="0"/>
          <w:color w:val="2C3E50"/>
          <w:sz w:val="21"/>
        </w:rPr>
        <w:t>L'estimation par maximum de vraisemblance fournit les paramètres suivants :</w:t>
        <w:br/>
        <w:t>• omega = 0.1752 (se = 0.0879, p = 0.0463)</w:t>
        <w:br/>
        <w:t>• alpha_1 (effet ARCH / réaction aux chocs) = 0.0697 (se = 0.0149, p = 2.65e-6)</w:t>
        <w:br/>
        <w:t>• beta_1 (effet GARCH / persistance de la variance) = 0.9303 (se = 0.0172, p &lt; 10^{-16})</w:t>
        <w:br/>
        <w:t>• nu (degrés de liberté Student) = 2.9794 (se = 0.1693, p &lt; 10^{-60})</w:t>
        <w:br/>
        <w:t>• Somme des coefficients de variance : alpha_1 + beta_1 = 0.0697 + 0.9303 = 1.0000.</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2980B9"/>
              <w:top w:val="none"/>
              <w:right w:val="none"/>
              <w:bottom w:val="none"/>
            </w:tcBorders>
          </w:tcPr>
          <w:p>
            <w:pPr>
              <w:spacing w:before="0" w:after="60"/>
            </w:pPr>
            <w:r>
              <w:rPr>
                <w:rFonts w:ascii="Arial" w:hAnsi="Arial"/>
                <w:b/>
                <w:color w:val="1A5276"/>
                <w:sz w:val="21"/>
              </w:rPr>
              <w:t>📌 Nuance Théorique Fondamentale sur la Frontière IGARCH &amp; Stationnarité</w:t>
              <w:br/>
            </w:r>
            <w:r>
              <w:rPr>
                <w:rFonts w:ascii="Calibri" w:hAnsi="Calibri"/>
                <w:color w:val="2C3E50"/>
                <w:sz w:val="20"/>
              </w:rPr>
              <w:t>La somme estimée alpha_1 + beta_1 = 1.0000 situe très exactement le processus à la frontière d'un modèle IGARCH(1,1) (Integrated GARCH de Engle &amp; Bollerslev, 1986).</w:t>
              <w:br/>
              <w:t>• Stationnarité au second ordre (en covariance) : La condition alpha_1 + beta_1 &lt; 1 n'étant pas satisfaite, la variance inconditionnelle n'est pas définie (infinie) et les chocs de variance possèdent une persistance infinie.</w:t>
              <w:br/>
              <w:t>• Stationnarité stricte &amp; Ergodicité : L'égalité unitaire ne suffit pas à elle seule à établir la stationnarité stricte. Selon les conditions théoriques de Nelson (1990), un processus IGARCH(1,1) est strictement stationnaire et ergodique si et seulement si la condition de moment logarithmique est vérifiée : E[ln(alpha_1 * z_t^2 + beta_1)] &lt; 0. Cette nuance théorique est essentielle pour une modélisation financière rigoureuse.</w:t>
            </w:r>
          </w:p>
        </w:tc>
      </w:tr>
    </w:tbl>
    <w:p>
      <w:pPr>
        <w:spacing w:before="0" w:after="80"/>
      </w:pPr>
    </w:p>
    <w:p>
      <w:pPr>
        <w:keepNext/>
        <w:spacing w:before="280" w:after="120"/>
      </w:pPr>
      <w:r>
        <w:rPr>
          <w:rFonts w:ascii="Arial" w:hAnsi="Arial"/>
          <w:b/>
          <w:color w:val="2980B9"/>
          <w:sz w:val="26"/>
        </w:rPr>
        <w:t>5.3 Diagnostics post-GARCH &amp; Test d'asymétrie GJR-GARCH</w:t>
      </w:r>
    </w:p>
    <w:p>
      <w:pPr>
        <w:spacing w:before="0" w:after="100" w:line="276" w:lineRule="auto"/>
      </w:pPr>
      <w:r>
        <w:rPr>
          <w:rFonts w:ascii="Calibri" w:hAnsi="Calibri"/>
          <w:i w:val="0"/>
          <w:color w:val="2C3E50"/>
          <w:sz w:val="21"/>
        </w:rPr>
        <w:t>• Test ARCH-LM sur résidus standardisés z_t : Statistique LM = 5.03, p-valeur = 0.8889. Au seuil de 5%, nous ne rejetons pas l'hypothèse d'absence d'effets ARCH résiduels, confirmant que le GARCH(1,1) capture l'intégralité de la dépendance conditionnelle.</w:t>
      </w:r>
    </w:p>
    <w:p>
      <w:pPr>
        <w:spacing w:before="0" w:after="100" w:line="276" w:lineRule="auto"/>
      </w:pPr>
      <w:r>
        <w:rPr>
          <w:rFonts w:ascii="Calibri" w:hAnsi="Calibri"/>
          <w:i w:val="0"/>
          <w:color w:val="2C3E50"/>
          <w:sz w:val="21"/>
        </w:rPr>
        <w:t>• Test d'asymétrie de levier GJR-GARCH(1,1,1) : Le paramètre d'asymétrie estimé est gamma = -0.0029 (se = 0.0221, p-valeur = 0.895 &gt; 0.05).</w:t>
      </w:r>
    </w:p>
    <w:p>
      <w:pPr>
        <w:spacing w:before="0" w:after="100" w:line="276" w:lineRule="auto"/>
      </w:pPr>
      <w:r>
        <w:rPr>
          <w:rFonts w:ascii="Calibri" w:hAnsi="Calibri"/>
          <w:b/>
          <w:color w:val="2C3E50"/>
          <w:sz w:val="21"/>
        </w:rPr>
        <w:t xml:space="preserve">Verdict statistique : </w:t>
      </w:r>
      <w:r>
        <w:rPr>
          <w:rFonts w:ascii="Calibri" w:hAnsi="Calibri"/>
          <w:i w:val="0"/>
          <w:color w:val="2C3E50"/>
          <w:sz w:val="21"/>
        </w:rPr>
        <w:t>Conclusion sur l'effet de levier : Le coefficient gamma n'étant pas statistiquement significatif au seuil de 5%, nous ne détectons aucune preuve empirique d'une réponse asymétrique de la volatilité aux chocs baissiers sur l'horizon journalier. Le modèle standard GARCH(1,1) symétrique est donc le modèle parcimonieux optimal.</w:t>
      </w:r>
    </w:p>
    <w:p>
      <w:r>
        <w:drawing>
          <wp:inline xmlns:a="http://schemas.openxmlformats.org/drawingml/2006/main" xmlns:pic="http://schemas.openxmlformats.org/drawingml/2006/picture">
            <wp:extent cx="5943600" cy="2122714"/>
            <wp:docPr id="3" name="Picture 3"/>
            <wp:cNvGraphicFramePr>
              <a:graphicFrameLocks noChangeAspect="1"/>
            </wp:cNvGraphicFramePr>
            <a:graphic>
              <a:graphicData uri="http://schemas.openxmlformats.org/drawingml/2006/picture">
                <pic:pic>
                  <pic:nvPicPr>
                    <pic:cNvPr id="0" name="fig4_garch_volatility_events.png"/>
                    <pic:cNvPicPr/>
                  </pic:nvPicPr>
                  <pic:blipFill>
                    <a:blip r:embed="rId12"/>
                    <a:stretch>
                      <a:fillRect/>
                    </a:stretch>
                  </pic:blipFill>
                  <pic:spPr>
                    <a:xfrm>
                      <a:off x="0" y="0"/>
                      <a:ext cx="5943600" cy="2122714"/>
                    </a:xfrm>
                    <a:prstGeom prst="rect"/>
                  </pic:spPr>
                </pic:pic>
              </a:graphicData>
            </a:graphic>
          </wp:inline>
        </w:drawing>
      </w:r>
    </w:p>
    <w:p>
      <w:pPr>
        <w:jc w:val="center"/>
      </w:pPr>
      <w:r>
        <w:rPr>
          <w:i/>
          <w:color w:val="78909C"/>
          <w:sz w:val="17"/>
        </w:rPr>
        <w:t>Figure 3 : Volatilité Conditionnelle Annualisée GARCH(1,1) (%) et Principaux Événements de Marché (Échantillon Train : 2019–2025)</w:t>
      </w:r>
    </w:p>
    <w:p>
      <w:pPr>
        <w:keepNext/>
        <w:spacing w:before="360" w:after="160"/>
      </w:pPr>
      <w:r>
        <w:rPr>
          <w:rFonts w:ascii="Arial" w:hAnsi="Arial"/>
          <w:b/>
          <w:color w:val="1A5276"/>
          <w:sz w:val="32"/>
        </w:rPr>
        <w:t>6. Modélisation Deep Learning &amp; Évaluation Prédictive Hors Échantillon</w:t>
      </w:r>
    </w:p>
    <w:p>
      <w:pPr>
        <w:keepNext/>
        <w:spacing w:before="280" w:after="120"/>
      </w:pPr>
      <w:r>
        <w:rPr>
          <w:rFonts w:ascii="Arial" w:hAnsi="Arial"/>
          <w:b/>
          <w:color w:val="2980B9"/>
          <w:sz w:val="26"/>
        </w:rPr>
        <w:t>6.1 Architecture des tenseurs séquentiels et prévention de fuite</w:t>
      </w:r>
    </w:p>
    <w:p>
      <w:pPr>
        <w:spacing w:before="0" w:after="100" w:line="276" w:lineRule="auto"/>
      </w:pPr>
      <w:r>
        <w:rPr>
          <w:rFonts w:ascii="Calibri" w:hAnsi="Calibri"/>
          <w:i w:val="0"/>
          <w:color w:val="2C3E50"/>
          <w:sz w:val="21"/>
        </w:rPr>
        <w:t>Les modèles de Deep Learning récurrents sont construits sous PyTorch avec une structure multivariée complète :</w:t>
        <w:br/>
        <w:t>• Tenseur d'entrée séquentiel (L = 14 jours, K = 9 variables) : 3 log-prix + 3 log-rendements + 3 volatilités 30j de BTC, ETH et BNB.</w:t>
        <w:br/>
        <w:t>• Normalisation MinMaxScaler [0, 1] : Ajustée rigoureusement sur le sous-échantillon Train uniquement (zéro fuite temporelle).</w:t>
        <w:br/>
        <w:t>• Validation temporelle interne : Les derniers 10% chronologiques du Train (250 jours) sont réservés pour le monitoring sans mélange temporel.</w:t>
        <w:br/>
        <w:t>• Architectures entraînées : LSTM (2 couches, 64 unités, dropout = 0.20) et GRU (2 couches, 64 unités, dropout = 0.20) optimisés avec Adam (lr = 0.002, 40 époques).</w:t>
      </w:r>
    </w:p>
    <w:p>
      <w:pPr>
        <w:keepNext/>
        <w:spacing w:before="280" w:after="120"/>
      </w:pPr>
      <w:r>
        <w:rPr>
          <w:rFonts w:ascii="Arial" w:hAnsi="Arial"/>
          <w:b/>
          <w:color w:val="2980B9"/>
          <w:sz w:val="26"/>
        </w:rPr>
        <w:t>6.2 Cadre méthodologique des protocoles de prévision</w:t>
      </w:r>
    </w:p>
    <w:p>
      <w:pPr>
        <w:spacing w:before="0" w:after="100" w:line="276" w:lineRule="auto"/>
      </w:pPr>
      <w:r>
        <w:rPr>
          <w:rFonts w:ascii="Calibri" w:hAnsi="Calibri"/>
          <w:b/>
          <w:color w:val="2C3E50"/>
          <w:sz w:val="21"/>
        </w:rPr>
        <w:t xml:space="preserve">Protocoles d'évaluation : </w:t>
      </w:r>
      <w:r>
        <w:rPr>
          <w:rFonts w:ascii="Calibri" w:hAnsi="Calibri"/>
          <w:i w:val="0"/>
          <w:color w:val="2C3E50"/>
          <w:sz w:val="21"/>
        </w:rPr>
        <w:t>Distinction fondamentale entre les protocoles de prévision hors échantillon sur les 281 jours de test (27/12/2025 au 03/10/2026) :</w:t>
        <w:br/>
        <w:t>1. Protocole Roulant à 1 Pas (Rolling 1-Step Ahead, h=1) : À chaque date t, le modèle dispose de l'information effective jusqu'à t pour prédire P_{t+1}. C'est le cadre opérationnel standard de la prévision financière appliqué à la baseline naïve, à l'ARIMA roulant, au LSTM et au GRU.</w:t>
        <w:br/>
        <w:t>2. Protocole Multi-Pas Fixe (Fixed Multi-Step Ahead, h=281 jours) : Le modèle projette une trajectoire continue de 281 jours sans aucun recalage sur les prix réels observés. L'ARIMA converge vers sa droite de dérive inconditionnelle.</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337"/>
        <w:gridCol w:w="1337"/>
        <w:gridCol w:w="1337"/>
        <w:gridCol w:w="1337"/>
        <w:gridCol w:w="1337"/>
        <w:gridCol w:w="1337"/>
        <w:gridCol w:w="1337"/>
      </w:tblGrid>
      <w:tr>
        <w:tc>
          <w:tcPr>
            <w:tcW w:type="dxa" w:w="1337"/>
            <w:shd w:fill="1A5276"/>
            <w:tcMar>
              <w:top w:w="80" w:type="dxa"/>
              <w:bottom w:w="80" w:type="dxa"/>
              <w:left w:w="70" w:type="dxa"/>
              <w:right w:w="70" w:type="dxa"/>
            </w:tcMar>
          </w:tcPr>
          <w:p>
            <w:r>
              <w:rPr>
                <w:rFonts w:ascii="Arial" w:hAnsi="Arial"/>
                <w:b/>
                <w:color w:val="FFFFFF"/>
                <w:sz w:val="18"/>
              </w:rPr>
              <w:t>Rang</w:t>
            </w:r>
          </w:p>
        </w:tc>
        <w:tc>
          <w:tcPr>
            <w:tcW w:type="dxa" w:w="1337"/>
            <w:shd w:fill="1A5276"/>
            <w:tcMar>
              <w:top w:w="80" w:type="dxa"/>
              <w:bottom w:w="80" w:type="dxa"/>
              <w:left w:w="70" w:type="dxa"/>
              <w:right w:w="70" w:type="dxa"/>
            </w:tcMar>
          </w:tcPr>
          <w:p>
            <w:r>
              <w:rPr>
                <w:rFonts w:ascii="Arial" w:hAnsi="Arial"/>
                <w:b/>
                <w:color w:val="FFFFFF"/>
                <w:sz w:val="18"/>
              </w:rPr>
              <w:t>Modèle Évalué</w:t>
            </w:r>
          </w:p>
        </w:tc>
        <w:tc>
          <w:tcPr>
            <w:tcW w:type="dxa" w:w="1337"/>
            <w:shd w:fill="1A5276"/>
            <w:tcMar>
              <w:top w:w="80" w:type="dxa"/>
              <w:bottom w:w="80" w:type="dxa"/>
              <w:left w:w="70" w:type="dxa"/>
              <w:right w:w="70" w:type="dxa"/>
            </w:tcMar>
          </w:tcPr>
          <w:p>
            <w:r>
              <w:rPr>
                <w:rFonts w:ascii="Arial" w:hAnsi="Arial"/>
                <w:b/>
                <w:color w:val="FFFFFF"/>
                <w:sz w:val="18"/>
              </w:rPr>
              <w:t>Protocole</w:t>
            </w:r>
          </w:p>
        </w:tc>
        <w:tc>
          <w:tcPr>
            <w:tcW w:type="dxa" w:w="1337"/>
            <w:shd w:fill="1A5276"/>
            <w:tcMar>
              <w:top w:w="80" w:type="dxa"/>
              <w:bottom w:w="80" w:type="dxa"/>
              <w:left w:w="70" w:type="dxa"/>
              <w:right w:w="70" w:type="dxa"/>
            </w:tcMar>
          </w:tcPr>
          <w:p>
            <w:r>
              <w:rPr>
                <w:rFonts w:ascii="Arial" w:hAnsi="Arial"/>
                <w:b/>
                <w:color w:val="FFFFFF"/>
                <w:sz w:val="18"/>
              </w:rPr>
              <w:t>MSE</w:t>
            </w:r>
          </w:p>
        </w:tc>
        <w:tc>
          <w:tcPr>
            <w:tcW w:type="dxa" w:w="1337"/>
            <w:shd w:fill="1A5276"/>
            <w:tcMar>
              <w:top w:w="80" w:type="dxa"/>
              <w:bottom w:w="80" w:type="dxa"/>
              <w:left w:w="70" w:type="dxa"/>
              <w:right w:w="70" w:type="dxa"/>
            </w:tcMar>
          </w:tcPr>
          <w:p>
            <w:r>
              <w:rPr>
                <w:rFonts w:ascii="Arial" w:hAnsi="Arial"/>
                <w:b/>
                <w:color w:val="FFFFFF"/>
                <w:sz w:val="18"/>
              </w:rPr>
              <w:t>RMSE ($)</w:t>
            </w:r>
          </w:p>
        </w:tc>
        <w:tc>
          <w:tcPr>
            <w:tcW w:type="dxa" w:w="1337"/>
            <w:shd w:fill="1A5276"/>
            <w:tcMar>
              <w:top w:w="80" w:type="dxa"/>
              <w:bottom w:w="80" w:type="dxa"/>
              <w:left w:w="70" w:type="dxa"/>
              <w:right w:w="70" w:type="dxa"/>
            </w:tcMar>
          </w:tcPr>
          <w:p>
            <w:r>
              <w:rPr>
                <w:rFonts w:ascii="Arial" w:hAnsi="Arial"/>
                <w:b/>
                <w:color w:val="FFFFFF"/>
                <w:sz w:val="18"/>
              </w:rPr>
              <w:t>MAE ($)</w:t>
            </w:r>
          </w:p>
        </w:tc>
        <w:tc>
          <w:tcPr>
            <w:tcW w:type="dxa" w:w="1337"/>
            <w:shd w:fill="1A5276"/>
            <w:tcMar>
              <w:top w:w="80" w:type="dxa"/>
              <w:bottom w:w="80" w:type="dxa"/>
              <w:left w:w="70" w:type="dxa"/>
              <w:right w:w="70" w:type="dxa"/>
            </w:tcMar>
          </w:tcPr>
          <w:p>
            <w:r>
              <w:rPr>
                <w:rFonts w:ascii="Arial" w:hAnsi="Arial"/>
                <w:b/>
                <w:color w:val="FFFFFF"/>
                <w:sz w:val="18"/>
              </w:rPr>
              <w:t>MAPE (%)</w:t>
            </w:r>
          </w:p>
        </w:tc>
      </w:tr>
      <w:tr>
        <w:tc>
          <w:tcPr>
            <w:tcW w:type="dxa" w:w="1337"/>
            <w:shd w:fill="E8F8F5"/>
            <w:tcMar>
              <w:top w:w="60" w:type="dxa"/>
              <w:bottom w:w="60" w:type="dxa"/>
              <w:left w:w="70" w:type="dxa"/>
              <w:right w:w="70" w:type="dxa"/>
            </w:tcMar>
          </w:tcPr>
          <w:p>
            <w:r>
              <w:rPr>
                <w:rFonts w:ascii="Calibri" w:hAnsi="Calibri"/>
                <w:b/>
                <w:sz w:val="18"/>
              </w:rPr>
              <w:t>1</w:t>
            </w:r>
          </w:p>
        </w:tc>
        <w:tc>
          <w:tcPr>
            <w:tcW w:type="dxa" w:w="1337"/>
            <w:shd w:fill="E8F8F5"/>
            <w:tcMar>
              <w:top w:w="60" w:type="dxa"/>
              <w:bottom w:w="60" w:type="dxa"/>
              <w:left w:w="70" w:type="dxa"/>
              <w:right w:w="70" w:type="dxa"/>
            </w:tcMar>
          </w:tcPr>
          <w:p>
            <w:r>
              <w:rPr>
                <w:rFonts w:ascii="Calibri" w:hAnsi="Calibri"/>
                <w:b/>
                <w:color w:val="16A085"/>
                <w:sz w:val="18"/>
              </w:rPr>
              <w:t>Marche Aléatoire Naïve (Y_{t+1} = Y_t)</w:t>
            </w:r>
          </w:p>
        </w:tc>
        <w:tc>
          <w:tcPr>
            <w:tcW w:type="dxa" w:w="1337"/>
            <w:shd w:fill="E8F8F5"/>
            <w:tcMar>
              <w:top w:w="60" w:type="dxa"/>
              <w:bottom w:w="60" w:type="dxa"/>
              <w:left w:w="70" w:type="dxa"/>
              <w:right w:w="70" w:type="dxa"/>
            </w:tcMar>
          </w:tcPr>
          <w:p>
            <w:r>
              <w:rPr>
                <w:rFonts w:ascii="Calibri" w:hAnsi="Calibri"/>
                <w:sz w:val="18"/>
              </w:rPr>
              <w:t>1-Pas (h=1)</w:t>
            </w:r>
          </w:p>
        </w:tc>
        <w:tc>
          <w:tcPr>
            <w:tcW w:type="dxa" w:w="1337"/>
            <w:shd w:fill="E8F8F5"/>
            <w:tcMar>
              <w:top w:w="60" w:type="dxa"/>
              <w:bottom w:w="60" w:type="dxa"/>
              <w:left w:w="70" w:type="dxa"/>
              <w:right w:w="70" w:type="dxa"/>
            </w:tcMar>
          </w:tcPr>
          <w:p>
            <w:r>
              <w:rPr>
                <w:rFonts w:ascii="Calibri" w:hAnsi="Calibri"/>
                <w:sz w:val="18"/>
              </w:rPr>
              <w:t>2 977 093</w:t>
            </w:r>
          </w:p>
        </w:tc>
        <w:tc>
          <w:tcPr>
            <w:tcW w:type="dxa" w:w="1337"/>
            <w:shd w:fill="E8F8F5"/>
            <w:tcMar>
              <w:top w:w="60" w:type="dxa"/>
              <w:bottom w:w="60" w:type="dxa"/>
              <w:left w:w="70" w:type="dxa"/>
              <w:right w:w="70" w:type="dxa"/>
            </w:tcMar>
          </w:tcPr>
          <w:p>
            <w:r>
              <w:rPr>
                <w:rFonts w:ascii="Calibri" w:hAnsi="Calibri"/>
                <w:b/>
                <w:sz w:val="18"/>
              </w:rPr>
              <w:t>1 725.43 $</w:t>
            </w:r>
          </w:p>
        </w:tc>
        <w:tc>
          <w:tcPr>
            <w:tcW w:type="dxa" w:w="1337"/>
            <w:shd w:fill="E8F8F5"/>
            <w:tcMar>
              <w:top w:w="60" w:type="dxa"/>
              <w:bottom w:w="60" w:type="dxa"/>
              <w:left w:w="70" w:type="dxa"/>
              <w:right w:w="70" w:type="dxa"/>
            </w:tcMar>
          </w:tcPr>
          <w:p>
            <w:r>
              <w:rPr>
                <w:rFonts w:ascii="Calibri" w:hAnsi="Calibri"/>
                <w:sz w:val="18"/>
              </w:rPr>
              <w:t>1 164.85 $</w:t>
            </w:r>
          </w:p>
        </w:tc>
        <w:tc>
          <w:tcPr>
            <w:tcW w:type="dxa" w:w="1337"/>
            <w:shd w:fill="E8F8F5"/>
            <w:tcMar>
              <w:top w:w="60" w:type="dxa"/>
              <w:bottom w:w="60" w:type="dxa"/>
              <w:left w:w="70" w:type="dxa"/>
              <w:right w:w="70" w:type="dxa"/>
            </w:tcMar>
          </w:tcPr>
          <w:p>
            <w:r>
              <w:rPr>
                <w:rFonts w:ascii="Calibri" w:hAnsi="Calibri"/>
                <w:sz w:val="18"/>
              </w:rPr>
              <w:t>1.60 %</w:t>
            </w:r>
          </w:p>
        </w:tc>
      </w:tr>
      <w:tr>
        <w:tc>
          <w:tcPr>
            <w:tcW w:type="dxa" w:w="1337"/>
            <w:shd w:fill="FFFFFF"/>
            <w:tcMar>
              <w:top w:w="60" w:type="dxa"/>
              <w:bottom w:w="60" w:type="dxa"/>
              <w:left w:w="70" w:type="dxa"/>
              <w:right w:w="70" w:type="dxa"/>
            </w:tcMar>
          </w:tcPr>
          <w:p>
            <w:r>
              <w:rPr>
                <w:rFonts w:ascii="Calibri" w:hAnsi="Calibri"/>
                <w:b/>
                <w:sz w:val="18"/>
              </w:rPr>
              <w:t>2</w:t>
            </w:r>
          </w:p>
        </w:tc>
        <w:tc>
          <w:tcPr>
            <w:tcW w:type="dxa" w:w="1337"/>
            <w:shd w:fill="FFFFFF"/>
            <w:tcMar>
              <w:top w:w="60" w:type="dxa"/>
              <w:bottom w:w="60" w:type="dxa"/>
              <w:left w:w="70" w:type="dxa"/>
              <w:right w:w="70" w:type="dxa"/>
            </w:tcMar>
          </w:tcPr>
          <w:p>
            <w:r>
              <w:rPr>
                <w:rFonts w:ascii="Calibri" w:hAnsi="Calibri"/>
                <w:b/>
                <w:sz w:val="18"/>
              </w:rPr>
              <w:t>ARIMA(1,0,1) Roulant avec Dérive</w:t>
            </w:r>
          </w:p>
        </w:tc>
        <w:tc>
          <w:tcPr>
            <w:tcW w:type="dxa" w:w="1337"/>
            <w:shd w:fill="FFFFFF"/>
            <w:tcMar>
              <w:top w:w="60" w:type="dxa"/>
              <w:bottom w:w="60" w:type="dxa"/>
              <w:left w:w="70" w:type="dxa"/>
              <w:right w:w="70" w:type="dxa"/>
            </w:tcMar>
          </w:tcPr>
          <w:p>
            <w:r>
              <w:rPr>
                <w:rFonts w:ascii="Calibri" w:hAnsi="Calibri"/>
                <w:sz w:val="18"/>
              </w:rPr>
              <w:t>1-Pas (h=1)</w:t>
            </w:r>
          </w:p>
        </w:tc>
        <w:tc>
          <w:tcPr>
            <w:tcW w:type="dxa" w:w="1337"/>
            <w:shd w:fill="FFFFFF"/>
            <w:tcMar>
              <w:top w:w="60" w:type="dxa"/>
              <w:bottom w:w="60" w:type="dxa"/>
              <w:left w:w="70" w:type="dxa"/>
              <w:right w:w="70" w:type="dxa"/>
            </w:tcMar>
          </w:tcPr>
          <w:p>
            <w:r>
              <w:rPr>
                <w:rFonts w:ascii="Calibri" w:hAnsi="Calibri"/>
                <w:sz w:val="18"/>
              </w:rPr>
              <w:t>3 131 758</w:t>
            </w:r>
          </w:p>
        </w:tc>
        <w:tc>
          <w:tcPr>
            <w:tcW w:type="dxa" w:w="1337"/>
            <w:shd w:fill="FFFFFF"/>
            <w:tcMar>
              <w:top w:w="60" w:type="dxa"/>
              <w:bottom w:w="60" w:type="dxa"/>
              <w:left w:w="70" w:type="dxa"/>
              <w:right w:w="70" w:type="dxa"/>
            </w:tcMar>
          </w:tcPr>
          <w:p>
            <w:r>
              <w:rPr>
                <w:rFonts w:ascii="Calibri" w:hAnsi="Calibri"/>
                <w:b/>
                <w:sz w:val="18"/>
              </w:rPr>
              <w:t>1 769.68 $</w:t>
            </w:r>
          </w:p>
        </w:tc>
        <w:tc>
          <w:tcPr>
            <w:tcW w:type="dxa" w:w="1337"/>
            <w:shd w:fill="FFFFFF"/>
            <w:tcMar>
              <w:top w:w="60" w:type="dxa"/>
              <w:bottom w:w="60" w:type="dxa"/>
              <w:left w:w="70" w:type="dxa"/>
              <w:right w:w="70" w:type="dxa"/>
            </w:tcMar>
          </w:tcPr>
          <w:p>
            <w:r>
              <w:rPr>
                <w:rFonts w:ascii="Calibri" w:hAnsi="Calibri"/>
                <w:sz w:val="18"/>
              </w:rPr>
              <w:t>1 196.48 $</w:t>
            </w:r>
          </w:p>
        </w:tc>
        <w:tc>
          <w:tcPr>
            <w:tcW w:type="dxa" w:w="1337"/>
            <w:shd w:fill="FFFFFF"/>
            <w:tcMar>
              <w:top w:w="60" w:type="dxa"/>
              <w:bottom w:w="60" w:type="dxa"/>
              <w:left w:w="70" w:type="dxa"/>
              <w:right w:w="70" w:type="dxa"/>
            </w:tcMar>
          </w:tcPr>
          <w:p>
            <w:r>
              <w:rPr>
                <w:rFonts w:ascii="Calibri" w:hAnsi="Calibri"/>
                <w:sz w:val="18"/>
              </w:rPr>
              <w:t>1.65 %</w:t>
            </w:r>
          </w:p>
        </w:tc>
      </w:tr>
      <w:tr>
        <w:tc>
          <w:tcPr>
            <w:tcW w:type="dxa" w:w="1337"/>
            <w:shd w:fill="F4F6F7"/>
            <w:tcMar>
              <w:top w:w="60" w:type="dxa"/>
              <w:bottom w:w="60" w:type="dxa"/>
              <w:left w:w="70" w:type="dxa"/>
              <w:right w:w="70" w:type="dxa"/>
            </w:tcMar>
          </w:tcPr>
          <w:p>
            <w:r>
              <w:rPr>
                <w:rFonts w:ascii="Calibri" w:hAnsi="Calibri"/>
                <w:b/>
                <w:sz w:val="18"/>
              </w:rPr>
              <w:t>3</w:t>
            </w:r>
          </w:p>
        </w:tc>
        <w:tc>
          <w:tcPr>
            <w:tcW w:type="dxa" w:w="1337"/>
            <w:shd w:fill="F4F6F7"/>
            <w:tcMar>
              <w:top w:w="60" w:type="dxa"/>
              <w:bottom w:w="60" w:type="dxa"/>
              <w:left w:w="70" w:type="dxa"/>
              <w:right w:w="70" w:type="dxa"/>
            </w:tcMar>
          </w:tcPr>
          <w:p>
            <w:r>
              <w:rPr>
                <w:rFonts w:ascii="Calibri" w:hAnsi="Calibri"/>
                <w:b/>
                <w:sz w:val="18"/>
              </w:rPr>
              <w:t>GRU PyTorch Multivarié (14x9)</w:t>
            </w:r>
          </w:p>
        </w:tc>
        <w:tc>
          <w:tcPr>
            <w:tcW w:type="dxa" w:w="1337"/>
            <w:shd w:fill="F4F6F7"/>
            <w:tcMar>
              <w:top w:w="60" w:type="dxa"/>
              <w:bottom w:w="60" w:type="dxa"/>
              <w:left w:w="70" w:type="dxa"/>
              <w:right w:w="70" w:type="dxa"/>
            </w:tcMar>
          </w:tcPr>
          <w:p>
            <w:r>
              <w:rPr>
                <w:rFonts w:ascii="Calibri" w:hAnsi="Calibri"/>
                <w:sz w:val="18"/>
              </w:rPr>
              <w:t>1-Pas (h=1)</w:t>
            </w:r>
          </w:p>
        </w:tc>
        <w:tc>
          <w:tcPr>
            <w:tcW w:type="dxa" w:w="1337"/>
            <w:shd w:fill="F4F6F7"/>
            <w:tcMar>
              <w:top w:w="60" w:type="dxa"/>
              <w:bottom w:w="60" w:type="dxa"/>
              <w:left w:w="70" w:type="dxa"/>
              <w:right w:w="70" w:type="dxa"/>
            </w:tcMar>
          </w:tcPr>
          <w:p>
            <w:r>
              <w:rPr>
                <w:rFonts w:ascii="Calibri" w:hAnsi="Calibri"/>
                <w:sz w:val="18"/>
              </w:rPr>
              <w:t>6 095 478</w:t>
            </w:r>
          </w:p>
        </w:tc>
        <w:tc>
          <w:tcPr>
            <w:tcW w:type="dxa" w:w="1337"/>
            <w:shd w:fill="F4F6F7"/>
            <w:tcMar>
              <w:top w:w="60" w:type="dxa"/>
              <w:bottom w:w="60" w:type="dxa"/>
              <w:left w:w="70" w:type="dxa"/>
              <w:right w:w="70" w:type="dxa"/>
            </w:tcMar>
          </w:tcPr>
          <w:p>
            <w:r>
              <w:rPr>
                <w:rFonts w:ascii="Calibri" w:hAnsi="Calibri"/>
                <w:b/>
                <w:sz w:val="18"/>
              </w:rPr>
              <w:t>2 468.90 $</w:t>
            </w:r>
          </w:p>
        </w:tc>
        <w:tc>
          <w:tcPr>
            <w:tcW w:type="dxa" w:w="1337"/>
            <w:shd w:fill="F4F6F7"/>
            <w:tcMar>
              <w:top w:w="60" w:type="dxa"/>
              <w:bottom w:w="60" w:type="dxa"/>
              <w:left w:w="70" w:type="dxa"/>
              <w:right w:w="70" w:type="dxa"/>
            </w:tcMar>
          </w:tcPr>
          <w:p>
            <w:r>
              <w:rPr>
                <w:rFonts w:ascii="Calibri" w:hAnsi="Calibri"/>
                <w:sz w:val="18"/>
              </w:rPr>
              <w:t>1 847.91 $</w:t>
            </w:r>
          </w:p>
        </w:tc>
        <w:tc>
          <w:tcPr>
            <w:tcW w:type="dxa" w:w="1337"/>
            <w:shd w:fill="F4F6F7"/>
            <w:tcMar>
              <w:top w:w="60" w:type="dxa"/>
              <w:bottom w:w="60" w:type="dxa"/>
              <w:left w:w="70" w:type="dxa"/>
              <w:right w:w="70" w:type="dxa"/>
            </w:tcMar>
          </w:tcPr>
          <w:p>
            <w:r>
              <w:rPr>
                <w:rFonts w:ascii="Calibri" w:hAnsi="Calibri"/>
                <w:sz w:val="18"/>
              </w:rPr>
              <w:t>2.56 %</w:t>
            </w:r>
          </w:p>
        </w:tc>
      </w:tr>
      <w:tr>
        <w:tc>
          <w:tcPr>
            <w:tcW w:type="dxa" w:w="1337"/>
            <w:shd w:fill="FFFFFF"/>
            <w:tcMar>
              <w:top w:w="60" w:type="dxa"/>
              <w:bottom w:w="60" w:type="dxa"/>
              <w:left w:w="70" w:type="dxa"/>
              <w:right w:w="70" w:type="dxa"/>
            </w:tcMar>
          </w:tcPr>
          <w:p>
            <w:r>
              <w:rPr>
                <w:rFonts w:ascii="Calibri" w:hAnsi="Calibri"/>
                <w:b/>
                <w:sz w:val="18"/>
              </w:rPr>
              <w:t>4</w:t>
            </w:r>
          </w:p>
        </w:tc>
        <w:tc>
          <w:tcPr>
            <w:tcW w:type="dxa" w:w="1337"/>
            <w:shd w:fill="FFFFFF"/>
            <w:tcMar>
              <w:top w:w="60" w:type="dxa"/>
              <w:bottom w:w="60" w:type="dxa"/>
              <w:left w:w="70" w:type="dxa"/>
              <w:right w:w="70" w:type="dxa"/>
            </w:tcMar>
          </w:tcPr>
          <w:p>
            <w:r>
              <w:rPr>
                <w:rFonts w:ascii="Calibri" w:hAnsi="Calibri"/>
                <w:b/>
                <w:sz w:val="18"/>
              </w:rPr>
              <w:t>LSTM PyTorch Multivarié (14x9)</w:t>
            </w:r>
          </w:p>
        </w:tc>
        <w:tc>
          <w:tcPr>
            <w:tcW w:type="dxa" w:w="1337"/>
            <w:shd w:fill="FFFFFF"/>
            <w:tcMar>
              <w:top w:w="60" w:type="dxa"/>
              <w:bottom w:w="60" w:type="dxa"/>
              <w:left w:w="70" w:type="dxa"/>
              <w:right w:w="70" w:type="dxa"/>
            </w:tcMar>
          </w:tcPr>
          <w:p>
            <w:r>
              <w:rPr>
                <w:rFonts w:ascii="Calibri" w:hAnsi="Calibri"/>
                <w:sz w:val="18"/>
              </w:rPr>
              <w:t>1-Pas (h=1)</w:t>
            </w:r>
          </w:p>
        </w:tc>
        <w:tc>
          <w:tcPr>
            <w:tcW w:type="dxa" w:w="1337"/>
            <w:shd w:fill="FFFFFF"/>
            <w:tcMar>
              <w:top w:w="60" w:type="dxa"/>
              <w:bottom w:w="60" w:type="dxa"/>
              <w:left w:w="70" w:type="dxa"/>
              <w:right w:w="70" w:type="dxa"/>
            </w:tcMar>
          </w:tcPr>
          <w:p>
            <w:r>
              <w:rPr>
                <w:rFonts w:ascii="Calibri" w:hAnsi="Calibri"/>
                <w:sz w:val="18"/>
              </w:rPr>
              <w:t>14 261 816</w:t>
            </w:r>
          </w:p>
        </w:tc>
        <w:tc>
          <w:tcPr>
            <w:tcW w:type="dxa" w:w="1337"/>
            <w:shd w:fill="FFFFFF"/>
            <w:tcMar>
              <w:top w:w="60" w:type="dxa"/>
              <w:bottom w:w="60" w:type="dxa"/>
              <w:left w:w="70" w:type="dxa"/>
              <w:right w:w="70" w:type="dxa"/>
            </w:tcMar>
          </w:tcPr>
          <w:p>
            <w:r>
              <w:rPr>
                <w:rFonts w:ascii="Calibri" w:hAnsi="Calibri"/>
                <w:b/>
                <w:sz w:val="18"/>
              </w:rPr>
              <w:t>3 776.48 $</w:t>
            </w:r>
          </w:p>
        </w:tc>
        <w:tc>
          <w:tcPr>
            <w:tcW w:type="dxa" w:w="1337"/>
            <w:shd w:fill="FFFFFF"/>
            <w:tcMar>
              <w:top w:w="60" w:type="dxa"/>
              <w:bottom w:w="60" w:type="dxa"/>
              <w:left w:w="70" w:type="dxa"/>
              <w:right w:w="70" w:type="dxa"/>
            </w:tcMar>
          </w:tcPr>
          <w:p>
            <w:r>
              <w:rPr>
                <w:rFonts w:ascii="Calibri" w:hAnsi="Calibri"/>
                <w:sz w:val="18"/>
              </w:rPr>
              <w:t>3 396.66 $</w:t>
            </w:r>
          </w:p>
        </w:tc>
        <w:tc>
          <w:tcPr>
            <w:tcW w:type="dxa" w:w="1337"/>
            <w:shd w:fill="FFFFFF"/>
            <w:tcMar>
              <w:top w:w="60" w:type="dxa"/>
              <w:bottom w:w="60" w:type="dxa"/>
              <w:left w:w="70" w:type="dxa"/>
              <w:right w:w="70" w:type="dxa"/>
            </w:tcMar>
          </w:tcPr>
          <w:p>
            <w:r>
              <w:rPr>
                <w:rFonts w:ascii="Calibri" w:hAnsi="Calibri"/>
                <w:sz w:val="18"/>
              </w:rPr>
              <w:t>4.77 %</w:t>
            </w:r>
          </w:p>
        </w:tc>
      </w:tr>
      <w:tr>
        <w:tc>
          <w:tcPr>
            <w:tcW w:type="dxa" w:w="1337"/>
            <w:shd w:fill="F4F6F7"/>
            <w:tcMar>
              <w:top w:w="60" w:type="dxa"/>
              <w:bottom w:w="60" w:type="dxa"/>
              <w:left w:w="70" w:type="dxa"/>
              <w:right w:w="70" w:type="dxa"/>
            </w:tcMar>
          </w:tcPr>
          <w:p>
            <w:r>
              <w:rPr>
                <w:rFonts w:ascii="Calibri" w:hAnsi="Calibri"/>
                <w:b/>
                <w:sz w:val="18"/>
              </w:rPr>
              <w:t>5</w:t>
            </w:r>
          </w:p>
        </w:tc>
        <w:tc>
          <w:tcPr>
            <w:tcW w:type="dxa" w:w="1337"/>
            <w:shd w:fill="F4F6F7"/>
            <w:tcMar>
              <w:top w:w="60" w:type="dxa"/>
              <w:bottom w:w="60" w:type="dxa"/>
              <w:left w:w="70" w:type="dxa"/>
              <w:right w:w="70" w:type="dxa"/>
            </w:tcMar>
          </w:tcPr>
          <w:p>
            <w:r>
              <w:rPr>
                <w:rFonts w:ascii="Calibri" w:hAnsi="Calibri"/>
                <w:b/>
                <w:sz w:val="18"/>
              </w:rPr>
              <w:t>Hybride ARIMA-LSTM (Exploratoire)</w:t>
            </w:r>
          </w:p>
        </w:tc>
        <w:tc>
          <w:tcPr>
            <w:tcW w:type="dxa" w:w="1337"/>
            <w:shd w:fill="F4F6F7"/>
            <w:tcMar>
              <w:top w:w="60" w:type="dxa"/>
              <w:bottom w:w="60" w:type="dxa"/>
              <w:left w:w="70" w:type="dxa"/>
              <w:right w:w="70" w:type="dxa"/>
            </w:tcMar>
          </w:tcPr>
          <w:p>
            <w:r>
              <w:rPr>
                <w:rFonts w:ascii="Calibri" w:hAnsi="Calibri"/>
                <w:sz w:val="18"/>
              </w:rPr>
              <w:t>Multi-Pas</w:t>
            </w:r>
          </w:p>
        </w:tc>
        <w:tc>
          <w:tcPr>
            <w:tcW w:type="dxa" w:w="1337"/>
            <w:shd w:fill="F4F6F7"/>
            <w:tcMar>
              <w:top w:w="60" w:type="dxa"/>
              <w:bottom w:w="60" w:type="dxa"/>
              <w:left w:w="70" w:type="dxa"/>
              <w:right w:w="70" w:type="dxa"/>
            </w:tcMar>
          </w:tcPr>
          <w:p>
            <w:r>
              <w:rPr>
                <w:rFonts w:ascii="Calibri" w:hAnsi="Calibri"/>
                <w:sz w:val="18"/>
              </w:rPr>
              <w:t>234 672 894</w:t>
            </w:r>
          </w:p>
        </w:tc>
        <w:tc>
          <w:tcPr>
            <w:tcW w:type="dxa" w:w="1337"/>
            <w:shd w:fill="F4F6F7"/>
            <w:tcMar>
              <w:top w:w="60" w:type="dxa"/>
              <w:bottom w:w="60" w:type="dxa"/>
              <w:left w:w="70" w:type="dxa"/>
              <w:right w:w="70" w:type="dxa"/>
            </w:tcMar>
          </w:tcPr>
          <w:p>
            <w:r>
              <w:rPr>
                <w:rFonts w:ascii="Calibri" w:hAnsi="Calibri"/>
                <w:b/>
                <w:sz w:val="18"/>
              </w:rPr>
              <w:t>15 319.04 $</w:t>
            </w:r>
          </w:p>
        </w:tc>
        <w:tc>
          <w:tcPr>
            <w:tcW w:type="dxa" w:w="1337"/>
            <w:shd w:fill="F4F6F7"/>
            <w:tcMar>
              <w:top w:w="60" w:type="dxa"/>
              <w:bottom w:w="60" w:type="dxa"/>
              <w:left w:w="70" w:type="dxa"/>
              <w:right w:w="70" w:type="dxa"/>
            </w:tcMar>
          </w:tcPr>
          <w:p>
            <w:r>
              <w:rPr>
                <w:rFonts w:ascii="Calibri" w:hAnsi="Calibri"/>
                <w:sz w:val="18"/>
              </w:rPr>
              <w:t>13 967.77 $</w:t>
            </w:r>
          </w:p>
        </w:tc>
        <w:tc>
          <w:tcPr>
            <w:tcW w:type="dxa" w:w="1337"/>
            <w:shd w:fill="F4F6F7"/>
            <w:tcMar>
              <w:top w:w="60" w:type="dxa"/>
              <w:bottom w:w="60" w:type="dxa"/>
              <w:left w:w="70" w:type="dxa"/>
              <w:right w:w="70" w:type="dxa"/>
            </w:tcMar>
          </w:tcPr>
          <w:p>
            <w:r>
              <w:rPr>
                <w:rFonts w:ascii="Calibri" w:hAnsi="Calibri"/>
                <w:sz w:val="18"/>
              </w:rPr>
              <w:t>20.33 %</w:t>
            </w:r>
          </w:p>
        </w:tc>
      </w:tr>
      <w:tr>
        <w:tc>
          <w:tcPr>
            <w:tcW w:type="dxa" w:w="1337"/>
            <w:shd w:fill="FFFFFF"/>
            <w:tcMar>
              <w:top w:w="60" w:type="dxa"/>
              <w:bottom w:w="60" w:type="dxa"/>
              <w:left w:w="70" w:type="dxa"/>
              <w:right w:w="70" w:type="dxa"/>
            </w:tcMar>
          </w:tcPr>
          <w:p>
            <w:r>
              <w:rPr>
                <w:rFonts w:ascii="Calibri" w:hAnsi="Calibri"/>
                <w:b/>
                <w:sz w:val="18"/>
              </w:rPr>
              <w:t>6</w:t>
            </w:r>
          </w:p>
        </w:tc>
        <w:tc>
          <w:tcPr>
            <w:tcW w:type="dxa" w:w="1337"/>
            <w:shd w:fill="FFFFFF"/>
            <w:tcMar>
              <w:top w:w="60" w:type="dxa"/>
              <w:bottom w:w="60" w:type="dxa"/>
              <w:left w:w="70" w:type="dxa"/>
              <w:right w:w="70" w:type="dxa"/>
            </w:tcMar>
          </w:tcPr>
          <w:p>
            <w:r>
              <w:rPr>
                <w:rFonts w:ascii="Calibri" w:hAnsi="Calibri"/>
                <w:b/>
                <w:sz w:val="18"/>
              </w:rPr>
              <w:t>ARIMA(1,1,1) Multi-Pas Fixe</w:t>
            </w:r>
          </w:p>
        </w:tc>
        <w:tc>
          <w:tcPr>
            <w:tcW w:type="dxa" w:w="1337"/>
            <w:shd w:fill="FFFFFF"/>
            <w:tcMar>
              <w:top w:w="60" w:type="dxa"/>
              <w:bottom w:w="60" w:type="dxa"/>
              <w:left w:w="70" w:type="dxa"/>
              <w:right w:w="70" w:type="dxa"/>
            </w:tcMar>
          </w:tcPr>
          <w:p>
            <w:r>
              <w:rPr>
                <w:rFonts w:ascii="Calibri" w:hAnsi="Calibri"/>
                <w:sz w:val="18"/>
              </w:rPr>
              <w:t>Multi-Pas (h=281)</w:t>
            </w:r>
          </w:p>
        </w:tc>
        <w:tc>
          <w:tcPr>
            <w:tcW w:type="dxa" w:w="1337"/>
            <w:shd w:fill="FFFFFF"/>
            <w:tcMar>
              <w:top w:w="60" w:type="dxa"/>
              <w:bottom w:w="60" w:type="dxa"/>
              <w:left w:w="70" w:type="dxa"/>
              <w:right w:w="70" w:type="dxa"/>
            </w:tcMar>
          </w:tcPr>
          <w:p>
            <w:r>
              <w:rPr>
                <w:rFonts w:ascii="Calibri" w:hAnsi="Calibri"/>
                <w:sz w:val="18"/>
              </w:rPr>
              <w:t>275 524 436</w:t>
            </w:r>
          </w:p>
        </w:tc>
        <w:tc>
          <w:tcPr>
            <w:tcW w:type="dxa" w:w="1337"/>
            <w:shd w:fill="FFFFFF"/>
            <w:tcMar>
              <w:top w:w="60" w:type="dxa"/>
              <w:bottom w:w="60" w:type="dxa"/>
              <w:left w:w="70" w:type="dxa"/>
              <w:right w:w="70" w:type="dxa"/>
            </w:tcMar>
          </w:tcPr>
          <w:p>
            <w:r>
              <w:rPr>
                <w:rFonts w:ascii="Calibri" w:hAnsi="Calibri"/>
                <w:b/>
                <w:sz w:val="18"/>
              </w:rPr>
              <w:t>16 598.93 $</w:t>
            </w:r>
          </w:p>
        </w:tc>
        <w:tc>
          <w:tcPr>
            <w:tcW w:type="dxa" w:w="1337"/>
            <w:shd w:fill="FFFFFF"/>
            <w:tcMar>
              <w:top w:w="60" w:type="dxa"/>
              <w:bottom w:w="60" w:type="dxa"/>
              <w:left w:w="70" w:type="dxa"/>
              <w:right w:w="70" w:type="dxa"/>
            </w:tcMar>
          </w:tcPr>
          <w:p>
            <w:r>
              <w:rPr>
                <w:rFonts w:ascii="Calibri" w:hAnsi="Calibri"/>
                <w:sz w:val="18"/>
              </w:rPr>
              <w:t>14 643.39 $</w:t>
            </w:r>
          </w:p>
        </w:tc>
        <w:tc>
          <w:tcPr>
            <w:tcW w:type="dxa" w:w="1337"/>
            <w:shd w:fill="FFFFFF"/>
            <w:tcMar>
              <w:top w:w="60" w:type="dxa"/>
              <w:bottom w:w="60" w:type="dxa"/>
              <w:left w:w="70" w:type="dxa"/>
              <w:right w:w="70" w:type="dxa"/>
            </w:tcMar>
          </w:tcPr>
          <w:p>
            <w:r>
              <w:rPr>
                <w:rFonts w:ascii="Calibri" w:hAnsi="Calibri"/>
                <w:sz w:val="18"/>
              </w:rPr>
              <w:t>21.49 %</w:t>
            </w:r>
          </w:p>
        </w:tc>
      </w:tr>
    </w:tbl>
    <w:p>
      <w:pPr>
        <w:spacing w:after="80"/>
      </w:pPr>
    </w:p>
    <w:p>
      <w:pPr>
        <w:keepNext/>
        <w:spacing w:before="280" w:after="120"/>
      </w:pPr>
      <w:r>
        <w:rPr>
          <w:rFonts w:ascii="Arial" w:hAnsi="Arial"/>
          <w:b/>
          <w:color w:val="2980B9"/>
          <w:sz w:val="26"/>
        </w:rPr>
        <w:t>6.3 Tests formels de Diebold-Mariano &amp; Correction HAC Newey-West</w:t>
      </w:r>
    </w:p>
    <w:p>
      <w:pPr>
        <w:spacing w:before="0" w:after="100" w:line="276" w:lineRule="auto"/>
      </w:pPr>
      <w:r>
        <w:rPr>
          <w:rFonts w:ascii="Calibri" w:hAnsi="Calibri"/>
          <w:b/>
          <w:color w:val="2C3E50"/>
          <w:sz w:val="21"/>
        </w:rPr>
        <w:t xml:space="preserve">Cadre formel Diebold-Mariano : </w:t>
      </w:r>
      <w:r>
        <w:rPr>
          <w:rFonts w:ascii="Calibri" w:hAnsi="Calibri"/>
          <w:i w:val="0"/>
          <w:color w:val="2C3E50"/>
          <w:sz w:val="21"/>
        </w:rPr>
        <w:t>Convention de signe et formulation du test DM : La série différentielle de perte quadratique est définie par d_t = e_{Naïf, t}^2 - e_{Modèle, t}^2. Comme la baseline naïve présente une erreur quadratique systématiquement inférieure aux modèles alternatifs (e_{Naïf}^2 &lt; e_{Modèle}^2), la moyenne différentielle bar{d} est négative, ce qui génère une statistique DM négative. Une statistique DM &lt; -1.96 avec p &lt; 0.05 conclut formellement à la supériorité statistique de la marche aléatoire naïve.</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560"/>
        <w:gridCol w:w="1560"/>
        <w:gridCol w:w="1560"/>
        <w:gridCol w:w="1560"/>
        <w:gridCol w:w="1560"/>
        <w:gridCol w:w="1560"/>
      </w:tblGrid>
      <w:tr>
        <w:tc>
          <w:tcPr>
            <w:tcW w:type="dxa" w:w="1560"/>
            <w:shd w:fill="1A5276"/>
            <w:tcMar>
              <w:top w:w="80" w:type="dxa"/>
              <w:bottom w:w="80" w:type="dxa"/>
              <w:left w:w="70" w:type="dxa"/>
              <w:right w:w="70" w:type="dxa"/>
            </w:tcMar>
          </w:tcPr>
          <w:p>
            <w:r>
              <w:rPr>
                <w:rFonts w:ascii="Arial" w:hAnsi="Arial"/>
                <w:b/>
                <w:color w:val="FFFFFF"/>
                <w:sz w:val="18"/>
              </w:rPr>
              <w:t>Comparaison (Protocole Roulant h=1)</w:t>
            </w:r>
          </w:p>
        </w:tc>
        <w:tc>
          <w:tcPr>
            <w:tcW w:type="dxa" w:w="1560"/>
            <w:shd w:fill="1A5276"/>
            <w:tcMar>
              <w:top w:w="80" w:type="dxa"/>
              <w:bottom w:w="80" w:type="dxa"/>
              <w:left w:w="70" w:type="dxa"/>
              <w:right w:w="70" w:type="dxa"/>
            </w:tcMar>
          </w:tcPr>
          <w:p>
            <w:r>
              <w:rPr>
                <w:rFonts w:ascii="Arial" w:hAnsi="Arial"/>
                <w:b/>
                <w:color w:val="FFFFFF"/>
                <w:sz w:val="18"/>
              </w:rPr>
              <w:t>DM Stat (Standard)</w:t>
            </w:r>
          </w:p>
        </w:tc>
        <w:tc>
          <w:tcPr>
            <w:tcW w:type="dxa" w:w="1560"/>
            <w:shd w:fill="1A5276"/>
            <w:tcMar>
              <w:top w:w="80" w:type="dxa"/>
              <w:bottom w:w="80" w:type="dxa"/>
              <w:left w:w="70" w:type="dxa"/>
              <w:right w:w="70" w:type="dxa"/>
            </w:tcMar>
          </w:tcPr>
          <w:p>
            <w:r>
              <w:rPr>
                <w:rFonts w:ascii="Arial" w:hAnsi="Arial"/>
                <w:b/>
                <w:color w:val="FFFFFF"/>
                <w:sz w:val="18"/>
              </w:rPr>
              <w:t>p-valeur (Std)</w:t>
            </w:r>
          </w:p>
        </w:tc>
        <w:tc>
          <w:tcPr>
            <w:tcW w:type="dxa" w:w="1560"/>
            <w:shd w:fill="1A5276"/>
            <w:tcMar>
              <w:top w:w="80" w:type="dxa"/>
              <w:bottom w:w="80" w:type="dxa"/>
              <w:left w:w="70" w:type="dxa"/>
              <w:right w:w="70" w:type="dxa"/>
            </w:tcMar>
          </w:tcPr>
          <w:p>
            <w:r>
              <w:rPr>
                <w:rFonts w:ascii="Arial" w:hAnsi="Arial"/>
                <w:b/>
                <w:color w:val="FFFFFF"/>
                <w:sz w:val="18"/>
              </w:rPr>
              <w:t>DM Stat (HAC Newey-West)</w:t>
            </w:r>
          </w:p>
        </w:tc>
        <w:tc>
          <w:tcPr>
            <w:tcW w:type="dxa" w:w="1560"/>
            <w:shd w:fill="1A5276"/>
            <w:tcMar>
              <w:top w:w="80" w:type="dxa"/>
              <w:bottom w:w="80" w:type="dxa"/>
              <w:left w:w="70" w:type="dxa"/>
              <w:right w:w="70" w:type="dxa"/>
            </w:tcMar>
          </w:tcPr>
          <w:p>
            <w:r>
              <w:rPr>
                <w:rFonts w:ascii="Arial" w:hAnsi="Arial"/>
                <w:b/>
                <w:color w:val="FFFFFF"/>
                <w:sz w:val="18"/>
              </w:rPr>
              <w:t>p-valeur (HAC)</w:t>
            </w:r>
          </w:p>
        </w:tc>
        <w:tc>
          <w:tcPr>
            <w:tcW w:type="dxa" w:w="1560"/>
            <w:shd w:fill="1A5276"/>
            <w:tcMar>
              <w:top w:w="80" w:type="dxa"/>
              <w:bottom w:w="80" w:type="dxa"/>
              <w:left w:w="70" w:type="dxa"/>
              <w:right w:w="70" w:type="dxa"/>
            </w:tcMar>
          </w:tcPr>
          <w:p>
            <w:r>
              <w:rPr>
                <w:rFonts w:ascii="Arial" w:hAnsi="Arial"/>
                <w:b/>
                <w:color w:val="FFFFFF"/>
                <w:sz w:val="18"/>
              </w:rPr>
              <w:t>Verdict Statistique à 5%</w:t>
            </w:r>
          </w:p>
        </w:tc>
      </w:tr>
      <w:tr>
        <w:tc>
          <w:tcPr>
            <w:tcW w:type="dxa" w:w="1560"/>
            <w:shd w:fill="F4F6F7"/>
            <w:tcMar>
              <w:top w:w="60" w:type="dxa"/>
              <w:bottom w:w="60" w:type="dxa"/>
              <w:left w:w="70" w:type="dxa"/>
              <w:right w:w="70" w:type="dxa"/>
            </w:tcMar>
          </w:tcPr>
          <w:p>
            <w:r>
              <w:rPr>
                <w:rFonts w:ascii="Calibri" w:hAnsi="Calibri"/>
                <w:b/>
                <w:sz w:val="18"/>
              </w:rPr>
              <w:t>Naïf (h=1) vs ARIMA Roulant (h=1)</w:t>
            </w:r>
          </w:p>
        </w:tc>
        <w:tc>
          <w:tcPr>
            <w:tcW w:type="dxa" w:w="1560"/>
            <w:shd w:fill="F4F6F7"/>
            <w:tcMar>
              <w:top w:w="60" w:type="dxa"/>
              <w:bottom w:w="60" w:type="dxa"/>
              <w:left w:w="70" w:type="dxa"/>
              <w:right w:w="70" w:type="dxa"/>
            </w:tcMar>
          </w:tcPr>
          <w:p>
            <w:r>
              <w:rPr>
                <w:rFonts w:ascii="Calibri" w:hAnsi="Calibri"/>
                <w:sz w:val="18"/>
              </w:rPr>
              <w:t>-1.130</w:t>
            </w:r>
          </w:p>
        </w:tc>
        <w:tc>
          <w:tcPr>
            <w:tcW w:type="dxa" w:w="1560"/>
            <w:shd w:fill="F4F6F7"/>
            <w:tcMar>
              <w:top w:w="60" w:type="dxa"/>
              <w:bottom w:w="60" w:type="dxa"/>
              <w:left w:w="70" w:type="dxa"/>
              <w:right w:w="70" w:type="dxa"/>
            </w:tcMar>
          </w:tcPr>
          <w:p>
            <w:r>
              <w:rPr>
                <w:rFonts w:ascii="Calibri" w:hAnsi="Calibri"/>
                <w:sz w:val="18"/>
              </w:rPr>
              <w:t>0.2585</w:t>
            </w:r>
          </w:p>
        </w:tc>
        <w:tc>
          <w:tcPr>
            <w:tcW w:type="dxa" w:w="1560"/>
            <w:shd w:fill="F4F6F7"/>
            <w:tcMar>
              <w:top w:w="60" w:type="dxa"/>
              <w:bottom w:w="60" w:type="dxa"/>
              <w:left w:w="70" w:type="dxa"/>
              <w:right w:w="70" w:type="dxa"/>
            </w:tcMar>
          </w:tcPr>
          <w:p>
            <w:r>
              <w:rPr>
                <w:rFonts w:ascii="Calibri" w:hAnsi="Calibri"/>
                <w:sz w:val="18"/>
              </w:rPr>
              <w:t>-1.243</w:t>
            </w:r>
          </w:p>
        </w:tc>
        <w:tc>
          <w:tcPr>
            <w:tcW w:type="dxa" w:w="1560"/>
            <w:shd w:fill="F4F6F7"/>
            <w:tcMar>
              <w:top w:w="60" w:type="dxa"/>
              <w:bottom w:w="60" w:type="dxa"/>
              <w:left w:w="70" w:type="dxa"/>
              <w:right w:w="70" w:type="dxa"/>
            </w:tcMar>
          </w:tcPr>
          <w:p>
            <w:r>
              <w:rPr>
                <w:rFonts w:ascii="Calibri" w:hAnsi="Calibri"/>
                <w:sz w:val="18"/>
              </w:rPr>
              <w:t>0.2137</w:t>
            </w:r>
          </w:p>
        </w:tc>
        <w:tc>
          <w:tcPr>
            <w:tcW w:type="dxa" w:w="1560"/>
            <w:shd w:fill="F4F6F7"/>
            <w:tcMar>
              <w:top w:w="60" w:type="dxa"/>
              <w:bottom w:w="60" w:type="dxa"/>
              <w:left w:w="70" w:type="dxa"/>
              <w:right w:w="70" w:type="dxa"/>
            </w:tcMar>
          </w:tcPr>
          <w:p>
            <w:r>
              <w:rPr>
                <w:rFonts w:ascii="Calibri" w:hAnsi="Calibri"/>
                <w:b/>
                <w:color w:val="27AE60"/>
                <w:sz w:val="18"/>
              </w:rPr>
              <w:t>Égalité Prédictive (Non rejet)</w:t>
            </w:r>
          </w:p>
        </w:tc>
      </w:tr>
      <w:tr>
        <w:tc>
          <w:tcPr>
            <w:tcW w:type="dxa" w:w="1560"/>
            <w:shd w:fill="FFFFFF"/>
            <w:tcMar>
              <w:top w:w="60" w:type="dxa"/>
              <w:bottom w:w="60" w:type="dxa"/>
              <w:left w:w="70" w:type="dxa"/>
              <w:right w:w="70" w:type="dxa"/>
            </w:tcMar>
          </w:tcPr>
          <w:p>
            <w:r>
              <w:rPr>
                <w:rFonts w:ascii="Calibri" w:hAnsi="Calibri"/>
                <w:b/>
                <w:sz w:val="18"/>
              </w:rPr>
              <w:t>Naïf (h=1) vs GRU PyTorch (h=1)</w:t>
            </w:r>
          </w:p>
        </w:tc>
        <w:tc>
          <w:tcPr>
            <w:tcW w:type="dxa" w:w="1560"/>
            <w:shd w:fill="FFFFFF"/>
            <w:tcMar>
              <w:top w:w="60" w:type="dxa"/>
              <w:bottom w:w="60" w:type="dxa"/>
              <w:left w:w="70" w:type="dxa"/>
              <w:right w:w="70" w:type="dxa"/>
            </w:tcMar>
          </w:tcPr>
          <w:p>
            <w:r>
              <w:rPr>
                <w:rFonts w:ascii="Calibri" w:hAnsi="Calibri"/>
                <w:sz w:val="18"/>
              </w:rPr>
              <w:t>-5.552</w:t>
            </w:r>
          </w:p>
        </w:tc>
        <w:tc>
          <w:tcPr>
            <w:tcW w:type="dxa" w:w="1560"/>
            <w:shd w:fill="FFFFFF"/>
            <w:tcMar>
              <w:top w:w="60" w:type="dxa"/>
              <w:bottom w:w="60" w:type="dxa"/>
              <w:left w:w="70" w:type="dxa"/>
              <w:right w:w="70" w:type="dxa"/>
            </w:tcMar>
          </w:tcPr>
          <w:p>
            <w:r>
              <w:rPr>
                <w:rFonts w:ascii="Calibri" w:hAnsi="Calibri"/>
                <w:sz w:val="18"/>
              </w:rPr>
              <w:t>2.82e-8</w:t>
            </w:r>
          </w:p>
        </w:tc>
        <w:tc>
          <w:tcPr>
            <w:tcW w:type="dxa" w:w="1560"/>
            <w:shd w:fill="FFFFFF"/>
            <w:tcMar>
              <w:top w:w="60" w:type="dxa"/>
              <w:bottom w:w="60" w:type="dxa"/>
              <w:left w:w="70" w:type="dxa"/>
              <w:right w:w="70" w:type="dxa"/>
            </w:tcMar>
          </w:tcPr>
          <w:p>
            <w:r>
              <w:rPr>
                <w:rFonts w:ascii="Calibri" w:hAnsi="Calibri"/>
                <w:sz w:val="18"/>
              </w:rPr>
              <w:t>-5.001</w:t>
            </w:r>
          </w:p>
        </w:tc>
        <w:tc>
          <w:tcPr>
            <w:tcW w:type="dxa" w:w="1560"/>
            <w:shd w:fill="FFFFFF"/>
            <w:tcMar>
              <w:top w:w="60" w:type="dxa"/>
              <w:bottom w:w="60" w:type="dxa"/>
              <w:left w:w="70" w:type="dxa"/>
              <w:right w:w="70" w:type="dxa"/>
            </w:tcMar>
          </w:tcPr>
          <w:p>
            <w:r>
              <w:rPr>
                <w:rFonts w:ascii="Calibri" w:hAnsi="Calibri"/>
                <w:sz w:val="18"/>
              </w:rPr>
              <w:t>5.71e-7</w:t>
            </w:r>
          </w:p>
        </w:tc>
        <w:tc>
          <w:tcPr>
            <w:tcW w:type="dxa" w:w="1560"/>
            <w:shd w:fill="FFFFFF"/>
            <w:tcMar>
              <w:top w:w="60" w:type="dxa"/>
              <w:bottom w:w="60" w:type="dxa"/>
              <w:left w:w="70" w:type="dxa"/>
              <w:right w:w="70" w:type="dxa"/>
            </w:tcMar>
          </w:tcPr>
          <w:p>
            <w:r>
              <w:rPr>
                <w:rFonts w:ascii="Calibri" w:hAnsi="Calibri"/>
                <w:b/>
                <w:color w:val="C0392B"/>
                <w:sz w:val="18"/>
              </w:rPr>
              <w:t>Supériorité Naïve (p &lt; 0.001)</w:t>
            </w:r>
          </w:p>
        </w:tc>
      </w:tr>
      <w:tr>
        <w:tc>
          <w:tcPr>
            <w:tcW w:type="dxa" w:w="1560"/>
            <w:shd w:fill="F4F6F7"/>
            <w:tcMar>
              <w:top w:w="60" w:type="dxa"/>
              <w:bottom w:w="60" w:type="dxa"/>
              <w:left w:w="70" w:type="dxa"/>
              <w:right w:w="70" w:type="dxa"/>
            </w:tcMar>
          </w:tcPr>
          <w:p>
            <w:r>
              <w:rPr>
                <w:rFonts w:ascii="Calibri" w:hAnsi="Calibri"/>
                <w:b/>
                <w:sz w:val="18"/>
              </w:rPr>
              <w:t>Naïf (h=1) vs LSTM PyTorch (h=1)</w:t>
            </w:r>
          </w:p>
        </w:tc>
        <w:tc>
          <w:tcPr>
            <w:tcW w:type="dxa" w:w="1560"/>
            <w:shd w:fill="F4F6F7"/>
            <w:tcMar>
              <w:top w:w="60" w:type="dxa"/>
              <w:bottom w:w="60" w:type="dxa"/>
              <w:left w:w="70" w:type="dxa"/>
              <w:right w:w="70" w:type="dxa"/>
            </w:tcMar>
          </w:tcPr>
          <w:p>
            <w:r>
              <w:rPr>
                <w:rFonts w:ascii="Calibri" w:hAnsi="Calibri"/>
                <w:sz w:val="18"/>
              </w:rPr>
              <w:t>-14.113</w:t>
            </w:r>
          </w:p>
        </w:tc>
        <w:tc>
          <w:tcPr>
            <w:tcW w:type="dxa" w:w="1560"/>
            <w:shd w:fill="F4F6F7"/>
            <w:tcMar>
              <w:top w:w="60" w:type="dxa"/>
              <w:bottom w:w="60" w:type="dxa"/>
              <w:left w:w="70" w:type="dxa"/>
              <w:right w:w="70" w:type="dxa"/>
            </w:tcMar>
          </w:tcPr>
          <w:p>
            <w:r>
              <w:rPr>
                <w:rFonts w:ascii="Calibri" w:hAnsi="Calibri"/>
                <w:sz w:val="18"/>
              </w:rPr>
              <w:t>&lt; 1e-16</w:t>
            </w:r>
          </w:p>
        </w:tc>
        <w:tc>
          <w:tcPr>
            <w:tcW w:type="dxa" w:w="1560"/>
            <w:shd w:fill="F4F6F7"/>
            <w:tcMar>
              <w:top w:w="60" w:type="dxa"/>
              <w:bottom w:w="60" w:type="dxa"/>
              <w:left w:w="70" w:type="dxa"/>
              <w:right w:w="70" w:type="dxa"/>
            </w:tcMar>
          </w:tcPr>
          <w:p>
            <w:r>
              <w:rPr>
                <w:rFonts w:ascii="Calibri" w:hAnsi="Calibri"/>
                <w:sz w:val="18"/>
              </w:rPr>
              <w:t>-13.149</w:t>
            </w:r>
          </w:p>
        </w:tc>
        <w:tc>
          <w:tcPr>
            <w:tcW w:type="dxa" w:w="1560"/>
            <w:shd w:fill="F4F6F7"/>
            <w:tcMar>
              <w:top w:w="60" w:type="dxa"/>
              <w:bottom w:w="60" w:type="dxa"/>
              <w:left w:w="70" w:type="dxa"/>
              <w:right w:w="70" w:type="dxa"/>
            </w:tcMar>
          </w:tcPr>
          <w:p>
            <w:r>
              <w:rPr>
                <w:rFonts w:ascii="Calibri" w:hAnsi="Calibri"/>
                <w:sz w:val="18"/>
              </w:rPr>
              <w:t>&lt; 1e-16</w:t>
            </w:r>
          </w:p>
        </w:tc>
        <w:tc>
          <w:tcPr>
            <w:tcW w:type="dxa" w:w="1560"/>
            <w:shd w:fill="F4F6F7"/>
            <w:tcMar>
              <w:top w:w="60" w:type="dxa"/>
              <w:bottom w:w="60" w:type="dxa"/>
              <w:left w:w="70" w:type="dxa"/>
              <w:right w:w="70" w:type="dxa"/>
            </w:tcMar>
          </w:tcPr>
          <w:p>
            <w:r>
              <w:rPr>
                <w:rFonts w:ascii="Calibri" w:hAnsi="Calibri"/>
                <w:b/>
                <w:color w:val="C0392B"/>
                <w:sz w:val="18"/>
              </w:rPr>
              <w:t>Supériorité Naïve (p &lt; 0.001)</w:t>
            </w:r>
          </w:p>
        </w:tc>
      </w:tr>
    </w:tbl>
    <w:p>
      <w:pPr>
        <w:spacing w:after="80"/>
      </w:pPr>
    </w:p>
    <w:p>
      <w:pPr>
        <w:spacing w:before="0" w:after="100" w:line="276" w:lineRule="auto"/>
      </w:pPr>
      <w:r>
        <w:rPr>
          <w:rFonts w:ascii="Calibri" w:hAnsi="Calibri"/>
          <w:b/>
          <w:color w:val="2C3E50"/>
          <w:sz w:val="21"/>
        </w:rPr>
        <w:t xml:space="preserve">Expérience multi-pas : </w:t>
      </w:r>
      <w:r>
        <w:rPr>
          <w:rFonts w:ascii="Calibri" w:hAnsi="Calibri"/>
          <w:i w:val="0"/>
          <w:color w:val="2C3E50"/>
          <w:sz w:val="21"/>
        </w:rPr>
        <w:t>Comparaison avec la trajectoire multi-pas fixe (h=281) : Le test DM comparant le modèle naïf au modèle ARIMA multi-pas fixe produit une statistique DM_HAC = -5.627 (p = 1.83e-8). Cette forte dégradation illustre l'accumulation de l'erreur lorsque le modèle ne bénéficie d'aucun recalage quotidien sur les prix réels.</w:t>
      </w:r>
    </w:p>
    <w:p>
      <w:r>
        <w:drawing>
          <wp:inline xmlns:a="http://schemas.openxmlformats.org/drawingml/2006/main" xmlns:pic="http://schemas.openxmlformats.org/drawingml/2006/picture">
            <wp:extent cx="5943600" cy="2377440"/>
            <wp:docPr id="4" name="Picture 4"/>
            <wp:cNvGraphicFramePr>
              <a:graphicFrameLocks noChangeAspect="1"/>
            </wp:cNvGraphicFramePr>
            <a:graphic>
              <a:graphicData uri="http://schemas.openxmlformats.org/drawingml/2006/picture">
                <pic:pic>
                  <pic:nvPicPr>
                    <pic:cNvPr id="0" name="fig6_forecast_comparison.png"/>
                    <pic:cNvPicPr/>
                  </pic:nvPicPr>
                  <pic:blipFill>
                    <a:blip r:embed="rId13"/>
                    <a:stretch>
                      <a:fillRect/>
                    </a:stretch>
                  </pic:blipFill>
                  <pic:spPr>
                    <a:xfrm>
                      <a:off x="0" y="0"/>
                      <a:ext cx="5943600" cy="2377440"/>
                    </a:xfrm>
                    <a:prstGeom prst="rect"/>
                  </pic:spPr>
                </pic:pic>
              </a:graphicData>
            </a:graphic>
          </wp:inline>
        </w:drawing>
      </w:r>
    </w:p>
    <w:p>
      <w:pPr>
        <w:jc w:val="center"/>
      </w:pPr>
      <w:r>
        <w:rPr>
          <w:i/>
          <w:color w:val="78909C"/>
          <w:sz w:val="17"/>
        </w:rPr>
        <w:t>Figure 4 : Trajectoires des Prévisions Hors Échantillon sur la Période de Test (27/12/2025 au 03/10/2026, 281 Jours)</w:t>
      </w:r>
    </w:p>
    <w:p>
      <w:pPr>
        <w:keepNext/>
        <w:spacing w:before="280" w:after="120"/>
      </w:pPr>
      <w:r>
        <w:rPr>
          <w:rFonts w:ascii="Arial" w:hAnsi="Arial"/>
          <w:b/>
          <w:color w:val="2980B9"/>
          <w:sz w:val="26"/>
        </w:rPr>
        <w:t>6.4 Interprétation économique &amp; Puzzle de Meese et Rogoff (1983)</w:t>
      </w:r>
    </w:p>
    <w:p>
      <w:pPr>
        <w:spacing w:before="0" w:after="100" w:line="276" w:lineRule="auto"/>
      </w:pPr>
      <w:r>
        <w:rPr>
          <w:rFonts w:ascii="Calibri" w:hAnsi="Calibri"/>
          <w:b/>
          <w:color w:val="2C3E50"/>
          <w:sz w:val="21"/>
        </w:rPr>
        <w:t xml:space="preserve">Enseignement financier majeur : </w:t>
      </w:r>
      <w:r>
        <w:rPr>
          <w:rFonts w:ascii="Calibri" w:hAnsi="Calibri"/>
          <w:i w:val="0"/>
          <w:color w:val="2C3E50"/>
          <w:sz w:val="21"/>
        </w:rPr>
        <w:t>La victoire empirique de la marche aléatoire naïve (Random Walk) constitue un résultat économique fondamental et non un échec de modélisation. Ce phénomène reproduit exactement le célèbre puzzle empirique de Meese et Rogoff (1983) en macro-finance internationale : sur les marchés financiers liquides et efficients au sens faible (Fama, 1970), le meilleur prédicteur du prix de demain P_{t+1} est le prix d'aujourd'hui P_t. Les réseaux neuronaux profonds (LSTM, GRU), en tentant d'extraire des signaux prédictifs non linéaires dans une série dominée par un bruit blanc martingal, sur-ajustent des micro-structures transitoires du passé et subissent une dérive prédictive sur l'échantillon hors échantillon.</w:t>
      </w:r>
    </w:p>
    <w:p>
      <w:pPr>
        <w:keepNext/>
        <w:spacing w:before="360" w:after="160"/>
      </w:pPr>
      <w:r>
        <w:rPr>
          <w:rFonts w:ascii="Arial" w:hAnsi="Arial"/>
          <w:b/>
          <w:color w:val="1A5276"/>
          <w:sz w:val="32"/>
        </w:rPr>
        <w:t>7. Audit Critique de l'IA Générative (Section 5 du Barème)</w:t>
      </w:r>
    </w:p>
    <w:p>
      <w:pPr>
        <w:spacing w:before="0" w:after="100" w:line="276" w:lineRule="auto"/>
      </w:pPr>
      <w:r>
        <w:rPr>
          <w:rFonts w:ascii="Calibri" w:hAnsi="Calibri"/>
          <w:i w:val="0"/>
          <w:color w:val="2C3E50"/>
          <w:sz w:val="21"/>
        </w:rPr>
        <w:t>Conformément aux exigences de la Section 5 du cahier des charges, nous avons soumis 3 requêtes méthodologiques ciblées à des modèles de fondation d'IA générative (ChatGPT-4o, Claude 3.5 Sonnet et DeepSeek-R1) afin d'évaluer leur rigueur économétrique, d'auditer leurs réponses et de réfuter leurs hallucinations statistiques.</w:t>
      </w:r>
    </w:p>
    <w:p>
      <w:pPr>
        <w:keepNext/>
        <w:spacing w:before="280" w:after="120"/>
      </w:pPr>
      <w:r>
        <w:rPr>
          <w:rFonts w:ascii="Arial" w:hAnsi="Arial"/>
          <w:b/>
          <w:color w:val="2980B9"/>
          <w:sz w:val="26"/>
        </w:rPr>
        <w:t>7.1 Expérience #1 : Formulation des Hypothèses Économétriques &amp; Risque de Régression Fallacieuse</w:t>
      </w:r>
    </w:p>
    <w:p>
      <w:pPr>
        <w:spacing w:before="0" w:after="100" w:line="276" w:lineRule="auto"/>
      </w:pPr>
      <w:r>
        <w:rPr>
          <w:rFonts w:ascii="Calibri" w:hAnsi="Calibri"/>
          <w:i/>
          <w:color w:val="2C3E50"/>
          <w:sz w:val="21"/>
        </w:rPr>
        <w:t>Modèle interrogé : ChatGPT-4o (OpenAI) | Fichier source de traçabilité : data/llm_audit_section5.json</w:t>
      </w:r>
    </w:p>
    <w:tbl>
      <w:tblPr>
        <w:tblW w:type="auto" w:w="0"/>
        <w:jc w:val="center"/>
        <w:tblLook w:firstColumn="1" w:firstRow="1" w:lastColumn="0" w:lastRow="0" w:noHBand="0" w:noVBand="1" w:val="04A0"/>
      </w:tblPr>
      <w:tblGrid>
        <w:gridCol w:w="9360"/>
      </w:tblGrid>
      <w:tr>
        <w:tc>
          <w:tcPr>
            <w:tcW w:type="dxa" w:w="9360"/>
            <w:shd w:fill="F2F4F4"/>
            <w:tcMar>
              <w:top w:w="80" w:type="dxa"/>
              <w:bottom w:w="80" w:type="dxa"/>
              <w:left w:w="120" w:type="dxa"/>
              <w:right w:w="120" w:type="dxa"/>
            </w:tcMar>
          </w:tcPr>
          <w:p>
            <w:r>
              <w:rPr>
                <w:b/>
                <w:color w:val="2980B9"/>
                <w:sz w:val="19"/>
              </w:rPr>
              <w:t>Prompt soumis au LLM :</w:t>
              <w:br/>
            </w:r>
            <w:r>
              <w:rPr>
                <w:color w:val="323C46"/>
                <w:sz w:val="18"/>
              </w:rPr>
              <w:t>You are an expert quantitative researcher and econometrician.</w:t>
              <w:br/>
              <w:t>We have an empirical dataset of 3 cryptocurrencies: Bitcoin (BTC), Ethereum (ETH), and Binance Coin (BNB) covering 2,522 daily observations (2019 to 2026):</w:t>
              <w:br/>
              <w:t>- Mean daily return: BTC = +0.128%, ETH = +0.131%, BNB = +0.195%.</w:t>
              <w:br/>
              <w:t>- Daily volatility (Std Dev): BTC = 3.29%, ETH = 4.30%, BNB = 4.39%.</w:t>
              <w:br/>
              <w:t>- Excess Kurtosis: BTC = 18.92, ETH = 14.47, BNB = 24.52 (severe leptokurtosis).</w:t>
              <w:br/>
              <w:t>- ADF Test on Log-Prices: p-values &gt; 0.25 (Non-stationary I(1) for all 3 assets).</w:t>
              <w:br/>
              <w:t>- KPSS Test on Log-Prices: p-values = 0.01 (Non-stationary for all 3 assets).</w:t>
              <w:br/>
              <w:t>- ADF Test on Log-Returns: p-values &lt; 0.0001 (Stationary I(0) for all 3 assets).</w:t>
              <w:br/>
              <w:t>- KPSS Test on Log-Returns: p-values = 0.10 (Stationary for all 3 assets).</w:t>
              <w:br/>
              <w:br/>
              <w:t>Formulate 3 rigorous econometric hypotheses regarding the modeling framework to test.</w:t>
            </w:r>
          </w:p>
        </w:tc>
      </w:tr>
    </w:tbl>
    <w:p>
      <w:pPr>
        <w:spacing w:after="40"/>
      </w:pPr>
    </w:p>
    <w:tbl>
      <w:tblPr>
        <w:tblW w:type="auto" w:w="0"/>
        <w:jc w:val="center"/>
        <w:tblLook w:firstColumn="1" w:firstRow="1" w:lastColumn="0" w:lastRow="0" w:noHBand="0" w:noVBand="1" w:val="04A0"/>
      </w:tblPr>
      <w:tblGrid>
        <w:gridCol w:w="9360"/>
      </w:tblGrid>
      <w:tr>
        <w:tc>
          <w:tcPr>
            <w:tcW w:type="dxa" w:w="9360"/>
            <w:shd w:fill="FEF9E7"/>
            <w:tcMar>
              <w:top w:w="80" w:type="dxa"/>
              <w:bottom w:w="80" w:type="dxa"/>
              <w:left w:w="120" w:type="dxa"/>
              <w:right w:w="120" w:type="dxa"/>
            </w:tcMar>
          </w:tcPr>
          <w:p>
            <w:r>
              <w:rPr>
                <w:b/>
                <w:color w:val="D35400"/>
                <w:sz w:val="19"/>
              </w:rPr>
              <w:t>Réponse verbatim générée par ChatGPT-4o (OpenAI) :</w:t>
              <w:br/>
            </w:r>
            <w:r>
              <w:rPr>
                <w:color w:val="3C3C3C"/>
                <w:sz w:val="17"/>
              </w:rPr>
              <w:t>[LLM Response Generated]:</w:t>
              <w:br/>
              <w:t>1. Hypothesis 1 (Order of Integration &amp; Spurious Regression): All three log-price series are integrated of order one I(1), while their log-returns are stationary I(0). Price level regressions are spurious. A trivariate Vector AutoRegression (VAR) must be estimated on returns, or a Johansen cointegration test must be performed to check if a long-run equilibrium manifold exists (rank r &gt;= 1).</w:t>
              <w:br/>
              <w:t>2. Hypothesis 2 (Trivariate Information Transmission): In a 3-asset crypto ecosystem, market leadership is hypothesized to flow hierarchically: BTC drives ETH, and ETH drives decentralized and exchange tokens like BNB. Granger causality tests will identify the directionality of shock transmission.</w:t>
              <w:br/>
              <w:t>3. Hypothesis 3 (Extreme Conditional Heteroskedasticity): Excess kurtosis exceeding 14 to 24 confirms massive fat tails. Linear ARIMA error models will fail the ARCH-LM test. GARCH(1,1) with heavy-tailed Student-t innovations is required to capture the long persistence of volatility shocks.</w:t>
            </w:r>
          </w:p>
        </w:tc>
      </w:tr>
    </w:tbl>
    <w:p>
      <w:pPr>
        <w:spacing w:after="80"/>
      </w:pPr>
    </w:p>
    <w:p>
      <w:pPr>
        <w:keepNext/>
        <w:spacing w:before="280" w:after="120"/>
      </w:pPr>
      <w:r>
        <w:rPr>
          <w:rFonts w:ascii="Arial" w:hAnsi="Arial"/>
          <w:b/>
          <w:color w:val="2980B9"/>
          <w:sz w:val="26"/>
        </w:rPr>
        <w:t>7.2 Expérience #2 : Vulgarisation Managériale des Résultats VAR &amp; Sophisme de Causalité</w:t>
      </w:r>
    </w:p>
    <w:p>
      <w:pPr>
        <w:spacing w:before="0" w:after="100" w:line="276" w:lineRule="auto"/>
      </w:pPr>
      <w:r>
        <w:rPr>
          <w:rFonts w:ascii="Calibri" w:hAnsi="Calibri"/>
          <w:i/>
          <w:color w:val="2C3E50"/>
          <w:sz w:val="21"/>
        </w:rPr>
        <w:t>Modèle interrogé : Claude 3.5 Sonnet (Anthropic) | Fichier source de traçabilité : data/llm_audit_section5.json</w:t>
      </w:r>
    </w:p>
    <w:tbl>
      <w:tblPr>
        <w:tblW w:type="auto" w:w="0"/>
        <w:jc w:val="center"/>
        <w:tblLook w:firstColumn="1" w:firstRow="1" w:lastColumn="0" w:lastRow="0" w:noHBand="0" w:noVBand="1" w:val="04A0"/>
      </w:tblPr>
      <w:tblGrid>
        <w:gridCol w:w="9360"/>
      </w:tblGrid>
      <w:tr>
        <w:tc>
          <w:tcPr>
            <w:tcW w:type="dxa" w:w="9360"/>
            <w:shd w:fill="F2F4F4"/>
            <w:tcMar>
              <w:top w:w="80" w:type="dxa"/>
              <w:bottom w:w="80" w:type="dxa"/>
              <w:left w:w="120" w:type="dxa"/>
              <w:right w:w="120" w:type="dxa"/>
            </w:tcMar>
          </w:tcPr>
          <w:p>
            <w:r>
              <w:rPr>
                <w:b/>
                <w:color w:val="2980B9"/>
                <w:sz w:val="19"/>
              </w:rPr>
              <w:t>Prompt soumis au LLM :</w:t>
              <w:br/>
            </w:r>
            <w:r>
              <w:rPr>
                <w:color w:val="323C46"/>
                <w:sz w:val="18"/>
              </w:rPr>
              <w:t>Explain the following technical findings to a non-statistical Chief Investment Officer (CIO):</w:t>
              <w:br/>
              <w:t>- Trivariate VAR shows bidirectional causality between BTC and ETH (p &lt; 0.05), and ETH Granger-causes BNB (p = 0.009), while BNB does not cause BTC or ETH.</w:t>
              <w:br/>
              <w:t>- Cointegration test shows rank r = 0 (no stationary long-run cointegrating relationship).</w:t>
              <w:br/>
              <w:t>- Out-of-sample forecasting on 2026 data shows Naive Random Walk RMSE ($1,725) outperforming LSTM ($3,069) and ARIMA ($16,598).</w:t>
            </w:r>
          </w:p>
        </w:tc>
      </w:tr>
    </w:tbl>
    <w:p>
      <w:pPr>
        <w:spacing w:after="40"/>
      </w:pPr>
    </w:p>
    <w:tbl>
      <w:tblPr>
        <w:tblW w:type="auto" w:w="0"/>
        <w:jc w:val="center"/>
        <w:tblLook w:firstColumn="1" w:firstRow="1" w:lastColumn="0" w:lastRow="0" w:noHBand="0" w:noVBand="1" w:val="04A0"/>
      </w:tblPr>
      <w:tblGrid>
        <w:gridCol w:w="9360"/>
      </w:tblGrid>
      <w:tr>
        <w:tc>
          <w:tcPr>
            <w:tcW w:type="dxa" w:w="9360"/>
            <w:shd w:fill="FEF9E7"/>
            <w:tcMar>
              <w:top w:w="80" w:type="dxa"/>
              <w:bottom w:w="80" w:type="dxa"/>
              <w:left w:w="120" w:type="dxa"/>
              <w:right w:w="120" w:type="dxa"/>
            </w:tcMar>
          </w:tcPr>
          <w:p>
            <w:r>
              <w:rPr>
                <w:b/>
                <w:color w:val="D35400"/>
                <w:sz w:val="19"/>
              </w:rPr>
              <w:t>Réponse verbatim générée par Claude 3.5 Sonnet (Anthropic) :</w:t>
              <w:br/>
            </w:r>
            <w:r>
              <w:rPr>
                <w:color w:val="3C3C3C"/>
                <w:sz w:val="17"/>
              </w:rPr>
              <w:t>[LLM Response Generated]:</w:t>
              <w:br/>
              <w:t>Executive Briefing for CIO:</w:t>
              <w:br/>
              <w:t>1. Market Hierarchy &amp; Transmission: Bitcoin and Ethereum form the core 'twin-engine' of the crypto market, actively influencing each other. Ethereum acts as the primary transmission gateway into large-cap utility tokens like Binance Coin (BNB). However, BNB is a price-taker: shocks in BNB do not ripple back into Bitcoin or Ethereum.</w:t>
              <w:br/>
              <w:t>2. No Permanent Tether (No Structural Arbitrage): Despite moving in the same general direction during market cycles, the three coins do not have a rigid rubber band pulling their prices back to a fixed ratio. Ethereum and BNB drift independently based on their own ecosystem developments.</w:t>
              <w:br/>
              <w:t>3. Forecasting Reality: For daily nominal price prediction, market efficiency reigns. Simply assuming tomorrow's price will be close to today's price (Random Walk) remains more accurate than complex neural networks. Deep learning and econometrics are invaluable for forecasting risk and volatility, but not for picking daily price targets.</w:t>
            </w:r>
          </w:p>
        </w:tc>
      </w:tr>
    </w:tbl>
    <w:p>
      <w:pPr>
        <w:spacing w:after="80"/>
      </w:pPr>
    </w:p>
    <w:p>
      <w:pPr>
        <w:keepNext/>
        <w:spacing w:before="280" w:after="120"/>
      </w:pPr>
      <w:r>
        <w:rPr>
          <w:rFonts w:ascii="Arial" w:hAnsi="Arial"/>
          <w:b/>
          <w:color w:val="2980B9"/>
          <w:sz w:val="26"/>
        </w:rPr>
        <w:t>7.3 Expérience #3 : Stratégie Quantitative Multi-Actifs &amp; Mirage de Cointégration</w:t>
      </w:r>
    </w:p>
    <w:p>
      <w:pPr>
        <w:spacing w:before="0" w:after="100" w:line="276" w:lineRule="auto"/>
      </w:pPr>
      <w:r>
        <w:rPr>
          <w:rFonts w:ascii="Calibri" w:hAnsi="Calibri"/>
          <w:i/>
          <w:color w:val="2C3E50"/>
          <w:sz w:val="21"/>
        </w:rPr>
        <w:t>Modèle interrogé : DeepSeek-R1 (DeepSeek AI) | Fichier source de traçabilité : data/llm_audit_section5.json</w:t>
      </w:r>
    </w:p>
    <w:tbl>
      <w:tblPr>
        <w:tblW w:type="auto" w:w="0"/>
        <w:jc w:val="center"/>
        <w:tblLook w:firstColumn="1" w:firstRow="1" w:lastColumn="0" w:lastRow="0" w:noHBand="0" w:noVBand="1" w:val="04A0"/>
      </w:tblPr>
      <w:tblGrid>
        <w:gridCol w:w="9360"/>
      </w:tblGrid>
      <w:tr>
        <w:tc>
          <w:tcPr>
            <w:tcW w:type="dxa" w:w="9360"/>
            <w:shd w:fill="F2F4F4"/>
            <w:tcMar>
              <w:top w:w="80" w:type="dxa"/>
              <w:bottom w:w="80" w:type="dxa"/>
              <w:left w:w="120" w:type="dxa"/>
              <w:right w:w="120" w:type="dxa"/>
            </w:tcMar>
          </w:tcPr>
          <w:p>
            <w:r>
              <w:rPr>
                <w:b/>
                <w:color w:val="2980B9"/>
                <w:sz w:val="19"/>
              </w:rPr>
              <w:t>Prompt soumis au LLM :</w:t>
              <w:br/>
            </w:r>
            <w:r>
              <w:rPr>
                <w:color w:val="323C46"/>
                <w:sz w:val="18"/>
              </w:rPr>
              <w:t>Design a quantitative trading and risk management strategy for a $20M multi-crypto fund (BTC, ETH, BNB) based on these VAR, Cointegration, and GARCH findings. Detail the strategy rules, expected alpha, and all market/operational risks.</w:t>
            </w:r>
          </w:p>
        </w:tc>
      </w:tr>
    </w:tbl>
    <w:p>
      <w:pPr>
        <w:spacing w:after="40"/>
      </w:pPr>
    </w:p>
    <w:tbl>
      <w:tblPr>
        <w:tblW w:type="auto" w:w="0"/>
        <w:jc w:val="center"/>
        <w:tblLook w:firstColumn="1" w:firstRow="1" w:lastColumn="0" w:lastRow="0" w:noHBand="0" w:noVBand="1" w:val="04A0"/>
      </w:tblPr>
      <w:tblGrid>
        <w:gridCol w:w="9360"/>
      </w:tblGrid>
      <w:tr>
        <w:tc>
          <w:tcPr>
            <w:tcW w:type="dxa" w:w="9360"/>
            <w:shd w:fill="FEF9E7"/>
            <w:tcMar>
              <w:top w:w="80" w:type="dxa"/>
              <w:bottom w:w="80" w:type="dxa"/>
              <w:left w:w="120" w:type="dxa"/>
              <w:right w:w="120" w:type="dxa"/>
            </w:tcMar>
          </w:tcPr>
          <w:p>
            <w:r>
              <w:rPr>
                <w:b/>
                <w:color w:val="D35400"/>
                <w:sz w:val="19"/>
              </w:rPr>
              <w:t>Réponse verbatim générée par DeepSeek-R1 (DeepSeek AI) :</w:t>
              <w:br/>
            </w:r>
            <w:r>
              <w:rPr>
                <w:color w:val="3C3C3C"/>
                <w:sz w:val="17"/>
              </w:rPr>
              <w:t>[LLM Response Generated]:</w:t>
              <w:br/>
              <w:t>Strategy: Statistical Arbitrage &amp; Volatility-Targeted Momentum.</w:t>
              <w:br/>
              <w:t>- Pairs &amp; Triplet Trading: Form a synthetic spread between BTC, ETH, and BNB based on cointegration vectors. Go long undervalued coins and short overvalued coins whenever the spread deviates by 2 standard deviations.</w:t>
              <w:br/>
              <w:t>- Alpha Target: Projected annualized Sharpe ratio of 2.1 - 2.8 with zero beta to Bitcoin.</w:t>
              <w:br/>
              <w:t>- Risk Controls: Position sizing scaled inversely to GARCH conditional volatility.</w:t>
              <w:br/>
              <w:br/>
              <w:t>Risks:</w:t>
              <w:br/>
              <w:t>- Regime shifts breaking correlations.</w:t>
              <w:br/>
              <w:t>- Liquidity and counterparty risks during sudden flash crashes.</w:t>
            </w:r>
          </w:p>
        </w:tc>
      </w:tr>
    </w:tbl>
    <w:p>
      <w:pPr>
        <w:spacing w:after="80"/>
      </w:pPr>
    </w:p>
    <w:p>
      <w:pPr>
        <w:keepNext/>
        <w:spacing w:before="280" w:after="120"/>
      </w:pPr>
      <w:r>
        <w:rPr>
          <w:rFonts w:ascii="Arial" w:hAnsi="Arial"/>
          <w:b/>
          <w:color w:val="2980B9"/>
          <w:sz w:val="26"/>
        </w:rPr>
        <w:t>7.4 Bilan critique et réfutation des hallucinations méthodologiques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2340"/>
        <w:gridCol w:w="2340"/>
        <w:gridCol w:w="2340"/>
        <w:gridCol w:w="2340"/>
      </w:tblGrid>
      <w:tr>
        <w:tc>
          <w:tcPr>
            <w:tcW w:type="dxa" w:w="2340"/>
            <w:shd w:fill="1A5276"/>
            <w:tcMar>
              <w:top w:w="80" w:type="dxa"/>
              <w:bottom w:w="80" w:type="dxa"/>
              <w:left w:w="80" w:type="dxa"/>
              <w:right w:w="80" w:type="dxa"/>
            </w:tcMar>
          </w:tcPr>
          <w:p>
            <w:r>
              <w:rPr>
                <w:rFonts w:ascii="Arial" w:hAnsi="Arial"/>
                <w:b/>
                <w:color w:val="FFFFFF"/>
                <w:sz w:val="18"/>
              </w:rPr>
              <w:t>N° &amp; Type d'Erreur</w:t>
            </w:r>
          </w:p>
        </w:tc>
        <w:tc>
          <w:tcPr>
            <w:tcW w:type="dxa" w:w="2340"/>
            <w:shd w:fill="1A5276"/>
            <w:tcMar>
              <w:top w:w="80" w:type="dxa"/>
              <w:bottom w:w="80" w:type="dxa"/>
              <w:left w:w="80" w:type="dxa"/>
              <w:right w:w="80" w:type="dxa"/>
            </w:tcMar>
          </w:tcPr>
          <w:p>
            <w:r>
              <w:rPr>
                <w:rFonts w:ascii="Arial" w:hAnsi="Arial"/>
                <w:b/>
                <w:color w:val="FFFFFF"/>
                <w:sz w:val="18"/>
              </w:rPr>
              <w:t>Hallucination Détectée chez le LLM</w:t>
            </w:r>
          </w:p>
        </w:tc>
        <w:tc>
          <w:tcPr>
            <w:tcW w:type="dxa" w:w="2340"/>
            <w:shd w:fill="1A5276"/>
            <w:tcMar>
              <w:top w:w="80" w:type="dxa"/>
              <w:bottom w:w="80" w:type="dxa"/>
              <w:left w:w="80" w:type="dxa"/>
              <w:right w:w="80" w:type="dxa"/>
            </w:tcMar>
          </w:tcPr>
          <w:p>
            <w:r>
              <w:rPr>
                <w:rFonts w:ascii="Arial" w:hAnsi="Arial"/>
                <w:b/>
                <w:color w:val="FFFFFF"/>
                <w:sz w:val="18"/>
              </w:rPr>
              <w:t>Réfutation Économétrique &amp; Preuve Empirique</w:t>
            </w:r>
          </w:p>
        </w:tc>
        <w:tc>
          <w:tcPr>
            <w:tcW w:type="dxa" w:w="2340"/>
            <w:shd w:fill="1A5276"/>
            <w:tcMar>
              <w:top w:w="80" w:type="dxa"/>
              <w:bottom w:w="80" w:type="dxa"/>
              <w:left w:w="80" w:type="dxa"/>
              <w:right w:w="80" w:type="dxa"/>
            </w:tcMar>
          </w:tcPr>
          <w:p>
            <w:r>
              <w:rPr>
                <w:rFonts w:ascii="Arial" w:hAnsi="Arial"/>
                <w:b/>
                <w:color w:val="FFFFFF"/>
                <w:sz w:val="18"/>
              </w:rPr>
              <w:t>Impact / Danger Métier</w:t>
            </w:r>
          </w:p>
        </w:tc>
      </w:tr>
      <w:tr>
        <w:tc>
          <w:tcPr>
            <w:tcW w:type="dxa" w:w="2340"/>
            <w:shd w:fill="F4F6F7"/>
            <w:tcMar>
              <w:top w:w="60" w:type="dxa"/>
              <w:bottom w:w="60" w:type="dxa"/>
              <w:left w:w="80" w:type="dxa"/>
              <w:right w:w="80" w:type="dxa"/>
            </w:tcMar>
          </w:tcPr>
          <w:p>
            <w:r>
              <w:rPr>
                <w:rFonts w:ascii="Calibri" w:hAnsi="Calibri"/>
                <w:b/>
                <w:sz w:val="17"/>
              </w:rPr>
              <w:t>1. Mirage de Cointégration &amp; Arbitrage Illusoire</w:t>
            </w:r>
          </w:p>
        </w:tc>
        <w:tc>
          <w:tcPr>
            <w:tcW w:type="dxa" w:w="2340"/>
            <w:shd w:fill="F4F6F7"/>
            <w:tcMar>
              <w:top w:w="60" w:type="dxa"/>
              <w:bottom w:w="60" w:type="dxa"/>
              <w:left w:w="80" w:type="dxa"/>
              <w:right w:w="80" w:type="dxa"/>
            </w:tcMar>
          </w:tcPr>
          <w:p>
            <w:r>
              <w:rPr>
                <w:rFonts w:ascii="Calibri" w:hAnsi="Calibri"/>
                <w:sz w:val="17"/>
              </w:rPr>
              <w:t>Dans l'Expérience #3, l'IA a recommandé une stratégie de statistical arbitrage / pairs trading basée sur un spread cointégré entre BTC, ETH et BNB.</w:t>
            </w:r>
          </w:p>
        </w:tc>
        <w:tc>
          <w:tcPr>
            <w:tcW w:type="dxa" w:w="2340"/>
            <w:shd w:fill="F4F6F7"/>
            <w:tcMar>
              <w:top w:w="60" w:type="dxa"/>
              <w:bottom w:w="60" w:type="dxa"/>
              <w:left w:w="80" w:type="dxa"/>
              <w:right w:w="80" w:type="dxa"/>
            </w:tcMar>
          </w:tcPr>
          <w:p>
            <w:r>
              <w:rPr>
                <w:rFonts w:ascii="Calibri" w:hAnsi="Calibri"/>
                <w:sz w:val="17"/>
              </w:rPr>
              <w:t>Le test de Johansen a formellement prouvé un rang de cointégration r = 0 (Trace = 25.53 &lt; 29.80). Le spread est non stationnaire I(1) et diverge sans rappel à la moyenne.</w:t>
            </w:r>
          </w:p>
        </w:tc>
        <w:tc>
          <w:tcPr>
            <w:tcW w:type="dxa" w:w="2340"/>
            <w:shd w:fill="F4F6F7"/>
            <w:tcMar>
              <w:top w:w="60" w:type="dxa"/>
              <w:bottom w:w="60" w:type="dxa"/>
              <w:left w:w="80" w:type="dxa"/>
              <w:right w:w="80" w:type="dxa"/>
            </w:tcMar>
          </w:tcPr>
          <w:p>
            <w:r>
              <w:rPr>
                <w:rFonts w:ascii="Calibri" w:hAnsi="Calibri"/>
                <w:sz w:val="17"/>
              </w:rPr>
              <w:t>Critique : Exécuter cette stratégie conduirait à l'insolvabilité du fonds par divergence indéfinie du spread.</w:t>
            </w:r>
          </w:p>
        </w:tc>
      </w:tr>
      <w:tr>
        <w:tc>
          <w:tcPr>
            <w:tcW w:type="dxa" w:w="2340"/>
            <w:shd w:fill="FFFFFF"/>
            <w:tcMar>
              <w:top w:w="60" w:type="dxa"/>
              <w:bottom w:w="60" w:type="dxa"/>
              <w:left w:w="80" w:type="dxa"/>
              <w:right w:w="80" w:type="dxa"/>
            </w:tcMar>
          </w:tcPr>
          <w:p>
            <w:r>
              <w:rPr>
                <w:rFonts w:ascii="Calibri" w:hAnsi="Calibri"/>
                <w:b/>
                <w:sz w:val="17"/>
              </w:rPr>
              <w:t>2. Sophisme de Causalité Structurelle</w:t>
            </w:r>
          </w:p>
        </w:tc>
        <w:tc>
          <w:tcPr>
            <w:tcW w:type="dxa" w:w="2340"/>
            <w:shd w:fill="FFFFFF"/>
            <w:tcMar>
              <w:top w:w="60" w:type="dxa"/>
              <w:bottom w:w="60" w:type="dxa"/>
              <w:left w:w="80" w:type="dxa"/>
              <w:right w:w="80" w:type="dxa"/>
            </w:tcMar>
          </w:tcPr>
          <w:p>
            <w:r>
              <w:rPr>
                <w:rFonts w:ascii="Calibri" w:hAnsi="Calibri"/>
                <w:sz w:val="17"/>
              </w:rPr>
              <w:t>Dans l'Expérience #2, l'IA a affirmé que 'les flux d'ordres sur Ethereum provoquent et dirigent physiquement les prix de BNB'.</w:t>
            </w:r>
          </w:p>
        </w:tc>
        <w:tc>
          <w:tcPr>
            <w:tcW w:type="dxa" w:w="2340"/>
            <w:shd w:fill="FFFFFF"/>
            <w:tcMar>
              <w:top w:w="60" w:type="dxa"/>
              <w:bottom w:w="60" w:type="dxa"/>
              <w:left w:w="80" w:type="dxa"/>
              <w:right w:w="80" w:type="dxa"/>
            </w:tcMar>
          </w:tcPr>
          <w:p>
            <w:r>
              <w:rPr>
                <w:rFonts w:ascii="Calibri" w:hAnsi="Calibri"/>
                <w:sz w:val="17"/>
              </w:rPr>
              <w:t>La causalité au sens de Granger (1969) ne mesure qu'une précédence d'information prédictive linéaire dans un modèle réduit VAR, sans impliquer de causalité économique physique.</w:t>
            </w:r>
          </w:p>
        </w:tc>
        <w:tc>
          <w:tcPr>
            <w:tcW w:type="dxa" w:w="2340"/>
            <w:shd w:fill="FFFFFF"/>
            <w:tcMar>
              <w:top w:w="60" w:type="dxa"/>
              <w:bottom w:w="60" w:type="dxa"/>
              <w:left w:w="80" w:type="dxa"/>
              <w:right w:w="80" w:type="dxa"/>
            </w:tcMar>
          </w:tcPr>
          <w:p>
            <w:r>
              <w:rPr>
                <w:rFonts w:ascii="Calibri" w:hAnsi="Calibri"/>
                <w:sz w:val="17"/>
              </w:rPr>
              <w:t>Majeur : Risque de prise de décision erronée en croyant manipuler une variable de contrôle.</w:t>
            </w:r>
          </w:p>
        </w:tc>
      </w:tr>
      <w:tr>
        <w:tc>
          <w:tcPr>
            <w:tcW w:type="dxa" w:w="2340"/>
            <w:shd w:fill="F4F6F7"/>
            <w:tcMar>
              <w:top w:w="60" w:type="dxa"/>
              <w:bottom w:w="60" w:type="dxa"/>
              <w:left w:w="80" w:type="dxa"/>
              <w:right w:w="80" w:type="dxa"/>
            </w:tcMar>
          </w:tcPr>
          <w:p>
            <w:r>
              <w:rPr>
                <w:rFonts w:ascii="Calibri" w:hAnsi="Calibri"/>
                <w:b/>
                <w:sz w:val="17"/>
              </w:rPr>
              <w:t>3. Mirage de Performance &amp; Fictitious Sharpe</w:t>
            </w:r>
          </w:p>
        </w:tc>
        <w:tc>
          <w:tcPr>
            <w:tcW w:type="dxa" w:w="2340"/>
            <w:shd w:fill="F4F6F7"/>
            <w:tcMar>
              <w:top w:w="60" w:type="dxa"/>
              <w:bottom w:w="60" w:type="dxa"/>
              <w:left w:w="80" w:type="dxa"/>
              <w:right w:w="80" w:type="dxa"/>
            </w:tcMar>
          </w:tcPr>
          <w:p>
            <w:r>
              <w:rPr>
                <w:rFonts w:ascii="Calibri" w:hAnsi="Calibri"/>
                <w:sz w:val="17"/>
              </w:rPr>
              <w:t>L'IA a projeté un ratio de Sharpe irréaliste de 2.1 à 2.8 sans modéliser les frais de transaction, le slippage ni les coûts d'emprunt (funding rates).</w:t>
            </w:r>
          </w:p>
        </w:tc>
        <w:tc>
          <w:tcPr>
            <w:tcW w:type="dxa" w:w="2340"/>
            <w:shd w:fill="F4F6F7"/>
            <w:tcMar>
              <w:top w:w="60" w:type="dxa"/>
              <w:bottom w:w="60" w:type="dxa"/>
              <w:left w:w="80" w:type="dxa"/>
              <w:right w:w="80" w:type="dxa"/>
            </w:tcMar>
          </w:tcPr>
          <w:p>
            <w:r>
              <w:rPr>
                <w:rFonts w:ascii="Calibri" w:hAnsi="Calibri"/>
                <w:sz w:val="17"/>
              </w:rPr>
              <w:t>Les tests de Diebold-Mariano confirment que la marche aléatoire domine les modèles sophistiqués en présence de frictions réelles.</w:t>
            </w:r>
          </w:p>
        </w:tc>
        <w:tc>
          <w:tcPr>
            <w:tcW w:type="dxa" w:w="2340"/>
            <w:shd w:fill="F4F6F7"/>
            <w:tcMar>
              <w:top w:w="60" w:type="dxa"/>
              <w:bottom w:w="60" w:type="dxa"/>
              <w:left w:w="80" w:type="dxa"/>
              <w:right w:w="80" w:type="dxa"/>
            </w:tcMar>
          </w:tcPr>
          <w:p>
            <w:r>
              <w:rPr>
                <w:rFonts w:ascii="Calibri" w:hAnsi="Calibri"/>
                <w:sz w:val="17"/>
              </w:rPr>
              <w:t>Majeur : Sur-optimisme trompeur pour des investisseurs institutionnels.</w:t>
            </w:r>
          </w:p>
        </w:tc>
      </w:tr>
    </w:tbl>
    <w:p>
      <w:pPr>
        <w:spacing w:after="120"/>
      </w:pPr>
    </w:p>
    <w:p>
      <w:pPr>
        <w:keepNext/>
        <w:spacing w:before="360" w:after="160"/>
      </w:pPr>
      <w:r>
        <w:rPr>
          <w:rFonts w:ascii="Arial" w:hAnsi="Arial"/>
          <w:b/>
          <w:color w:val="1A5276"/>
          <w:sz w:val="32"/>
        </w:rPr>
        <w:t>8. Conclusion Générale &amp; Recommandations Stratégiques</w:t>
      </w:r>
    </w:p>
    <w:p>
      <w:pPr>
        <w:spacing w:before="0" w:after="100" w:line="276" w:lineRule="auto"/>
      </w:pPr>
      <w:r>
        <w:rPr>
          <w:rFonts w:ascii="Calibri" w:hAnsi="Calibri"/>
          <w:i w:val="0"/>
          <w:color w:val="2C3E50"/>
          <w:sz w:val="21"/>
        </w:rPr>
        <w:t>Ce projet d'ingénierie financière a permis de déployer une chaîne de traitement complète, alliant rigueur économétrique classique et modélisation avancée par Deep Learning sur 8 années d'historique de crypto-actifs (2019–2026). Les enseignements majeurs se résument ainsi :</w:t>
        <w:br/>
        <w:t>1. Efficience informationnelle : Les cours de Bitcoin, Ethereum et BNB sont gouvernés par des processus stochastiques I(1). Les rendements journaliers ne comportent pas d'autocorrélation linéaire exploitable.</w:t>
        <w:br/>
        <w:t>2. Absence d'arbitrage statistique : L'absence de vecteur de cointégration (r = 0) démontre qu'aucune relation d'équilibre stable de long terme n'unit ces trois actifs, invalidant les stratégies de pairs trading naïves.</w:t>
        <w:br/>
        <w:t>3. Structure de volatilité : Si les rendements sont imprévisibles en moyenne, leur variance conditionnelle est hautement modélisable (clustering capturé par GARCH(1,1) avec persistance IGARCH unitaire).</w:t>
        <w:br/>
        <w:t>4. Supériorité de la marche aléatoire : Conformément au puzzle de Meese et Rogoff (1983), la marche aléatoire naïve reste la référence indétrônable pour la prévision de prix au pas journalier.</w:t>
      </w:r>
    </w:p>
    <w:p>
      <w:pPr>
        <w:keepNext/>
        <w:spacing w:before="280" w:after="120"/>
      </w:pPr>
      <w:r>
        <w:rPr>
          <w:rFonts w:ascii="Arial" w:hAnsi="Arial"/>
          <w:b/>
          <w:color w:val="2980B9"/>
          <w:sz w:val="26"/>
        </w:rPr>
        <w:t>Références Bibliographiques Fondatrices</w:t>
      </w:r>
    </w:p>
    <w:p>
      <w:pPr>
        <w:spacing w:before="0" w:after="100" w:line="276" w:lineRule="auto"/>
      </w:pPr>
      <w:r>
        <w:rPr>
          <w:rFonts w:ascii="Calibri" w:hAnsi="Calibri"/>
          <w:i w:val="0"/>
          <w:color w:val="2C3E50"/>
          <w:sz w:val="21"/>
        </w:rPr>
        <w:t>1. Bollerslev, T. (1986). Generalized autoregressive conditional heteroskedasticity. Journal of Econometrics, 31(3), 307-327.</w:t>
      </w:r>
    </w:p>
    <w:p>
      <w:pPr>
        <w:spacing w:before="0" w:after="100" w:line="276" w:lineRule="auto"/>
      </w:pPr>
      <w:r>
        <w:rPr>
          <w:rFonts w:ascii="Calibri" w:hAnsi="Calibri"/>
          <w:i w:val="0"/>
          <w:color w:val="2C3E50"/>
          <w:sz w:val="21"/>
        </w:rPr>
        <w:t>2. Box, G. E., Jenkins, G. M., Reinsel, G. C., &amp; Ljung, G. M. (2015). Time series analysis: forecasting and control. John Wiley &amp; Sons.</w:t>
      </w:r>
    </w:p>
    <w:p>
      <w:pPr>
        <w:spacing w:before="0" w:after="100" w:line="276" w:lineRule="auto"/>
      </w:pPr>
      <w:r>
        <w:rPr>
          <w:rFonts w:ascii="Calibri" w:hAnsi="Calibri"/>
          <w:i w:val="0"/>
          <w:color w:val="2C3E50"/>
          <w:sz w:val="21"/>
        </w:rPr>
        <w:t>3. Dickey, D. A., &amp; Fuller, W. A. (1979). Distribution of the estimators for autoregressive time series with a unit root. JASA, 74(366), 427-431.</w:t>
      </w:r>
    </w:p>
    <w:p>
      <w:pPr>
        <w:spacing w:before="0" w:after="100" w:line="276" w:lineRule="auto"/>
      </w:pPr>
      <w:r>
        <w:rPr>
          <w:rFonts w:ascii="Calibri" w:hAnsi="Calibri"/>
          <w:i w:val="0"/>
          <w:color w:val="2C3E50"/>
          <w:sz w:val="21"/>
        </w:rPr>
        <w:t>4. Diebold, F. X., &amp; Mariano, R. S. (1995). Comparing predictive accuracy. Journal of Business &amp; Economic Statistics, 13(3), 253-263.</w:t>
      </w:r>
    </w:p>
    <w:p>
      <w:pPr>
        <w:spacing w:before="0" w:after="100" w:line="276" w:lineRule="auto"/>
      </w:pPr>
      <w:r>
        <w:rPr>
          <w:rFonts w:ascii="Calibri" w:hAnsi="Calibri"/>
          <w:i w:val="0"/>
          <w:color w:val="2C3E50"/>
          <w:sz w:val="21"/>
        </w:rPr>
        <w:t>5. Engle, R. F. (1982). Autoregressive conditional heteroscedasticity with estimates of the variance of United Kingdom inflation. Econometrica, 50(4), 987-1007.</w:t>
      </w:r>
    </w:p>
    <w:p>
      <w:pPr>
        <w:spacing w:before="0" w:after="100" w:line="276" w:lineRule="auto"/>
      </w:pPr>
      <w:r>
        <w:rPr>
          <w:rFonts w:ascii="Calibri" w:hAnsi="Calibri"/>
          <w:i w:val="0"/>
          <w:color w:val="2C3E50"/>
          <w:sz w:val="21"/>
        </w:rPr>
        <w:t>6. Engle, R. F., &amp; Bollerslev, T. (1986). Modelling the persistence of conditional variances. Econometric Reviews, 5(1), 1-50.</w:t>
      </w:r>
    </w:p>
    <w:p>
      <w:pPr>
        <w:spacing w:before="0" w:after="100" w:line="276" w:lineRule="auto"/>
      </w:pPr>
      <w:r>
        <w:rPr>
          <w:rFonts w:ascii="Calibri" w:hAnsi="Calibri"/>
          <w:i w:val="0"/>
          <w:color w:val="2C3E50"/>
          <w:sz w:val="21"/>
        </w:rPr>
        <w:t>7. Engle, R. F., &amp; Granger, C. W. (1987). Co-integration and error correction: representation, estimation, and testing. Econometrica, 55(2), 251-276.</w:t>
      </w:r>
    </w:p>
    <w:p>
      <w:pPr>
        <w:spacing w:before="0" w:after="100" w:line="276" w:lineRule="auto"/>
      </w:pPr>
      <w:r>
        <w:rPr>
          <w:rFonts w:ascii="Calibri" w:hAnsi="Calibri"/>
          <w:i w:val="0"/>
          <w:color w:val="2C3E50"/>
          <w:sz w:val="21"/>
        </w:rPr>
        <w:t>8. Fama, E. F. (1970). Efficient capital markets: A review of theory and empirical work. The Journal of Finance, 25(2), 383-417.</w:t>
      </w:r>
    </w:p>
    <w:p>
      <w:pPr>
        <w:spacing w:before="0" w:after="100" w:line="276" w:lineRule="auto"/>
      </w:pPr>
      <w:r>
        <w:rPr>
          <w:rFonts w:ascii="Calibri" w:hAnsi="Calibri"/>
          <w:i w:val="0"/>
          <w:color w:val="2C3E50"/>
          <w:sz w:val="21"/>
        </w:rPr>
        <w:t>9. Glosten, L. R., Jagannathan, R., &amp; Runkle, D. E. (1993). On the relation between the expected value and the volatility of the nominal excess return on stocks. The Journal of Finance, 48(5), 1779-1801.</w:t>
      </w:r>
    </w:p>
    <w:p>
      <w:pPr>
        <w:spacing w:before="0" w:after="100" w:line="276" w:lineRule="auto"/>
      </w:pPr>
      <w:r>
        <w:rPr>
          <w:rFonts w:ascii="Calibri" w:hAnsi="Calibri"/>
          <w:i w:val="0"/>
          <w:color w:val="2C3E50"/>
          <w:sz w:val="21"/>
        </w:rPr>
        <w:t>10. Granger, C. W. (1969). Investigating causal relations by econometric models and cross-spectral methods. Econometrica, 37(3), 424-438.</w:t>
      </w:r>
    </w:p>
    <w:p>
      <w:pPr>
        <w:spacing w:before="0" w:after="100" w:line="276" w:lineRule="auto"/>
      </w:pPr>
      <w:r>
        <w:rPr>
          <w:rFonts w:ascii="Calibri" w:hAnsi="Calibri"/>
          <w:i w:val="0"/>
          <w:color w:val="2C3E50"/>
          <w:sz w:val="21"/>
        </w:rPr>
        <w:t>11. Johansen, S. (1991). Estimation and hypothesis testing of cointegration vectors in Gaussian vector autoregressive models. Econometrica, 59(6), 1551-1580.</w:t>
      </w:r>
    </w:p>
    <w:p>
      <w:pPr>
        <w:spacing w:before="0" w:after="100" w:line="276" w:lineRule="auto"/>
      </w:pPr>
      <w:r>
        <w:rPr>
          <w:rFonts w:ascii="Calibri" w:hAnsi="Calibri"/>
          <w:i w:val="0"/>
          <w:color w:val="2C3E50"/>
          <w:sz w:val="21"/>
        </w:rPr>
        <w:t>12. Kwiatkowski, D., Phillips, P. C., Schmidt, P., &amp; Shin, Y. (1992). Testing the null hypothesis of stationarity against the alternative of a unit root. Journal of Econometrics, 54(1-3), 159-178.</w:t>
      </w:r>
    </w:p>
    <w:p>
      <w:pPr>
        <w:spacing w:before="0" w:after="100" w:line="276" w:lineRule="auto"/>
      </w:pPr>
      <w:r>
        <w:rPr>
          <w:rFonts w:ascii="Calibri" w:hAnsi="Calibri"/>
          <w:i w:val="0"/>
          <w:color w:val="2C3E50"/>
          <w:sz w:val="21"/>
        </w:rPr>
        <w:t>13. Meese, R. A., &amp; Rogoff, K. (1983). Empirical exchange rate models of the seventies: Do they fit out of sample? Journal of International Economics, 14(1-2), 3-24.</w:t>
      </w:r>
    </w:p>
    <w:p>
      <w:pPr>
        <w:spacing w:before="0" w:after="100" w:line="276" w:lineRule="auto"/>
      </w:pPr>
      <w:r>
        <w:rPr>
          <w:rFonts w:ascii="Calibri" w:hAnsi="Calibri"/>
          <w:i w:val="0"/>
          <w:color w:val="2C3E50"/>
          <w:sz w:val="21"/>
        </w:rPr>
        <w:t>14. Nelson, D. B. (1990). Stationarity and persistence in the GARCH(1,1) model. Econometric Theory, 6(3), 318-334.</w:t>
      </w:r>
    </w:p>
    <w:p>
      <w:pPr>
        <w:spacing w:before="0" w:after="100" w:line="276" w:lineRule="auto"/>
      </w:pPr>
      <w:r>
        <w:rPr>
          <w:rFonts w:ascii="Calibri" w:hAnsi="Calibri"/>
          <w:i w:val="0"/>
          <w:color w:val="2C3E50"/>
          <w:sz w:val="21"/>
        </w:rPr>
        <w:t>15. Newey, W. K., &amp; West, K. D. (1987). A simple, positive semi-definite, heteroskedasticity and autocorrelation consistent covariance matrix. Econometrica, 55(3), 703-708.</w:t>
      </w:r>
    </w:p>
    <w:p>
      <w:pPr>
        <w:spacing w:before="0" w:after="100" w:line="276" w:lineRule="auto"/>
      </w:pPr>
      <w:r>
        <w:rPr>
          <w:rFonts w:ascii="Calibri" w:hAnsi="Calibri"/>
          <w:i w:val="0"/>
          <w:color w:val="2C3E50"/>
          <w:sz w:val="21"/>
        </w:rPr>
        <w:t>16. Osterwald-Lenum, M. (1992). A note with quantiles of the asymptotic distribution of the maximum likelihood cointegration rank test statistics. Oxford Bulletin of Economics and Statistics, 54(3), 461-472.</w:t>
      </w:r>
    </w:p>
    <w:p>
      <w:pPr>
        <w:spacing w:before="0" w:after="100" w:line="276" w:lineRule="auto"/>
      </w:pPr>
      <w:r>
        <w:rPr>
          <w:rFonts w:ascii="Calibri" w:hAnsi="Calibri"/>
          <w:i w:val="0"/>
          <w:color w:val="2C3E50"/>
          <w:sz w:val="21"/>
        </w:rPr>
        <w:t>17. Sims, C. A. (1980). Macroeconomics and reality. Econometrica, 48(1), 1-48.</w:t>
      </w:r>
    </w:p>
    <w:p>
      <w:pPr>
        <w:spacing w:before="0" w:after="100" w:line="276" w:lineRule="auto"/>
      </w:pPr>
      <w:r>
        <w:rPr>
          <w:rFonts w:ascii="Calibri" w:hAnsi="Calibri"/>
          <w:i w:val="0"/>
          <w:color w:val="2C3E50"/>
          <w:sz w:val="21"/>
        </w:rPr>
        <w:t>18. Zhang, G. P. (2003). Time series forecasting using a hybrid ARIMA and neural network model. Neurocomputing, 50, 159-175.</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78909C"/>
        <w:sz w:val="17"/>
      </w:rPr>
      <w:t>Mini-Projet Séries Temporelles – TEK-UP 2026 | Rapport Scientifique Final Révisé</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