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pPr>
      <w:r>
        <w:rPr>
          <w:b/>
          <w:bCs/>
          <w:color w:val="1F3864"/>
          <w:sz w:val="52"/>
          <w:szCs w:val="52"/>
        </w:rPr>
        <w:t xml:space="preserve">Sentinel Agent Fabric</w:t>
      </w:r>
    </w:p>
    <w:p>
      <w:pPr>
        <w:spacing w:after="40"/>
      </w:pPr>
      <w:r>
        <w:rPr>
          <w:color w:val="2E75B6"/>
          <w:sz w:val="30"/>
          <w:szCs w:val="30"/>
        </w:rPr>
        <w:t xml:space="preserve">Production Readiness Review — v1.0.0</w:t>
      </w:r>
    </w:p>
    <w:p>
      <w:pPr>
        <w:pBdr>
          <w:bottom w:val="single" w:color="2E75B6" w:sz="6" w:space="4"/>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vAlign w:val="center"/>
          </w:tcPr>
          <w:p>
            <w:pPr>
              <w:spacing w:after="0"/>
            </w:pPr>
            <w:r>
              <w:rPr>
                <w:b/>
                <w:bCs/>
                <w:color w:val="FFFFFF"/>
                <w:sz w:val="18"/>
                <w:szCs w:val="18"/>
              </w:rPr>
              <w:t xml:space="preserve">Field</w:t>
            </w:r>
          </w:p>
        </w:tc>
        <w:tc>
          <w:tcPr>
            <w:tcW w:type="dxa" w:w="676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vAlign w:val="center"/>
          </w:tcPr>
          <w:p>
            <w:pPr>
              <w:spacing w:after="0"/>
            </w:pPr>
            <w:r>
              <w:rPr>
                <w:b/>
                <w:bCs/>
                <w:color w:val="FFFFFF"/>
                <w:sz w:val="18"/>
                <w:szCs w:val="18"/>
              </w:rPr>
              <w:t xml:space="preserve">Detail</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val="false"/>
                <w:bCs w:val="false"/>
                <w:sz w:val="17"/>
                <w:szCs w:val="17"/>
              </w:rPr>
              <w:t xml:space="preserve">Reviewed lineage</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val="false"/>
                <w:bCs w:val="false"/>
                <w:sz w:val="17"/>
                <w:szCs w:val="17"/>
              </w:rPr>
              <w:t xml:space="preserve">v0.3.0 (original package) → consolidated release v1.0.0</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val="false"/>
                <w:bCs w:val="false"/>
                <w:sz w:val="17"/>
                <w:szCs w:val="17"/>
              </w:rPr>
              <w:t xml:space="preserve">Review date</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val="false"/>
                <w:bCs w:val="false"/>
                <w:sz w:val="17"/>
                <w:szCs w:val="17"/>
              </w:rPr>
              <w:t xml:space="preserve">23 May 2026</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val="false"/>
                <w:bCs w:val="false"/>
                <w:sz w:val="17"/>
                <w:szCs w:val="17"/>
              </w:rPr>
              <w:t xml:space="preserve">Scope</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val="false"/>
                <w:bCs w:val="false"/>
                <w:sz w:val="17"/>
                <w:szCs w:val="17"/>
              </w:rPr>
              <w:t xml:space="preserve">Original audit, the remediation that followed, and the architecture the platform evolved into: app-DB-centric authorization, a web UI, dynamic tenant/role/governance management, and three hardening features.</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val="false"/>
                <w:bCs w:val="false"/>
                <w:sz w:val="17"/>
                <w:szCs w:val="17"/>
              </w:rPr>
              <w:t xml:space="preserve">Test result</w:t>
            </w:r>
          </w:p>
        </w:tc>
        <w:tc>
          <w:tcPr>
            <w:tcW w:type="dxa" w:w="676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vAlign w:val="center"/>
          </w:tcPr>
          <w:p>
            <w:pPr>
              <w:spacing w:after="0"/>
            </w:pPr>
            <w:r>
              <w:rPr>
                <w:b/>
                <w:bCs/>
                <w:sz w:val="17"/>
                <w:szCs w:val="17"/>
              </w:rPr>
              <w:t xml:space="preserve">65 Python tests + OPA policy tests passing; ruff clean; SPA builds; live end-to-end verified.</w:t>
            </w:r>
          </w:p>
        </w:tc>
      </w:tr>
    </w:tbl>
    <w:p>
      <w:r>
        <w:t xml:space="preserve"/>
      </w:r>
    </w:p>
    <w:sdt>
      <w:sdtPr>
        <w:alias w:val="Contents"/>
      </w:sdtPr>
      <w:sdtContent>
        <w:p>
          <w:r>
            <w:fldChar w:fldCharType="begin" w:dirty="true"/>
            <w:instrText xml:space="preserve">TOC \h \o "1-2"</w:instrText>
            <w:fldChar w:fldCharType="separate"/>
          </w:r>
        </w:p>
        <w:p>
          <w:r>
            <w:fldChar w:fldCharType="end"/>
          </w:r>
        </w:p>
      </w:sdtContent>
    </w:sdt>
    <w:p>
      <w:pPr>
        <w:pageBreakBefore/>
      </w:pPr>
      <w:r>
        <w:t xml:space="preserve"/>
      </w:r>
    </w:p>
    <w:p>
      <w:pPr>
        <w:pStyle w:val="Heading1"/>
      </w:pPr>
      <w:r>
        <w:t xml:space="preserve">1. Executive summary</w:t>
      </w:r>
    </w:p>
    <w:p>
      <w:pPr>
        <w:spacing w:after="120" w:line="276"/>
      </w:pPr>
      <w:r>
        <w:t xml:space="preserve">The original package (v0.3.0) was a well-structured but mislabelled demo scaffold: the directory said “production,” yet a single defect meant it could not perform its core function (the PDP queried a policy document the Rego never defined, so every request failed closed), its cross-tenant isolation check was tautological, its admin and audit surfaces were unauthenticated, and it had no tests.</w:t>
      </w:r>
    </w:p>
    <w:p>
      <w:pPr>
        <w:spacing w:after="120" w:line="276"/>
      </w:pPr>
      <w:r>
        <w:t xml:space="preserve">It is now a working, governed, multi-tenant platform with a web UI. Authentication and authorization are cleanly separated: Keycloak proves identity; the application database, enforced through a generic OPA policy, decides what each role may do. Tenants, roles and per-role capabilities are managed dynamically through an admin API and a React console — adding a tenant or changing governance never requires a code or policy edit. Three hardening features (asymmetric skill signing, semantic memory, distributed rate limiting) round out the release.</w:t>
      </w:r>
    </w:p>
    <w:p>
      <w:pPr>
        <w:spacing w:after="120" w:line="276"/>
      </w:pPr>
      <w:r>
        <w:t xml:space="preserve">The whole vertical is proven end-to-end in a browser: log in, create a tenant, assign a user with an auto-provisioned login, that user logs in, governed actions apply, then change a role's capabilities live and watch enforcement change. The suite is green: 65 Python tests plus OPA policy tests, ruff clean.</w:t>
      </w:r>
    </w:p>
    <w:p>
      <w:pPr>
        <w:pStyle w:val="Heading2"/>
      </w:pPr>
      <w:r>
        <w:t xml:space="preserve">Verdict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sz w:val="18"/>
                <w:szCs w:val="18"/>
              </w:rPr>
              <w:t xml:space="preserve">Dimension</w:t>
            </w:r>
          </w:p>
        </w:tc>
        <w:tc>
          <w:tcPr>
            <w:tcW w:type="dxa" w:w="3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sz w:val="18"/>
                <w:szCs w:val="18"/>
              </w:rPr>
              <w:t xml:space="preserve">Original (v0.3.0)</w:t>
            </w:r>
          </w:p>
        </w:tc>
        <w:tc>
          <w:tcPr>
            <w:tcW w:type="dxa" w:w="3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sz w:val="18"/>
                <w:szCs w:val="18"/>
              </w:rPr>
              <w:t xml:space="preserve">Now (v1.0.0)</w:t>
            </w:r>
          </w:p>
        </w:tc>
      </w:tr>
      <w:tr>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val="false"/>
                <w:bCs w:val="false"/>
                <w:sz w:val="17"/>
                <w:szCs w:val="17"/>
              </w:rPr>
              <w:t xml:space="preserve">Core request flow under defaults</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bCs/>
                <w:color w:val="C00000"/>
                <w:sz w:val="17"/>
                <w:szCs w:val="17"/>
              </w:rPr>
              <w:t xml:space="preserve">No — always 403</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bCs/>
                <w:color w:val="548235"/>
                <w:sz w:val="17"/>
                <w:szCs w:val="17"/>
              </w:rPr>
              <w:t xml:space="preserve">Yes, incl. a real LLM answer</w:t>
            </w:r>
          </w:p>
        </w:tc>
      </w:tr>
      <w:tr>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val="false"/>
                <w:bCs w:val="false"/>
                <w:sz w:val="17"/>
                <w:szCs w:val="17"/>
              </w:rPr>
              <w:t xml:space="preserve">Cross-tenant isolation enforced</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bCs/>
                <w:color w:val="C00000"/>
                <w:sz w:val="17"/>
                <w:szCs w:val="17"/>
              </w:rPr>
              <w:t xml:space="preserve">No — tautological</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bCs/>
                <w:color w:val="548235"/>
                <w:sz w:val="17"/>
                <w:szCs w:val="17"/>
              </w:rPr>
              <w:t xml:space="preserve">Yes — generic OPA over caps</w:t>
            </w:r>
          </w:p>
        </w:tc>
      </w:tr>
      <w:tr>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val="false"/>
                <w:bCs w:val="false"/>
                <w:sz w:val="17"/>
                <w:szCs w:val="17"/>
              </w:rPr>
              <w:t xml:space="preserve">Add tenants/roles, change governance</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bCs/>
                <w:color w:val="C55A11"/>
                <w:sz w:val="17"/>
                <w:szCs w:val="17"/>
              </w:rPr>
              <w:t xml:space="preserve">Hardcoded; code edits</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bCs/>
                <w:color w:val="548235"/>
                <w:sz w:val="17"/>
                <w:szCs w:val="17"/>
              </w:rPr>
              <w:t xml:space="preserve">Dynamic; no code/policy edits</w:t>
            </w:r>
          </w:p>
        </w:tc>
      </w:tr>
      <w:tr>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val="false"/>
                <w:bCs w:val="false"/>
                <w:sz w:val="17"/>
                <w:szCs w:val="17"/>
              </w:rPr>
              <w:t xml:space="preserve">Identity model</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bCs/>
                <w:color w:val="BF8F00"/>
                <w:sz w:val="17"/>
                <w:szCs w:val="17"/>
              </w:rPr>
              <w:t xml:space="preserve">From token groups</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bCs/>
                <w:color w:val="548235"/>
                <w:sz w:val="17"/>
                <w:szCs w:val="17"/>
              </w:rPr>
              <w:t xml:space="preserve">Keycloak authn-only; DB RBAC (sub)</w:t>
            </w:r>
          </w:p>
        </w:tc>
      </w:tr>
      <w:tr>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val="false"/>
                <w:bCs w:val="false"/>
                <w:sz w:val="17"/>
                <w:szCs w:val="17"/>
              </w:rPr>
              <w:t xml:space="preserve">User interface</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bCs/>
                <w:color w:val="C55A11"/>
                <w:sz w:val="17"/>
                <w:szCs w:val="17"/>
              </w:rPr>
              <w:t xml:space="preserve">None (curl)</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bCs/>
                <w:color w:val="548235"/>
                <w:sz w:val="17"/>
                <w:szCs w:val="17"/>
              </w:rPr>
              <w:t xml:space="preserve">React SPA</w:t>
            </w:r>
          </w:p>
        </w:tc>
      </w:tr>
      <w:tr>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val="false"/>
                <w:bCs w:val="false"/>
                <w:sz w:val="17"/>
                <w:szCs w:val="17"/>
              </w:rPr>
              <w:t xml:space="preserve">Admin / audit surfaces</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bCs/>
                <w:color w:val="C55A11"/>
                <w:sz w:val="17"/>
                <w:szCs w:val="17"/>
              </w:rPr>
              <w:t xml:space="preserve">Unauthenticated</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bCs/>
                <w:color w:val="548235"/>
                <w:sz w:val="17"/>
                <w:szCs w:val="17"/>
              </w:rPr>
              <w:t xml:space="preserve">Guarded; audit tenant-scoped</w:t>
            </w:r>
          </w:p>
        </w:tc>
      </w:tr>
      <w:tr>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val="false"/>
                <w:bCs w:val="false"/>
                <w:sz w:val="17"/>
                <w:szCs w:val="17"/>
              </w:rPr>
              <w:t xml:space="preserve">Skill signing</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bCs/>
                <w:color w:val="BF8F00"/>
                <w:sz w:val="17"/>
                <w:szCs w:val="17"/>
              </w:rPr>
              <w:t xml:space="preserve">Shared-secret HMAC</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bCs/>
                <w:color w:val="548235"/>
                <w:sz w:val="17"/>
                <w:szCs w:val="17"/>
              </w:rPr>
              <w:t xml:space="preserve">Ed25519 public-key</w:t>
            </w:r>
          </w:p>
        </w:tc>
      </w:tr>
      <w:tr>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val="false"/>
                <w:bCs w:val="false"/>
                <w:sz w:val="17"/>
                <w:szCs w:val="17"/>
              </w:rPr>
              <w:t xml:space="preserve">Memory retrieval</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bCs/>
                <w:color w:val="BF8F00"/>
                <w:sz w:val="17"/>
                <w:szCs w:val="17"/>
              </w:rPr>
              <w:t xml:space="preserve">Substring only</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bCs/>
                <w:color w:val="548235"/>
                <w:sz w:val="17"/>
                <w:szCs w:val="17"/>
              </w:rPr>
              <w:t xml:space="preserve">Semantic + keyword fallback</w:t>
            </w:r>
          </w:p>
        </w:tc>
      </w:tr>
      <w:tr>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val="false"/>
                <w:bCs w:val="false"/>
                <w:sz w:val="17"/>
                <w:szCs w:val="17"/>
              </w:rPr>
              <w:t xml:space="preserve">Rate limiting</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bCs/>
                <w:color w:val="C55A11"/>
                <w:sz w:val="17"/>
                <w:szCs w:val="17"/>
              </w:rPr>
              <w:t xml:space="preserve">None</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bCs/>
                <w:color w:val="548235"/>
                <w:sz w:val="17"/>
                <w:szCs w:val="17"/>
              </w:rPr>
              <w:t xml:space="preserve">Per-process or shared Redis</w:t>
            </w:r>
          </w:p>
        </w:tc>
      </w:tr>
      <w:tr>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val="false"/>
                <w:bCs w:val="false"/>
                <w:sz w:val="17"/>
                <w:szCs w:val="17"/>
              </w:rPr>
              <w:t xml:space="preserve">Automated tests</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bCs/>
                <w:color w:val="C55A11"/>
                <w:sz w:val="17"/>
                <w:szCs w:val="17"/>
              </w:rPr>
              <w:t xml:space="preserve">None</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bCs/>
                <w:color w:val="548235"/>
                <w:sz w:val="17"/>
                <w:szCs w:val="17"/>
              </w:rPr>
              <w:t xml:space="preserve">65 unit + OPA + lint</w:t>
            </w:r>
          </w:p>
        </w:tc>
      </w:tr>
    </w:tbl>
    <w:p>
      <w:pPr>
        <w:pStyle w:val="Heading1"/>
      </w:pPr>
      <w:r>
        <w:t xml:space="preserve">2. Current architecture</w:t>
      </w:r>
    </w:p>
    <w:p>
      <w:pPr>
        <w:spacing w:after="120" w:line="276"/>
      </w:pPr>
      <w:r>
        <w:rPr>
          <w:b/>
          <w:bCs/>
        </w:rPr>
        <w:t xml:space="preserve">Authentication vs authorization are separated. </w:t>
      </w:r>
      <w:r>
        <w:t xml:space="preserve">Keycloak authenticates a person and issues a signed token (sub, email). The application database is the source of truth for tenancy and role capabilities. auth.py validates the token (signature, internal and public issuer, audience, expiry), then resolves the caller's tenant/team/role from user_assignments, keyed on the stable IdP sub (a verified email may bind an assignment once on first login).</w:t>
      </w:r>
    </w:p>
    <w:p>
      <w:pPr>
        <w:spacing w:after="120" w:line="276"/>
      </w:pPr>
      <w:r>
        <w:rPr>
          <w:b/>
          <w:bCs/>
        </w:rPr>
        <w:t xml:space="preserve">Authorization is data-driven. </w:t>
      </w:r>
      <w:r>
        <w:t xml:space="preserve">Each role carries a capability set (skills, tools, readable/writable namespaces, allowed model regions, summary cap, runtime flag). That map is pushed into OPA's data.sentinel.rbac document and a single generic Rego policy evaluates every action against it. Adding a tenant or role, or editing governance, is a data change synced to OPA — the policy code never changes. Every governance mutation is written to the audit ledger.</w:t>
      </w:r>
    </w:p>
    <w:p>
      <w:pPr>
        <w:spacing w:after="120" w:line="276"/>
      </w:pPr>
      <w:r>
        <w:rPr>
          <w:b/>
          <w:bCs/>
        </w:rPr>
        <w:t xml:space="preserve">Planes. </w:t>
      </w:r>
      <w:r>
        <w:t xml:space="preserve">Command (FastAPI: /v1/ask, WebSocket, admin API), Trust (OIDC, PDP, values cascade, encrypted hash-chained audit, telemetry), Agent gateway (skills, tools, model routing), Blueprint (signed manifests, capability templates), Runtime cell (network-isolated Docker execution), Memory (tenant-scoped pgvector/keyword store). A React SPA fronts it all over HTTP + OIDC.</w:t>
      </w:r>
    </w:p>
    <w:p>
      <w:pPr>
        <w:pStyle w:val="Heading1"/>
      </w:pPr>
      <w:r>
        <w:t xml:space="preserve">3. Original audit findings — all resolved</w:t>
      </w:r>
    </w:p>
    <w:p>
      <w:pPr>
        <w:spacing w:after="120" w:line="276"/>
      </w:pPr>
      <w:r>
        <w:t xml:space="preserve">The v0.3.0→v0.4.0 hardening pass closed every critical, high and medium finding (condensed):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5360"/>
        <w:gridCol w:w="180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jc w:val="center"/>
            </w:pPr>
            <w:r>
              <w:rPr>
                <w:b/>
                <w:bCs/>
                <w:color w:val="FFFFFF"/>
                <w:sz w:val="18"/>
                <w:szCs w:val="18"/>
              </w:rPr>
              <w:t xml:space="preserve">ID</w:t>
            </w:r>
          </w:p>
        </w:tc>
        <w:tc>
          <w:tcPr>
            <w:tcW w:type="dxa" w:w="13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jc w:val="center"/>
            </w:pPr>
            <w:r>
              <w:rPr>
                <w:b/>
                <w:bCs/>
                <w:color w:val="FFFFFF"/>
                <w:sz w:val="18"/>
                <w:szCs w:val="18"/>
              </w:rPr>
              <w:t xml:space="preserve">Severity</w:t>
            </w:r>
          </w:p>
        </w:tc>
        <w:tc>
          <w:tcPr>
            <w:tcW w:type="dxa" w:w="5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sz w:val="18"/>
                <w:szCs w:val="18"/>
              </w:rPr>
              <w:t xml:space="preserve">Finding</w:t>
            </w:r>
          </w:p>
        </w:tc>
        <w:tc>
          <w:tcPr>
            <w:tcW w:type="dxa" w:w="18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jc w:val="center"/>
            </w:pPr>
            <w:r>
              <w:rPr>
                <w:b/>
                <w:bCs/>
                <w:color w:val="FFFFFF"/>
                <w:sz w:val="18"/>
                <w:szCs w:val="18"/>
              </w:rPr>
              <w:t xml:space="preserve">Status</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sz w:val="17"/>
                <w:szCs w:val="17"/>
              </w:rPr>
              <w:t xml:space="preserve">C1</w:t>
            </w:r>
          </w:p>
        </w:tc>
        <w:tc>
          <w:tcPr>
            <w:tcW w:type="dxa" w:w="1300"/>
            <w:tcBorders>
              <w:top w:val="single" w:color="BFBFBF" w:sz="1"/>
              <w:left w:val="single" w:color="BFBFBF" w:sz="1"/>
              <w:bottom w:val="single" w:color="BFBFBF" w:sz="1"/>
              <w:right w:val="single" w:color="BFBFBF" w:sz="1"/>
            </w:tcBorders>
            <w:shd w:fill="C00000" w:val="clear"/>
            <w:tcMar>
              <w:top w:type="dxa" w:w="60"/>
              <w:left w:type="dxa" w:w="110"/>
              <w:bottom w:type="dxa" w:w="60"/>
              <w:right w:type="dxa" w:w="110"/>
            </w:tcMar>
            <w:vAlign w:val="center"/>
          </w:tcPr>
          <w:p>
            <w:pPr>
              <w:spacing w:after="0"/>
              <w:jc w:val="center"/>
            </w:pPr>
            <w:r>
              <w:rPr>
                <w:b/>
                <w:bCs/>
                <w:color w:val="FFFFFF"/>
                <w:sz w:val="17"/>
                <w:szCs w:val="17"/>
              </w:rPr>
              <w:t xml:space="preserve">Critical</w:t>
            </w:r>
          </w:p>
        </w:tc>
        <w:tc>
          <w:tcPr>
            <w:tcW w:type="dxa" w:w="5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val="false"/>
                <w:bCs w:val="false"/>
                <w:sz w:val="17"/>
                <w:szCs w:val="17"/>
              </w:rPr>
              <w:t xml:space="preserve">PDP queried an undefined result document → every action 403'd</w:t>
            </w:r>
          </w:p>
        </w:tc>
        <w:tc>
          <w:tcPr>
            <w:tcW w:type="dxa" w:w="18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vAlign w:val="center"/>
          </w:tcPr>
          <w:p>
            <w:pPr>
              <w:spacing w:after="0"/>
              <w:jc w:val="center"/>
            </w:pPr>
            <w:r>
              <w:rPr>
                <w:b w:val="false"/>
                <w:bCs w:val="false"/>
                <w:sz w:val="17"/>
                <w:szCs w:val="17"/>
              </w:rPr>
              <w:t xml:space="preserve">Fixed</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sz w:val="17"/>
                <w:szCs w:val="17"/>
              </w:rPr>
              <w:t xml:space="preserve">C2</w:t>
            </w:r>
          </w:p>
        </w:tc>
        <w:tc>
          <w:tcPr>
            <w:tcW w:type="dxa" w:w="1300"/>
            <w:tcBorders>
              <w:top w:val="single" w:color="BFBFBF" w:sz="1"/>
              <w:left w:val="single" w:color="BFBFBF" w:sz="1"/>
              <w:bottom w:val="single" w:color="BFBFBF" w:sz="1"/>
              <w:right w:val="single" w:color="BFBFBF" w:sz="1"/>
            </w:tcBorders>
            <w:shd w:fill="C00000" w:val="clear"/>
            <w:tcMar>
              <w:top w:type="dxa" w:w="60"/>
              <w:left w:type="dxa" w:w="110"/>
              <w:bottom w:type="dxa" w:w="60"/>
              <w:right w:type="dxa" w:w="110"/>
            </w:tcMar>
            <w:vAlign w:val="center"/>
          </w:tcPr>
          <w:p>
            <w:pPr>
              <w:spacing w:after="0"/>
              <w:jc w:val="center"/>
            </w:pPr>
            <w:r>
              <w:rPr>
                <w:b/>
                <w:bCs/>
                <w:color w:val="FFFFFF"/>
                <w:sz w:val="17"/>
                <w:szCs w:val="17"/>
              </w:rPr>
              <w:t xml:space="preserve">Critical</w:t>
            </w:r>
          </w:p>
        </w:tc>
        <w:tc>
          <w:tcPr>
            <w:tcW w:type="dxa" w:w="5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val="false"/>
                <w:bCs w:val="false"/>
                <w:sz w:val="17"/>
                <w:szCs w:val="17"/>
              </w:rPr>
              <w:t xml:space="preserve">Cross-tenant isolation check was tautological</w:t>
            </w:r>
          </w:p>
        </w:tc>
        <w:tc>
          <w:tcPr>
            <w:tcW w:type="dxa" w:w="18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vAlign w:val="center"/>
          </w:tcPr>
          <w:p>
            <w:pPr>
              <w:spacing w:after="0"/>
              <w:jc w:val="center"/>
            </w:pPr>
            <w:r>
              <w:rPr>
                <w:b w:val="false"/>
                <w:bCs w:val="false"/>
                <w:sz w:val="17"/>
                <w:szCs w:val="17"/>
              </w:rPr>
              <w:t xml:space="preserve">Fixed</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sz w:val="17"/>
                <w:szCs w:val="17"/>
              </w:rPr>
              <w:t xml:space="preserve">H1–H2</w:t>
            </w:r>
          </w:p>
        </w:tc>
        <w:tc>
          <w:tcPr>
            <w:tcW w:type="dxa" w:w="1300"/>
            <w:tcBorders>
              <w:top w:val="single" w:color="BFBFBF" w:sz="1"/>
              <w:left w:val="single" w:color="BFBFBF" w:sz="1"/>
              <w:bottom w:val="single" w:color="BFBFBF" w:sz="1"/>
              <w:right w:val="single" w:color="BFBFBF" w:sz="1"/>
            </w:tcBorders>
            <w:shd w:fill="C55A11" w:val="clear"/>
            <w:tcMar>
              <w:top w:type="dxa" w:w="60"/>
              <w:left w:type="dxa" w:w="110"/>
              <w:bottom w:type="dxa" w:w="60"/>
              <w:right w:type="dxa" w:w="110"/>
            </w:tcMar>
            <w:vAlign w:val="center"/>
          </w:tcPr>
          <w:p>
            <w:pPr>
              <w:spacing w:after="0"/>
              <w:jc w:val="center"/>
            </w:pPr>
            <w:r>
              <w:rPr>
                <w:b/>
                <w:bCs/>
                <w:color w:val="FFFFFF"/>
                <w:sz w:val="17"/>
                <w:szCs w:val="17"/>
              </w:rPr>
              <w:t xml:space="preserve">High</w:t>
            </w:r>
          </w:p>
        </w:tc>
        <w:tc>
          <w:tcPr>
            <w:tcW w:type="dxa" w:w="5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val="false"/>
                <w:bCs w:val="false"/>
                <w:sz w:val="17"/>
                <w:szCs w:val="17"/>
              </w:rPr>
              <w:t xml:space="preserve">/admin/bootstrap and /v1/audit/* unauthenticated; audit leaked all tenants</w:t>
            </w:r>
          </w:p>
        </w:tc>
        <w:tc>
          <w:tcPr>
            <w:tcW w:type="dxa" w:w="18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vAlign w:val="center"/>
          </w:tcPr>
          <w:p>
            <w:pPr>
              <w:spacing w:after="0"/>
              <w:jc w:val="center"/>
            </w:pPr>
            <w:r>
              <w:rPr>
                <w:b w:val="false"/>
                <w:bCs w:val="false"/>
                <w:sz w:val="17"/>
                <w:szCs w:val="17"/>
              </w:rPr>
              <w:t xml:space="preserve">Fixed</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sz w:val="17"/>
                <w:szCs w:val="17"/>
              </w:rPr>
              <w:t xml:space="preserve">H3</w:t>
            </w:r>
          </w:p>
        </w:tc>
        <w:tc>
          <w:tcPr>
            <w:tcW w:type="dxa" w:w="1300"/>
            <w:tcBorders>
              <w:top w:val="single" w:color="BFBFBF" w:sz="1"/>
              <w:left w:val="single" w:color="BFBFBF" w:sz="1"/>
              <w:bottom w:val="single" w:color="BFBFBF" w:sz="1"/>
              <w:right w:val="single" w:color="BFBFBF" w:sz="1"/>
            </w:tcBorders>
            <w:shd w:fill="C55A11" w:val="clear"/>
            <w:tcMar>
              <w:top w:type="dxa" w:w="60"/>
              <w:left w:type="dxa" w:w="110"/>
              <w:bottom w:type="dxa" w:w="60"/>
              <w:right w:type="dxa" w:w="110"/>
            </w:tcMar>
            <w:vAlign w:val="center"/>
          </w:tcPr>
          <w:p>
            <w:pPr>
              <w:spacing w:after="0"/>
              <w:jc w:val="center"/>
            </w:pPr>
            <w:r>
              <w:rPr>
                <w:b/>
                <w:bCs/>
                <w:color w:val="FFFFFF"/>
                <w:sz w:val="17"/>
                <w:szCs w:val="17"/>
              </w:rPr>
              <w:t xml:space="preserve">High</w:t>
            </w:r>
          </w:p>
        </w:tc>
        <w:tc>
          <w:tcPr>
            <w:tcW w:type="dxa" w:w="5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val="false"/>
                <w:bCs w:val="false"/>
                <w:sz w:val="17"/>
                <w:szCs w:val="17"/>
              </w:rPr>
              <w:t xml:space="preserve">WebSocket token passed in the URL query string</w:t>
            </w:r>
          </w:p>
        </w:tc>
        <w:tc>
          <w:tcPr>
            <w:tcW w:type="dxa" w:w="18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vAlign w:val="center"/>
          </w:tcPr>
          <w:p>
            <w:pPr>
              <w:spacing w:after="0"/>
              <w:jc w:val="center"/>
            </w:pPr>
            <w:r>
              <w:rPr>
                <w:b w:val="false"/>
                <w:bCs w:val="false"/>
                <w:sz w:val="17"/>
                <w:szCs w:val="17"/>
              </w:rPr>
              <w:t xml:space="preserve">Fixed</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sz w:val="17"/>
                <w:szCs w:val="17"/>
              </w:rPr>
              <w:t xml:space="preserve">H4</w:t>
            </w:r>
          </w:p>
        </w:tc>
        <w:tc>
          <w:tcPr>
            <w:tcW w:type="dxa" w:w="1300"/>
            <w:tcBorders>
              <w:top w:val="single" w:color="BFBFBF" w:sz="1"/>
              <w:left w:val="single" w:color="BFBFBF" w:sz="1"/>
              <w:bottom w:val="single" w:color="BFBFBF" w:sz="1"/>
              <w:right w:val="single" w:color="BFBFBF" w:sz="1"/>
            </w:tcBorders>
            <w:shd w:fill="C55A11" w:val="clear"/>
            <w:tcMar>
              <w:top w:type="dxa" w:w="60"/>
              <w:left w:type="dxa" w:w="110"/>
              <w:bottom w:type="dxa" w:w="60"/>
              <w:right w:type="dxa" w:w="110"/>
            </w:tcMar>
            <w:vAlign w:val="center"/>
          </w:tcPr>
          <w:p>
            <w:pPr>
              <w:spacing w:after="0"/>
              <w:jc w:val="center"/>
            </w:pPr>
            <w:r>
              <w:rPr>
                <w:b/>
                <w:bCs/>
                <w:color w:val="FFFFFF"/>
                <w:sz w:val="17"/>
                <w:szCs w:val="17"/>
              </w:rPr>
              <w:t xml:space="preserve">High</w:t>
            </w:r>
          </w:p>
        </w:tc>
        <w:tc>
          <w:tcPr>
            <w:tcW w:type="dxa" w:w="5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val="false"/>
                <w:bCs w:val="false"/>
                <w:sz w:val="17"/>
                <w:szCs w:val="17"/>
              </w:rPr>
              <w:t xml:space="preserve">.env committed, no .gitignore, .pyc shipped</w:t>
            </w:r>
          </w:p>
        </w:tc>
        <w:tc>
          <w:tcPr>
            <w:tcW w:type="dxa" w:w="18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vAlign w:val="center"/>
          </w:tcPr>
          <w:p>
            <w:pPr>
              <w:spacing w:after="0"/>
              <w:jc w:val="center"/>
            </w:pPr>
            <w:r>
              <w:rPr>
                <w:b w:val="false"/>
                <w:bCs w:val="false"/>
                <w:sz w:val="17"/>
                <w:szCs w:val="17"/>
              </w:rPr>
              <w:t xml:space="preserve">Fixed</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sz w:val="17"/>
                <w:szCs w:val="17"/>
              </w:rPr>
              <w:t xml:space="preserve">H5</w:t>
            </w:r>
          </w:p>
        </w:tc>
        <w:tc>
          <w:tcPr>
            <w:tcW w:type="dxa" w:w="1300"/>
            <w:tcBorders>
              <w:top w:val="single" w:color="BFBFBF" w:sz="1"/>
              <w:left w:val="single" w:color="BFBFBF" w:sz="1"/>
              <w:bottom w:val="single" w:color="BFBFBF" w:sz="1"/>
              <w:right w:val="single" w:color="BFBFBF" w:sz="1"/>
            </w:tcBorders>
            <w:shd w:fill="C55A11" w:val="clear"/>
            <w:tcMar>
              <w:top w:type="dxa" w:w="60"/>
              <w:left w:type="dxa" w:w="110"/>
              <w:bottom w:type="dxa" w:w="60"/>
              <w:right w:type="dxa" w:w="110"/>
            </w:tcMar>
            <w:vAlign w:val="center"/>
          </w:tcPr>
          <w:p>
            <w:pPr>
              <w:spacing w:after="0"/>
              <w:jc w:val="center"/>
            </w:pPr>
            <w:r>
              <w:rPr>
                <w:b/>
                <w:bCs/>
                <w:color w:val="FFFFFF"/>
                <w:sz w:val="17"/>
                <w:szCs w:val="17"/>
              </w:rPr>
              <w:t xml:space="preserve">High</w:t>
            </w:r>
          </w:p>
        </w:tc>
        <w:tc>
          <w:tcPr>
            <w:tcW w:type="dxa" w:w="5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val="false"/>
                <w:bCs w:val="false"/>
                <w:sz w:val="17"/>
                <w:szCs w:val="17"/>
              </w:rPr>
              <w:t xml:space="preserve">“change-me” secrets silently usable in production</w:t>
            </w:r>
          </w:p>
        </w:tc>
        <w:tc>
          <w:tcPr>
            <w:tcW w:type="dxa" w:w="18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vAlign w:val="center"/>
          </w:tcPr>
          <w:p>
            <w:pPr>
              <w:spacing w:after="0"/>
              <w:jc w:val="center"/>
            </w:pPr>
            <w:r>
              <w:rPr>
                <w:b w:val="false"/>
                <w:bCs w:val="false"/>
                <w:sz w:val="17"/>
                <w:szCs w:val="17"/>
              </w:rPr>
              <w:t xml:space="preserve">Fixed</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sz w:val="17"/>
                <w:szCs w:val="17"/>
              </w:rPr>
              <w:t xml:space="preserve">H6</w:t>
            </w:r>
          </w:p>
        </w:tc>
        <w:tc>
          <w:tcPr>
            <w:tcW w:type="dxa" w:w="1300"/>
            <w:tcBorders>
              <w:top w:val="single" w:color="BFBFBF" w:sz="1"/>
              <w:left w:val="single" w:color="BFBFBF" w:sz="1"/>
              <w:bottom w:val="single" w:color="BFBFBF" w:sz="1"/>
              <w:right w:val="single" w:color="BFBFBF" w:sz="1"/>
            </w:tcBorders>
            <w:shd w:fill="C55A11" w:val="clear"/>
            <w:tcMar>
              <w:top w:type="dxa" w:w="60"/>
              <w:left w:type="dxa" w:w="110"/>
              <w:bottom w:type="dxa" w:w="60"/>
              <w:right w:type="dxa" w:w="110"/>
            </w:tcMar>
            <w:vAlign w:val="center"/>
          </w:tcPr>
          <w:p>
            <w:pPr>
              <w:spacing w:after="0"/>
              <w:jc w:val="center"/>
            </w:pPr>
            <w:r>
              <w:rPr>
                <w:b/>
                <w:bCs/>
                <w:color w:val="FFFFFF"/>
                <w:sz w:val="17"/>
                <w:szCs w:val="17"/>
              </w:rPr>
              <w:t xml:space="preserve">High</w:t>
            </w:r>
          </w:p>
        </w:tc>
        <w:tc>
          <w:tcPr>
            <w:tcW w:type="dxa" w:w="5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val="false"/>
                <w:bCs w:val="false"/>
                <w:sz w:val="17"/>
                <w:szCs w:val="17"/>
              </w:rPr>
              <w:t xml:space="preserve">Skill signatures / per-tenant enablement never verified</w:t>
            </w:r>
          </w:p>
        </w:tc>
        <w:tc>
          <w:tcPr>
            <w:tcW w:type="dxa" w:w="18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vAlign w:val="center"/>
          </w:tcPr>
          <w:p>
            <w:pPr>
              <w:spacing w:after="0"/>
              <w:jc w:val="center"/>
            </w:pPr>
            <w:r>
              <w:rPr>
                <w:b w:val="false"/>
                <w:bCs w:val="false"/>
                <w:sz w:val="17"/>
                <w:szCs w:val="17"/>
              </w:rPr>
              <w:t xml:space="preserve">Implemented</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sz w:val="17"/>
                <w:szCs w:val="17"/>
              </w:rPr>
              <w:t xml:space="preserve">M1–M13</w:t>
            </w:r>
          </w:p>
        </w:tc>
        <w:tc>
          <w:tcPr>
            <w:tcW w:type="dxa" w:w="1300"/>
            <w:tcBorders>
              <w:top w:val="single" w:color="BFBFBF" w:sz="1"/>
              <w:left w:val="single" w:color="BFBFBF" w:sz="1"/>
              <w:bottom w:val="single" w:color="BFBFBF" w:sz="1"/>
              <w:right w:val="single" w:color="BFBFBF" w:sz="1"/>
            </w:tcBorders>
            <w:shd w:fill="BF8F00" w:val="clear"/>
            <w:tcMar>
              <w:top w:type="dxa" w:w="60"/>
              <w:left w:type="dxa" w:w="110"/>
              <w:bottom w:type="dxa" w:w="60"/>
              <w:right w:type="dxa" w:w="110"/>
            </w:tcMar>
            <w:vAlign w:val="center"/>
          </w:tcPr>
          <w:p>
            <w:pPr>
              <w:spacing w:after="0"/>
              <w:jc w:val="center"/>
            </w:pPr>
            <w:r>
              <w:rPr>
                <w:b/>
                <w:bCs/>
                <w:color w:val="FFFFFF"/>
                <w:sz w:val="17"/>
                <w:szCs w:val="17"/>
              </w:rPr>
              <w:t xml:space="preserve">Medium</w:t>
            </w:r>
          </w:p>
        </w:tc>
        <w:tc>
          <w:tcPr>
            <w:tcW w:type="dxa" w:w="5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val="false"/>
                <w:bCs w:val="false"/>
                <w:sz w:val="17"/>
                <w:szCs w:val="17"/>
              </w:rPr>
              <w:t xml:space="preserve">No tests, no DB pooling, blocking DB in async, inert routing, broken Azure adapter, dead runtime code, no logging/retries/rate limiting, unbounded audit verify, no migrations, JWKS races, no readiness probe</w:t>
            </w:r>
          </w:p>
        </w:tc>
        <w:tc>
          <w:tcPr>
            <w:tcW w:type="dxa" w:w="18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vAlign w:val="center"/>
          </w:tcPr>
          <w:p>
            <w:pPr>
              <w:spacing w:after="0"/>
              <w:jc w:val="center"/>
            </w:pPr>
            <w:r>
              <w:rPr>
                <w:b w:val="false"/>
                <w:bCs w:val="false"/>
                <w:sz w:val="17"/>
                <w:szCs w:val="17"/>
              </w:rPr>
              <w:t xml:space="preserve">All fixed</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sz w:val="17"/>
                <w:szCs w:val="17"/>
              </w:rPr>
              <w:t xml:space="preserve">L1–L4</w:t>
            </w:r>
          </w:p>
        </w:tc>
        <w:tc>
          <w:tcPr>
            <w:tcW w:type="dxa" w:w="1300"/>
            <w:tcBorders>
              <w:top w:val="single" w:color="BFBFBF" w:sz="1"/>
              <w:left w:val="single" w:color="BFBFBF" w:sz="1"/>
              <w:bottom w:val="single" w:color="BFBFBF" w:sz="1"/>
              <w:right w:val="single" w:color="BFBFBF" w:sz="1"/>
            </w:tcBorders>
            <w:shd w:fill="548235" w:val="clear"/>
            <w:tcMar>
              <w:top w:type="dxa" w:w="60"/>
              <w:left w:type="dxa" w:w="110"/>
              <w:bottom w:type="dxa" w:w="60"/>
              <w:right w:type="dxa" w:w="110"/>
            </w:tcMar>
            <w:vAlign w:val="center"/>
          </w:tcPr>
          <w:p>
            <w:pPr>
              <w:spacing w:after="0"/>
              <w:jc w:val="center"/>
            </w:pPr>
            <w:r>
              <w:rPr>
                <w:b/>
                <w:bCs/>
                <w:color w:val="FFFFFF"/>
                <w:sz w:val="17"/>
                <w:szCs w:val="17"/>
              </w:rPr>
              <w:t xml:space="preserve">Low</w:t>
            </w:r>
          </w:p>
        </w:tc>
        <w:tc>
          <w:tcPr>
            <w:tcW w:type="dxa" w:w="5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val="false"/>
                <w:bCs w:val="false"/>
                <w:sz w:val="17"/>
                <w:szCs w:val="17"/>
              </w:rPr>
              <w:t xml:space="preserve">Entrypoint mismatch, dead secrets code, hardcoded values cascade, unused pgvector</w:t>
            </w:r>
          </w:p>
        </w:tc>
        <w:tc>
          <w:tcPr>
            <w:tcW w:type="dxa" w:w="18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vAlign w:val="center"/>
          </w:tcPr>
          <w:p>
            <w:pPr>
              <w:spacing w:after="0"/>
              <w:jc w:val="center"/>
            </w:pPr>
            <w:r>
              <w:rPr>
                <w:b w:val="false"/>
                <w:bCs w:val="false"/>
                <w:sz w:val="17"/>
                <w:szCs w:val="17"/>
              </w:rPr>
              <w:t xml:space="preserve">Fixed</w:t>
            </w:r>
          </w:p>
        </w:tc>
      </w:tr>
    </w:tbl>
    <w:p>
      <w:pPr>
        <w:pageBreakBefore/>
      </w:pPr>
      <w:r>
        <w:t xml:space="preserve"/>
      </w:r>
    </w:p>
    <w:p>
      <w:pPr>
        <w:pStyle w:val="Heading1"/>
      </w:pPr>
      <w:r>
        <w:t xml:space="preserve">4. Capabilities added after the audit (v0.5.0 → v1.0.0)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rPr>
          <w:tblHeader/>
        </w:trPr>
        <w:tc>
          <w:tcPr>
            <w:tcW w:type="dxa" w:w="3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sz w:val="18"/>
                <w:szCs w:val="18"/>
              </w:rPr>
              <w:t xml:space="preserve">Capability</w:t>
            </w:r>
          </w:p>
        </w:tc>
        <w:tc>
          <w:tcPr>
            <w:tcW w:type="dxa" w:w="1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jc w:val="center"/>
            </w:pPr>
            <w:r>
              <w:rPr>
                <w:b/>
                <w:bCs/>
                <w:color w:val="FFFFFF"/>
                <w:sz w:val="18"/>
                <w:szCs w:val="18"/>
              </w:rPr>
              <w:t xml:space="preserve">Version</w:t>
            </w:r>
          </w:p>
        </w:tc>
        <w:tc>
          <w:tcPr>
            <w:tcW w:type="dxa" w:w="45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sz w:val="18"/>
                <w:szCs w:val="18"/>
              </w:rPr>
              <w:t xml:space="preserve">Notes</w:t>
            </w:r>
          </w:p>
        </w:tc>
      </w:tr>
      <w:tr>
        <w:tc>
          <w:tcPr>
            <w:tcW w:type="dxa" w:w="3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val="false"/>
                <w:bCs w:val="false"/>
                <w:sz w:val="17"/>
                <w:szCs w:val="17"/>
              </w:rPr>
              <w:t xml:space="preserve">App-DB-centric RBAC + generic OPA</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sz w:val="17"/>
                <w:szCs w:val="17"/>
              </w:rPr>
              <w:t xml:space="preserve">0.5.0</w:t>
            </w:r>
          </w:p>
        </w:tc>
        <w:tc>
          <w:tcPr>
            <w:tcW w:type="dxa" w:w="4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val="false"/>
                <w:bCs w:val="false"/>
                <w:sz w:val="17"/>
                <w:szCs w:val="17"/>
              </w:rPr>
              <w:t xml:space="preserve">Keycloak authn-only; capability templates; OPA data sync; auto-migrations on startup</w:t>
            </w:r>
          </w:p>
        </w:tc>
      </w:tr>
      <w:tr>
        <w:tc>
          <w:tcPr>
            <w:tcW w:type="dxa" w:w="3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val="false"/>
                <w:bCs w:val="false"/>
                <w:sz w:val="17"/>
                <w:szCs w:val="17"/>
              </w:rPr>
              <w:t xml:space="preserve">React SPA + Keycloak OIDC login</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sz w:val="17"/>
                <w:szCs w:val="17"/>
              </w:rPr>
              <w:t xml:space="preserve">0.7.0</w:t>
            </w:r>
          </w:p>
        </w:tc>
        <w:tc>
          <w:tcPr>
            <w:tcW w:type="dxa" w:w="4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val="false"/>
                <w:bCs w:val="false"/>
                <w:sz w:val="17"/>
                <w:szCs w:val="17"/>
              </w:rPr>
              <w:t xml:space="preserve">Vite app on nginx; host-agnostic (web now, Tauri desktop later)</w:t>
            </w:r>
          </w:p>
        </w:tc>
      </w:tr>
      <w:tr>
        <w:tc>
          <w:tcPr>
            <w:tcW w:type="dxa" w:w="3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val="false"/>
                <w:bCs w:val="false"/>
                <w:sz w:val="17"/>
                <w:szCs w:val="17"/>
              </w:rPr>
              <w:t xml:space="preserve">Add Tenant (API + UI)</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sz w:val="17"/>
                <w:szCs w:val="17"/>
              </w:rPr>
              <w:t xml:space="preserve">0.6/0.7</w:t>
            </w:r>
          </w:p>
        </w:tc>
        <w:tc>
          <w:tcPr>
            <w:tcW w:type="dxa" w:w="4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val="false"/>
                <w:bCs w:val="false"/>
                <w:sz w:val="17"/>
                <w:szCs w:val="17"/>
              </w:rPr>
              <w:t xml:space="preserve">New tenant gets the same shape as seeded ones; enforceable immediately</w:t>
            </w:r>
          </w:p>
        </w:tc>
      </w:tr>
      <w:tr>
        <w:tc>
          <w:tcPr>
            <w:tcW w:type="dxa" w:w="3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val="false"/>
                <w:bCs w:val="false"/>
                <w:sz w:val="17"/>
                <w:szCs w:val="17"/>
              </w:rPr>
              <w:t xml:space="preserve">Add Role from template (API + UI)</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sz w:val="17"/>
                <w:szCs w:val="17"/>
              </w:rPr>
              <w:t xml:space="preserve">0.8.0</w:t>
            </w:r>
          </w:p>
        </w:tc>
        <w:tc>
          <w:tcPr>
            <w:tcW w:type="dxa" w:w="4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val="false"/>
                <w:bCs w:val="false"/>
                <w:sz w:val="17"/>
                <w:szCs w:val="17"/>
              </w:rPr>
              <w:t xml:space="preserve">Instantiate/delete roles per tenant</w:t>
            </w:r>
          </w:p>
        </w:tc>
      </w:tr>
      <w:tr>
        <w:tc>
          <w:tcPr>
            <w:tcW w:type="dxa" w:w="3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val="false"/>
                <w:bCs w:val="false"/>
                <w:sz w:val="17"/>
                <w:szCs w:val="17"/>
              </w:rPr>
              <w:t xml:space="preserve">Governance editor (API + UI)</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sz w:val="17"/>
                <w:szCs w:val="17"/>
              </w:rPr>
              <w:t xml:space="preserve">0.8.0</w:t>
            </w:r>
          </w:p>
        </w:tc>
        <w:tc>
          <w:tcPr>
            <w:tcW w:type="dxa" w:w="4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val="false"/>
                <w:bCs w:val="false"/>
                <w:sz w:val="17"/>
                <w:szCs w:val="17"/>
              </w:rPr>
              <w:t xml:space="preserve">Edit a role's capabilities; re-syncs OPA; enforced live</w:t>
            </w:r>
          </w:p>
        </w:tc>
      </w:tr>
      <w:tr>
        <w:tc>
          <w:tcPr>
            <w:tcW w:type="dxa" w:w="3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val="false"/>
                <w:bCs w:val="false"/>
                <w:sz w:val="17"/>
                <w:szCs w:val="17"/>
              </w:rPr>
              <w:t xml:space="preserve">Users &amp; assignments (API + UI)</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sz w:val="17"/>
                <w:szCs w:val="17"/>
              </w:rPr>
              <w:t xml:space="preserve">0.8.0</w:t>
            </w:r>
          </w:p>
        </w:tc>
        <w:tc>
          <w:tcPr>
            <w:tcW w:type="dxa" w:w="4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val="false"/>
                <w:bCs w:val="false"/>
                <w:sz w:val="17"/>
                <w:szCs w:val="17"/>
              </w:rPr>
              <w:t xml:space="preserve">Assign identities; optional Keycloak login provisioning</w:t>
            </w:r>
          </w:p>
        </w:tc>
      </w:tr>
      <w:tr>
        <w:tc>
          <w:tcPr>
            <w:tcW w:type="dxa" w:w="3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val="false"/>
                <w:bCs w:val="false"/>
                <w:sz w:val="17"/>
                <w:szCs w:val="17"/>
              </w:rPr>
              <w:t xml:space="preserve">Test console (UI)</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sz w:val="17"/>
                <w:szCs w:val="17"/>
              </w:rPr>
              <w:t xml:space="preserve">0.7.0</w:t>
            </w:r>
          </w:p>
        </w:tc>
        <w:tc>
          <w:tcPr>
            <w:tcW w:type="dxa" w:w="4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val="false"/>
                <w:bCs w:val="false"/>
                <w:sz w:val="17"/>
                <w:szCs w:val="17"/>
              </w:rPr>
              <w:t xml:space="preserve">Run a governed /v1/ask; view the per-action audit trace</w:t>
            </w:r>
          </w:p>
        </w:tc>
      </w:tr>
      <w:tr>
        <w:tc>
          <w:tcPr>
            <w:tcW w:type="dxa" w:w="3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val="false"/>
                <w:bCs w:val="false"/>
                <w:sz w:val="17"/>
                <w:szCs w:val="17"/>
              </w:rPr>
              <w:t xml:space="preserve">Ed25519 skill signing</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sz w:val="17"/>
                <w:szCs w:val="17"/>
              </w:rPr>
              <w:t xml:space="preserve">0.9.0</w:t>
            </w:r>
          </w:p>
        </w:tc>
        <w:tc>
          <w:tcPr>
            <w:tcW w:type="dxa" w:w="4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val="false"/>
                <w:bCs w:val="false"/>
                <w:sz w:val="17"/>
                <w:szCs w:val="17"/>
              </w:rPr>
              <w:t xml:space="preserve">Asymmetric public-key verification; signing CLI</w:t>
            </w:r>
          </w:p>
        </w:tc>
      </w:tr>
      <w:tr>
        <w:tc>
          <w:tcPr>
            <w:tcW w:type="dxa" w:w="3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val="false"/>
                <w:bCs w:val="false"/>
                <w:sz w:val="17"/>
                <w:szCs w:val="17"/>
              </w:rPr>
              <w:t xml:space="preserve">Semantic memory (pgvector)</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sz w:val="17"/>
                <w:szCs w:val="17"/>
              </w:rPr>
              <w:t xml:space="preserve">0.9.0</w:t>
            </w:r>
          </w:p>
        </w:tc>
        <w:tc>
          <w:tcPr>
            <w:tcW w:type="dxa" w:w="4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val="false"/>
                <w:bCs w:val="false"/>
                <w:sz w:val="17"/>
                <w:szCs w:val="17"/>
              </w:rPr>
              <w:t xml:space="preserve">Opt-in embeddings; tenant-filtered vector search; keyword fallback</w:t>
            </w:r>
          </w:p>
        </w:tc>
      </w:tr>
      <w:tr>
        <w:tc>
          <w:tcPr>
            <w:tcW w:type="dxa" w:w="3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val="false"/>
                <w:bCs w:val="false"/>
                <w:sz w:val="17"/>
                <w:szCs w:val="17"/>
              </w:rPr>
              <w:t xml:space="preserve">Distributed rate limiting (Redis)</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sz w:val="17"/>
                <w:szCs w:val="17"/>
              </w:rPr>
              <w:t xml:space="preserve">0.9.0</w:t>
            </w:r>
          </w:p>
        </w:tc>
        <w:tc>
          <w:tcPr>
            <w:tcW w:type="dxa" w:w="4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pPr>
            <w:r>
              <w:rPr>
                <w:b w:val="false"/>
                <w:bCs w:val="false"/>
                <w:sz w:val="17"/>
                <w:szCs w:val="17"/>
              </w:rPr>
              <w:t xml:space="preserve">Shared cross-replica limiter; fails open</w:t>
            </w:r>
          </w:p>
        </w:tc>
      </w:tr>
    </w:tbl>
    <w:p>
      <w:pPr>
        <w:pStyle w:val="Heading1"/>
      </w:pPr>
      <w:r>
        <w:t xml:space="preserve">5. Security posture</w:t>
      </w:r>
    </w:p>
    <w:p>
      <w:pPr>
        <w:spacing w:after="120" w:line="276"/>
      </w:pPr>
      <w:r>
        <w:t xml:space="preserve">The platform now exhibits the governance properties it advertised. Identity is authenticated by a hardened IdP and never trusted blindly; authorization is owned by the application and enforced by a fail-closed PDP for every action; the identity-to-tenancy mapping is keyed on the stable sub, not a mutable email; the admin / governance-write surface is authenticated and every change is recorded in the encrypted, hash-chained audit ledger; audit reads are tenant-scoped; skill manifests are verified with an asymmetric public key (no shared secret to distribute); prompt-injection from untrusted tool output cannot escalate privileges (demonstrated as a recorded deny); and the audit chain is independently verifiable and tamper-evident.</w:t>
      </w:r>
    </w:p>
    <w:p>
      <w:pPr>
        <w:pStyle w:val="Heading1"/>
      </w:pPr>
      <w:r>
        <w:t xml:space="preserve">6. Verification evidence</w:t>
      </w:r>
    </w:p>
    <w:p>
      <w:pPr>
        <w:pStyle w:val="ListParagraph"/>
        <w:numPr>
          <w:ilvl w:val="0"/>
          <w:numId w:val="2"/>
        </w:numPr>
        <w:spacing w:after="80"/>
      </w:pPr>
      <w:r>
        <w:rPr>
          <w:b/>
          <w:bCs/>
        </w:rPr>
        <w:t xml:space="preserve">Python tests: </w:t>
      </w:r>
      <w:r>
        <w:t xml:space="preserve">65 passing — secret guard, values cascade, model routing, encrypted audit hash-chain (integrity + tamper), PDP default-deny + cross-tenant denial, RBAC resolution, identity/sub binding, admin tenant/role/governance/user ops, Ed25519 sign/verify (+ tamper + wrong key), Redis &amp; in-process limiters (+ fail-open), and semantic-vs-keyword memory routing with the tenant filter ahead of ranking.</w:t>
      </w:r>
    </w:p>
    <w:p>
      <w:pPr>
        <w:pStyle w:val="ListParagraph"/>
        <w:numPr>
          <w:ilvl w:val="0"/>
          <w:numId w:val="2"/>
        </w:numPr>
        <w:spacing w:after="80"/>
      </w:pPr>
      <w:r>
        <w:rPr>
          <w:b/>
          <w:bCs/>
        </w:rPr>
        <w:t xml:space="preserve">OPA policy tests: </w:t>
      </w:r>
      <w:r>
        <w:t xml:space="preserve">generic policy over injected data.sentinel.rbac — cross-tenant denial, role-scoped writes, region residency, unknown-role denial, runtime network policy.</w:t>
      </w:r>
    </w:p>
    <w:p>
      <w:pPr>
        <w:pStyle w:val="ListParagraph"/>
        <w:numPr>
          <w:ilvl w:val="0"/>
          <w:numId w:val="2"/>
        </w:numPr>
        <w:spacing w:after="80"/>
      </w:pPr>
      <w:r>
        <w:rPr>
          <w:b/>
          <w:bCs/>
        </w:rPr>
        <w:t xml:space="preserve">Lint &amp; build: </w:t>
      </w:r>
      <w:r>
        <w:t xml:space="preserve">ruff clean; the React SPA builds; the FastAPI app constructs with all routes.</w:t>
      </w:r>
    </w:p>
    <w:p>
      <w:pPr>
        <w:pStyle w:val="ListParagraph"/>
        <w:numPr>
          <w:ilvl w:val="0"/>
          <w:numId w:val="2"/>
        </w:numPr>
        <w:spacing w:after="80"/>
      </w:pPr>
      <w:r>
        <w:rPr>
          <w:b/>
          <w:bCs/>
        </w:rPr>
        <w:t xml:space="preserve">Live end-to-end: </w:t>
      </w:r>
      <w:r>
        <w:t xml:space="preserve">browser login, dynamic tenant/user creation with auto-provisioned login, a real governed LLM answer via Ollama, and a live governance change reflected in enforcement.</w:t>
      </w:r>
    </w:p>
    <w:p>
      <w:pPr>
        <w:pStyle w:val="Heading1"/>
      </w:pPr>
      <w:r>
        <w:t xml:space="preserve">7. Remaining recommendations (seams after v1.0.0)</w:t>
      </w:r>
    </w:p>
    <w:p>
      <w:pPr>
        <w:pStyle w:val="ListParagraph"/>
        <w:numPr>
          <w:ilvl w:val="0"/>
          <w:numId w:val="3"/>
        </w:numPr>
        <w:spacing w:after="80"/>
      </w:pPr>
      <w:r>
        <w:t xml:space="preserve">Full Sigstore — keyless OIDC signing (Fulcio) + a Rekor transparency log, beyond the current Ed25519 scheme.</w:t>
      </w:r>
    </w:p>
    <w:p>
      <w:pPr>
        <w:pStyle w:val="ListParagraph"/>
        <w:numPr>
          <w:ilvl w:val="0"/>
          <w:numId w:val="3"/>
        </w:numPr>
        <w:spacing w:after="80"/>
      </w:pPr>
      <w:r>
        <w:t xml:space="preserve">Semantic memory coverage — embeddings are computed only on new writes; add a re-embed job for existing/seeded memories and make the dimension configurable.</w:t>
      </w:r>
    </w:p>
    <w:p>
      <w:pPr>
        <w:pStyle w:val="ListParagraph"/>
        <w:numPr>
          <w:ilvl w:val="0"/>
          <w:numId w:val="3"/>
        </w:numPr>
        <w:spacing w:after="80"/>
      </w:pPr>
      <w:r>
        <w:t xml:space="preserve">Native async DB driver — the threadpool offload is correct; an async psycopg path raises the concurrency ceiling.</w:t>
      </w:r>
    </w:p>
    <w:p>
      <w:pPr>
        <w:pStyle w:val="ListParagraph"/>
        <w:numPr>
          <w:ilvl w:val="0"/>
          <w:numId w:val="3"/>
        </w:numPr>
        <w:spacing w:after="80"/>
      </w:pPr>
      <w:r>
        <w:t xml:space="preserve">Runtime isolation — move runtime cells off the raw Docker socket to rootless Docker / gVisor / Kata / Firecracker or Kubernetes Pod Security.</w:t>
      </w:r>
    </w:p>
    <w:p>
      <w:pPr>
        <w:pStyle w:val="ListParagraph"/>
        <w:numPr>
          <w:ilvl w:val="0"/>
          <w:numId w:val="3"/>
        </w:numPr>
        <w:spacing w:after="80"/>
      </w:pPr>
      <w:r>
        <w:t xml:space="preserve">Admin authn upgrade — replace the shared-secret admin token with an OIDC platform-admin role or mTLS.</w:t>
      </w:r>
    </w:p>
    <w:p>
      <w:pPr>
        <w:pStyle w:val="ListParagraph"/>
        <w:numPr>
          <w:ilvl w:val="0"/>
          <w:numId w:val="3"/>
        </w:numPr>
        <w:spacing w:after="80"/>
      </w:pPr>
      <w:r>
        <w:t xml:space="preserve">Secrets &amp; deployment — real Vault/KMS (not dev mode), production OIDC client lifecycle, and Kubernetes/Helm/Terraform for multi-replica deployment (the Redis limiter is ready for it).</w:t>
      </w:r>
    </w:p>
    <w:p>
      <w:pPr>
        <w:pStyle w:val="ListParagraph"/>
        <w:numPr>
          <w:ilvl w:val="0"/>
          <w:numId w:val="3"/>
        </w:numPr>
        <w:spacing w:after="80"/>
      </w:pPr>
      <w:r>
        <w:t xml:space="preserve">Audit durability — replicate the ledger to WORM/SIEM; per-tenant CMK/BYOK.</w:t>
      </w:r>
    </w:p>
    <w:p>
      <w:pPr>
        <w:pStyle w:val="ListParagraph"/>
        <w:numPr>
          <w:ilvl w:val="0"/>
          <w:numId w:val="3"/>
        </w:numPr>
        <w:spacing w:after="80"/>
      </w:pPr>
      <w:r>
        <w:t xml:space="preserve">Cost controls — per-tenant / risk-tier token budgets in the model router.</w:t>
      </w:r>
    </w:p>
    <w:p>
      <w:pPr>
        <w:pStyle w:val="ListParagraph"/>
        <w:numPr>
          <w:ilvl w:val="0"/>
          <w:numId w:val="3"/>
        </w:numPr>
        <w:spacing w:after="80"/>
      </w:pPr>
      <w:r>
        <w:t xml:space="preserve">Pre-deployment — load/performance testing, dependency &amp; image scanning with SBOMs, secret-rotation runbooks, and a third-party penetration test.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Confidential — Engineering Review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space="2"/>
      </w:pBdr>
    </w:pPr>
    <w:r>
      <w:rPr>
        <w:color w:val="595959"/>
        <w:sz w:val="16"/>
        <w:szCs w:val="16"/>
      </w:rPr>
      <w:t xml:space="preserve">Sentinel Agent Fabric — Production Readiness Review (v1.0.0)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Production Readiness Review v1.0.0</dc:title>
  <dc:creator>Sentinel Agent Fabric Review</dc:creator>
  <cp:lastModifiedBy>Un-named</cp:lastModifiedBy>
  <cp:revision>1</cp:revision>
  <dcterms:created xsi:type="dcterms:W3CDTF">2026-05-23T04:18:06.942Z</dcterms:created>
  <dcterms:modified xsi:type="dcterms:W3CDTF">2026-05-23T04:18:06.942Z</dcterms:modified>
</cp:coreProperties>
</file>

<file path=docProps/custom.xml><?xml version="1.0" encoding="utf-8"?>
<Properties xmlns="http://schemas.openxmlformats.org/officeDocument/2006/custom-properties" xmlns:vt="http://schemas.openxmlformats.org/officeDocument/2006/docPropsVTypes"/>
</file>