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4"/>
          <w:szCs w:val="34"/>
        </w:rPr>
        <w:t xml:space="preserve">Ground Survey Findings: Slag Dump Resistivity Line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One-page summary for site management — 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2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222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Readings taken</w:t>
            </w:r>
          </w:p>
        </w:tc>
        <w:tc>
          <w:tcPr>
            <w:tcW w:type="dxa" w:w="2340"/>
            <w:shd w:fill="EAF2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38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Ground stations</w:t>
            </w:r>
          </w:p>
        </w:tc>
        <w:tc>
          <w:tcPr>
            <w:tcW w:type="dxa" w:w="2340"/>
            <w:shd w:fill="EAF2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~67 m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Line length</w:t>
            </w:r>
          </w:p>
        </w:tc>
        <w:tc>
          <w:tcPr>
            <w:tcW w:type="dxa" w:w="2340"/>
            <w:shd w:fill="EAF2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Bad/faulty readings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What we did</w:t>
      </w:r>
    </w:p>
    <w:p>
      <w:pPr>
        <w:spacing w:after="120"/>
      </w:pPr>
      <w:r>
        <w:t xml:space="preserve">A resistivity survey passes a small electrical current through the ground and measures how easily it flows. Material that conducts electricity well (e.g. wet, metal-bearing, or saline material) shows up as low resistivity; drier or cleaner material shows up as high resistivity. We surveyed a 67-metre line across the slag dump using 38 ground stations, taking 222 measurements at increasing spacing to see both shallow and deeper ground conditions.</w:t>
      </w:r>
    </w:p>
    <w:p>
      <w:pPr>
        <w:pStyle w:val="Heading2"/>
        <w:spacing w:after="100" w:before="200"/>
      </w:pPr>
      <w:r>
        <w:t xml:space="preserve">What we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data is clean and reliable — every reading passed our quality checks, with no missing, duplicated, or faulty measurements.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Resistivity values ranged from about 4.5 to 32 ohm-metres, in line with what's expected for slag/waste fill material rather than natural bedrock.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Resistivity consistently drops with depth along this line — this is a real, statistically confirmed pattern (not just a visual impression), suggesting the material becomes more conductive (e.g. wetter, or more metal-bearing) at depth.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handful of specific stretches along the line stand out as notably more — or less — conductive than the rest. These are the most efficient places to target if a follow-up borehole or ground-truthing dig is planned.</w:t>
      </w:r>
    </w:p>
    <w:p>
      <w:pPr>
        <w:pStyle w:val="Heading2"/>
        <w:spacing w:after="100" w:before="200"/>
      </w:pPr>
      <w:r>
        <w:t xml:space="preserve">What this means for next steps</w:t>
      </w:r>
    </w:p>
    <w:p>
      <w:pPr>
        <w:spacing w:after="120"/>
      </w:pPr>
      <w:r>
        <w:t xml:space="preserve">Because the below-ground trend is consistent and statistically clear, we recommend treating the identified conductive zones as priority locations for direct sampling (borehole or test pit) to confirm what's driving the signal — e.g. moisture, leachate, or metal content. The full technical workbook (with all charts, the underlying data, and an interactive dashboard) is available for the engineering team; this page is a plain-language summary for planning and budget discussions.</w:t>
      </w:r>
    </w:p>
    <w:p>
      <w:pPr>
        <w:pStyle w:val="Heading2"/>
        <w:spacing w:after="100" w:before="200"/>
      </w:pPr>
      <w:r>
        <w:t xml:space="preserve">Confidence and limits</w:t>
      </w:r>
    </w:p>
    <w:p>
      <w:pPr>
        <w:spacing w:after="120"/>
      </w:pPr>
      <w:r>
        <w:t xml:space="preserve">This survey shows where resistivity is unusually high or low — it does not by itself confirm what's causing those patterns. A resistivity survey is a screening tool, not a substitute for physical sampling. The numbers above come from a standard, widely used calculation (apparent resistivity); a full computer inversion (a more advanced modeling step) would sharpen the depth accuracy further and is recommended before any final decision.</w:t>
      </w:r>
    </w:p>
    <w:p>
      <w:pPr>
        <w:spacing w:before="200"/>
      </w:pPr>
      <w:r>
        <w:rPr>
          <w:i/>
          <w:iCs/>
          <w:color w:val="888888"/>
          <w:sz w:val="16"/>
          <w:szCs w:val="16"/>
        </w:rPr>
        <w:t xml:space="preserve">Prepared from field data collected by BGR Hannover (Germany); analysis and this summary prepared for internal planning use.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2026-08-29T23:51:42.321Z</dcterms:created>
  <dcterms:modified xsi:type="dcterms:W3CDTF">2026-08-29T23:51:42.335Z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