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2BC2" w:rsidRPr="00160F09" w:rsidRDefault="0043221D" w:rsidP="00C910CE">
      <w:pPr>
        <w:jc w:val="center"/>
        <w:rPr>
          <w:rFonts w:ascii="Times New Roman" w:hAnsi="Times New Roman" w:cs="Times New Roman"/>
          <w:b/>
          <w:bCs/>
          <w:sz w:val="28"/>
          <w:szCs w:val="28"/>
        </w:rPr>
      </w:pPr>
      <w:r w:rsidRPr="00160F09">
        <w:rPr>
          <w:rFonts w:ascii="Times New Roman" w:hAnsi="Times New Roman" w:cs="Times New Roman"/>
          <w:b/>
          <w:bCs/>
          <w:sz w:val="28"/>
          <w:szCs w:val="28"/>
        </w:rPr>
        <w:t>A Probabilistic Approach to Dynamic Hazard Zone Mapping in Highway Work Zones</w:t>
      </w:r>
    </w:p>
    <w:p w:rsidR="00DB6833" w:rsidRPr="001904D9" w:rsidRDefault="00C910CE" w:rsidP="000E6C69">
      <w:pPr>
        <w:pStyle w:val="Heading1"/>
        <w:numPr>
          <w:ilvl w:val="0"/>
          <w:numId w:val="2"/>
        </w:numPr>
        <w:spacing w:after="240"/>
        <w:ind w:left="270" w:hanging="270"/>
        <w:rPr>
          <w:rFonts w:ascii="Times New Roman" w:hAnsi="Times New Roman" w:cs="Times New Roman"/>
          <w:b/>
          <w:bCs/>
          <w:color w:val="auto"/>
          <w:sz w:val="28"/>
          <w:szCs w:val="28"/>
        </w:rPr>
      </w:pPr>
      <w:r w:rsidRPr="001904D9">
        <w:rPr>
          <w:rFonts w:ascii="Times New Roman" w:hAnsi="Times New Roman" w:cs="Times New Roman"/>
          <w:b/>
          <w:bCs/>
          <w:color w:val="auto"/>
          <w:sz w:val="28"/>
          <w:szCs w:val="28"/>
        </w:rPr>
        <w:t>Introduction</w:t>
      </w:r>
    </w:p>
    <w:p w:rsidR="00C660A6" w:rsidRPr="00C660A6" w:rsidRDefault="00C660A6" w:rsidP="00C660A6">
      <w:pPr>
        <w:rPr>
          <w:rFonts w:ascii="Times New Roman" w:hAnsi="Times New Roman" w:cs="Times New Roman"/>
          <w:sz w:val="24"/>
          <w:szCs w:val="24"/>
        </w:rPr>
      </w:pPr>
      <w:r w:rsidRPr="00C660A6">
        <w:rPr>
          <w:rFonts w:ascii="Times New Roman" w:hAnsi="Times New Roman" w:cs="Times New Roman"/>
          <w:sz w:val="24"/>
          <w:szCs w:val="24"/>
        </w:rPr>
        <w:t>Highway work zones are inherently complex and hazardous environments where the safety of construction workers and motorists is constantly challenged by active construction and traffic flows. The increased number of accidents and fatalities associated with these zones has led researchers to focus on developing more effective safety measures (Venugopal &amp; Tarko, 2000; Karr, 1998). Accidents in these areas can result from a variety of causes including, but not limited to, vehicular collisions, worker and equipment interactions, and the improper management of traffic flow.</w:t>
      </w:r>
    </w:p>
    <w:p w:rsidR="00C660A6" w:rsidRPr="00C660A6" w:rsidRDefault="00C660A6" w:rsidP="00C660A6">
      <w:pPr>
        <w:rPr>
          <w:rFonts w:ascii="Times New Roman" w:hAnsi="Times New Roman" w:cs="Times New Roman"/>
          <w:sz w:val="24"/>
          <w:szCs w:val="24"/>
        </w:rPr>
      </w:pPr>
      <w:r w:rsidRPr="00C660A6">
        <w:rPr>
          <w:rFonts w:ascii="Times New Roman" w:hAnsi="Times New Roman" w:cs="Times New Roman"/>
          <w:sz w:val="24"/>
          <w:szCs w:val="24"/>
        </w:rPr>
        <w:t>One of the critical issues within these zones is the prevention of near-miss incidents and collisions between construction equipment and onsite workers. The effectiveness of hazard zone mapping plays a pivotal role in this context, serving as a crucial mechanism for incident detection. Traditional approaches to hazard zone mapping typically employ static models, which use simple geometric shapes, such as circles, to define areas of danger around construction equipment. However, these static models are often insufficient for accurately representing the complex, dynamic interactions that occur between mobile workers and equipment in a changing work environment. As a result, they may fail to provide timely alerts or appropriate spatial coverage, leaving workers inadequately protected from potential hazards (Bai, Finger, &amp; Li, 2010; Elias &amp; Herbsman, 2000).</w:t>
      </w:r>
    </w:p>
    <w:p w:rsidR="00C660A6" w:rsidRPr="00C660A6" w:rsidRDefault="00BF25AE" w:rsidP="00C660A6">
      <w:pPr>
        <w:rPr>
          <w:rFonts w:ascii="Times New Roman" w:hAnsi="Times New Roman" w:cs="Times New Roman"/>
          <w:sz w:val="24"/>
          <w:szCs w:val="24"/>
        </w:rPr>
      </w:pPr>
      <w:r w:rsidRPr="00BF25AE">
        <w:rPr>
          <w:rFonts w:ascii="Times New Roman" w:hAnsi="Times New Roman" w:cs="Times New Roman"/>
          <w:sz w:val="24"/>
          <w:szCs w:val="24"/>
        </w:rPr>
        <w:t>In highway work zones, the reliance on simple static circular hazard zones is problematic, particularly in congested environments. One significant issue is the occurrence of false alarms when individuals positioned laterally to a vehicle, in what would typically be considered a safer area, are still alerted by the hazard zone system.</w:t>
      </w:r>
      <w:r>
        <w:rPr>
          <w:rFonts w:ascii="Times New Roman" w:hAnsi="Times New Roman" w:cs="Times New Roman"/>
          <w:sz w:val="24"/>
          <w:szCs w:val="24"/>
        </w:rPr>
        <w:t xml:space="preserve"> Moreover</w:t>
      </w:r>
      <w:r w:rsidRPr="00BF25AE">
        <w:rPr>
          <w:rFonts w:ascii="Times New Roman" w:hAnsi="Times New Roman" w:cs="Times New Roman"/>
          <w:sz w:val="24"/>
          <w:szCs w:val="24"/>
        </w:rPr>
        <w:t>, the size of these hazard zones does not adjust dynamically according to the vehicle's speed. At high speeds, safety necessitates wider zones, while at lower speeds, the zones should contract to prevent unnecessary alarms for individuals who are farther away yet still safe. Furthermore</w:t>
      </w:r>
      <w:r>
        <w:rPr>
          <w:rFonts w:ascii="Times New Roman" w:hAnsi="Times New Roman" w:cs="Times New Roman"/>
          <w:sz w:val="24"/>
          <w:szCs w:val="24"/>
        </w:rPr>
        <w:t>, c</w:t>
      </w:r>
      <w:r w:rsidRPr="00BF25AE">
        <w:rPr>
          <w:rFonts w:ascii="Times New Roman" w:hAnsi="Times New Roman" w:cs="Times New Roman"/>
          <w:sz w:val="24"/>
          <w:szCs w:val="24"/>
        </w:rPr>
        <w:t>urrent practices usually define danger around vehicles using one or two circular zones to indicate different levels of hazard and warning. However, these models fail to represent the gradient of hazard probability extending outward from the equipment. This lack of probabilistic differentiation can result in either overly cautious or insufficiently prepared responses to actual dangers at various distances from the equipment (Rashid et al., 2018; Kuennen, 2007).</w:t>
      </w:r>
    </w:p>
    <w:p w:rsidR="00C910CE" w:rsidRDefault="00C660A6" w:rsidP="00C660A6">
      <w:pPr>
        <w:rPr>
          <w:rFonts w:ascii="Times New Roman" w:hAnsi="Times New Roman" w:cs="Times New Roman"/>
          <w:sz w:val="24"/>
          <w:szCs w:val="24"/>
        </w:rPr>
      </w:pPr>
      <w:r w:rsidRPr="00C660A6">
        <w:rPr>
          <w:rFonts w:ascii="Times New Roman" w:hAnsi="Times New Roman" w:cs="Times New Roman"/>
          <w:sz w:val="24"/>
          <w:szCs w:val="24"/>
        </w:rPr>
        <w:t>The primary objective of this study is to develop a probabilistic, dynamic hazard zone mapping model that adjusts in real-time to the changing conditions within highway work zones, thereby enhancing the responsiveness and effectiveness of safety measures.</w:t>
      </w:r>
    </w:p>
    <w:p w:rsidR="00D246B3" w:rsidRDefault="00D246B3" w:rsidP="00D246B3">
      <w:pPr>
        <w:rPr>
          <w:rFonts w:ascii="Times New Roman" w:hAnsi="Times New Roman" w:cs="Times New Roman"/>
          <w:sz w:val="24"/>
          <w:szCs w:val="24"/>
        </w:rPr>
      </w:pPr>
    </w:p>
    <w:p w:rsidR="00604629" w:rsidRPr="00D502B2" w:rsidRDefault="00604629" w:rsidP="000E6C69">
      <w:pPr>
        <w:pStyle w:val="Heading1"/>
        <w:numPr>
          <w:ilvl w:val="0"/>
          <w:numId w:val="2"/>
        </w:numPr>
        <w:spacing w:after="240"/>
        <w:ind w:left="270" w:hanging="270"/>
        <w:rPr>
          <w:rFonts w:ascii="Times New Roman" w:hAnsi="Times New Roman" w:cs="Times New Roman"/>
          <w:b/>
          <w:bCs/>
          <w:color w:val="auto"/>
          <w:sz w:val="28"/>
          <w:szCs w:val="28"/>
        </w:rPr>
      </w:pPr>
      <w:r w:rsidRPr="00D502B2">
        <w:rPr>
          <w:rFonts w:ascii="Times New Roman" w:hAnsi="Times New Roman" w:cs="Times New Roman"/>
          <w:b/>
          <w:bCs/>
          <w:color w:val="auto"/>
          <w:sz w:val="28"/>
          <w:szCs w:val="28"/>
        </w:rPr>
        <w:lastRenderedPageBreak/>
        <w:t>Literature Review</w:t>
      </w:r>
    </w:p>
    <w:p w:rsidR="00024EA4" w:rsidRPr="00A45EB1" w:rsidRDefault="00024EA4" w:rsidP="00A45EB1">
      <w:pPr>
        <w:pStyle w:val="Heading2"/>
        <w:numPr>
          <w:ilvl w:val="1"/>
          <w:numId w:val="2"/>
        </w:numPr>
        <w:spacing w:after="240"/>
        <w:ind w:left="450" w:hanging="450"/>
        <w:rPr>
          <w:rFonts w:ascii="Times New Roman" w:hAnsi="Times New Roman" w:cs="Times New Roman"/>
          <w:b/>
          <w:bCs/>
          <w:color w:val="auto"/>
          <w:sz w:val="24"/>
          <w:szCs w:val="24"/>
        </w:rPr>
      </w:pPr>
      <w:r w:rsidRPr="00A45EB1">
        <w:rPr>
          <w:rFonts w:ascii="Times New Roman" w:hAnsi="Times New Roman" w:cs="Times New Roman"/>
          <w:b/>
          <w:bCs/>
          <w:color w:val="auto"/>
          <w:sz w:val="24"/>
          <w:szCs w:val="24"/>
        </w:rPr>
        <w:t>Review of Hazard Zone Mapping Methods</w:t>
      </w:r>
    </w:p>
    <w:p w:rsidR="00604629" w:rsidRDefault="00604629" w:rsidP="00D246B3">
      <w:pPr>
        <w:rPr>
          <w:rFonts w:ascii="Times New Roman" w:hAnsi="Times New Roman" w:cs="Times New Roman"/>
          <w:sz w:val="24"/>
          <w:szCs w:val="24"/>
        </w:rPr>
      </w:pPr>
      <w:r w:rsidRPr="00604629">
        <w:rPr>
          <w:rFonts w:ascii="Times New Roman" w:hAnsi="Times New Roman" w:cs="Times New Roman"/>
          <w:sz w:val="24"/>
          <w:szCs w:val="24"/>
        </w:rPr>
        <w:t>Hazard zone mapping in construction and industrial environments traditionally relies on static models that typically utilize simple geometric shapes, such as circles, to demarcate areas of varying danger levels around construction equipment. These models often designate a warning zone and a more critical hazard zone, reflecting different levels of proximity and associated risk. Despite their widespread adoption, these static models are noted for their limitations in accurately capturing the dynamic interactions that occur on site, which can lead to inefficiencies and potential safety oversights (Abotaleb, Nassar, &amp; Hosny, 2016).</w:t>
      </w:r>
    </w:p>
    <w:p w:rsidR="00604629" w:rsidRPr="00604629" w:rsidRDefault="00604629" w:rsidP="00604629">
      <w:pPr>
        <w:rPr>
          <w:rFonts w:ascii="Times New Roman" w:hAnsi="Times New Roman" w:cs="Times New Roman"/>
          <w:sz w:val="24"/>
          <w:szCs w:val="24"/>
        </w:rPr>
      </w:pPr>
      <w:r w:rsidRPr="00604629">
        <w:rPr>
          <w:rFonts w:ascii="Times New Roman" w:hAnsi="Times New Roman" w:cs="Times New Roman"/>
          <w:sz w:val="24"/>
          <w:szCs w:val="24"/>
        </w:rPr>
        <w:t>Hazard zone mapping methodologies have evolved significantly to address the dynamic and complex nature of construction and industrial environments. Automated and real-time data-driven approaches are becoming increasingly crucial for ensuring worker safety amidst the interplay of heavy machinery and human activities. A notable advancement is the use of automated classification systems that employ real-time location systems (RTLS) for crowd-sourced data collection. This method transforms worker location tracks into grid density maps, which dynamically illustrate hazardous and safe areas, significantly improving hazard awareness and site management (Li et al., 2017).</w:t>
      </w:r>
    </w:p>
    <w:p w:rsidR="00604629" w:rsidRPr="00604629" w:rsidRDefault="00604629" w:rsidP="00604629">
      <w:pPr>
        <w:rPr>
          <w:rFonts w:ascii="Times New Roman" w:hAnsi="Times New Roman" w:cs="Times New Roman"/>
          <w:sz w:val="24"/>
          <w:szCs w:val="24"/>
        </w:rPr>
      </w:pPr>
      <w:r w:rsidRPr="00604629">
        <w:rPr>
          <w:rFonts w:ascii="Times New Roman" w:hAnsi="Times New Roman" w:cs="Times New Roman"/>
          <w:sz w:val="24"/>
          <w:szCs w:val="24"/>
        </w:rPr>
        <w:t>The integration of Geographic Information Systems (GIS) and semantic enrichment techniques further enhances the precision and effectiveness of hazard mapping. GIS allows for detailed mapping of site layouts and the assessment of dynamic safety measures, while semantic enrichment of spatio-temporal data provides deeper contextual insights into worker movements and potential risks (Sarasanty, 2020; Arslan et al., 2019). Moreover, proximity zone design around heavy equipment, based on construction resource tracking data, has shown to effectively mitigate risks by creating validated hazard zones that increase spatial awareness and prevent accidents (Awolusi et al., 2015).</w:t>
      </w:r>
    </w:p>
    <w:p w:rsidR="00604629" w:rsidRDefault="00604629" w:rsidP="00604629">
      <w:pPr>
        <w:rPr>
          <w:rFonts w:ascii="Times New Roman" w:hAnsi="Times New Roman" w:cs="Times New Roman"/>
          <w:sz w:val="24"/>
          <w:szCs w:val="24"/>
        </w:rPr>
      </w:pPr>
      <w:r w:rsidRPr="00604629">
        <w:rPr>
          <w:rFonts w:ascii="Times New Roman" w:hAnsi="Times New Roman" w:cs="Times New Roman"/>
          <w:sz w:val="24"/>
          <w:szCs w:val="24"/>
        </w:rPr>
        <w:t>Emerging technologies such as machine learning and computer vision are also being utilized to predict and analyze interactions between workers and machinery, thereby identifying and mitigating safety hazards more effectively. These systems analyze the spatial-temporal relationships and trajectories of workers and equipment to pinpoint danger zones and generate timely safety alerts, contributing significantly to the reduction of accidents and enhancement of overall safety on construction sites (Wang et al., 2019). Each of these technological advancements demonstrates a shift towards more dynamic, integrated, and data-driven safety management practices that cater to the unique needs of modern industrial and construction settings.</w:t>
      </w:r>
    </w:p>
    <w:p w:rsidR="00604629" w:rsidRPr="00A45EB1" w:rsidRDefault="003277E6" w:rsidP="00A45EB1">
      <w:pPr>
        <w:pStyle w:val="Heading2"/>
        <w:numPr>
          <w:ilvl w:val="1"/>
          <w:numId w:val="2"/>
        </w:numPr>
        <w:spacing w:after="240"/>
        <w:ind w:left="450" w:hanging="450"/>
        <w:rPr>
          <w:rFonts w:ascii="Times New Roman" w:hAnsi="Times New Roman" w:cs="Times New Roman"/>
          <w:b/>
          <w:bCs/>
          <w:color w:val="auto"/>
          <w:sz w:val="24"/>
          <w:szCs w:val="24"/>
        </w:rPr>
      </w:pPr>
      <w:r w:rsidRPr="00A45EB1">
        <w:rPr>
          <w:rFonts w:ascii="Times New Roman" w:hAnsi="Times New Roman" w:cs="Times New Roman"/>
          <w:b/>
          <w:bCs/>
          <w:color w:val="auto"/>
          <w:sz w:val="24"/>
          <w:szCs w:val="24"/>
        </w:rPr>
        <w:t>Shortcomings in Existing Hazard Zoning Methods</w:t>
      </w:r>
    </w:p>
    <w:p w:rsidR="003277E6" w:rsidRPr="003277E6" w:rsidRDefault="003277E6" w:rsidP="003277E6">
      <w:pPr>
        <w:rPr>
          <w:rFonts w:ascii="Times New Roman" w:hAnsi="Times New Roman" w:cs="Times New Roman"/>
          <w:sz w:val="24"/>
          <w:szCs w:val="24"/>
        </w:rPr>
      </w:pPr>
      <w:r w:rsidRPr="003277E6">
        <w:rPr>
          <w:rFonts w:ascii="Times New Roman" w:hAnsi="Times New Roman" w:cs="Times New Roman"/>
          <w:sz w:val="24"/>
          <w:szCs w:val="24"/>
        </w:rPr>
        <w:t xml:space="preserve">Static and circular hazard models, traditionally used in construction and industrial environments to delineate safety zones, are based on simple, predefined geometries such as circles that mark hazardous and warning zones. However, these models suffer from </w:t>
      </w:r>
      <w:r w:rsidRPr="003277E6">
        <w:rPr>
          <w:rFonts w:ascii="Times New Roman" w:hAnsi="Times New Roman" w:cs="Times New Roman"/>
          <w:sz w:val="24"/>
          <w:szCs w:val="24"/>
        </w:rPr>
        <w:lastRenderedPageBreak/>
        <w:t>significant limitations, primarily their inability to adapt to changes in the environment and operational conditions. Because they do not account for the dynamic interactions between mobile workers and machinery, these static models often fail to provide accurate and timely updates that reflect the current state of the work area. This leads to a mismatch between the actual and perceived risks, potentially causing safety systems to either overreact or underreact to threats (Li et al., 2016). Additionally, the circular model assumes uniform risk in all directions from the center point, which is rarely accurate on a construction site. This geometric simplification ignores the directional nature of many hazards, such as those posed by specific machinery movements or operational directions, leading to areas being incorrectly labeled as safe or dangerous (Luo et al., 2016).</w:t>
      </w:r>
    </w:p>
    <w:p w:rsidR="00604629" w:rsidRDefault="003277E6" w:rsidP="003277E6">
      <w:pPr>
        <w:rPr>
          <w:rFonts w:ascii="Times New Roman" w:hAnsi="Times New Roman" w:cs="Times New Roman"/>
          <w:sz w:val="24"/>
          <w:szCs w:val="24"/>
        </w:rPr>
      </w:pPr>
      <w:r w:rsidRPr="003277E6">
        <w:rPr>
          <w:rFonts w:ascii="Times New Roman" w:hAnsi="Times New Roman" w:cs="Times New Roman"/>
          <w:sz w:val="24"/>
          <w:szCs w:val="24"/>
        </w:rPr>
        <w:t>Moreover, the rigidity of static models means they cannot easily incorporate real-time data, such as the actual movements of workers and equipment, which are crucial for accurate hazard assessment. This limitation significantly reduces their utility in environments where conditions change rapidly, and where the timing and location of potential hazards can vary significantly over the course of a day or even within hours. The need for a more adaptive and accurate hazard mapping approach is clear, as these traditional models do not provide the flexibility or the level of detail necessary to effectively manage the complex safety challenges present in modern construction and industrial sites (Umer et al., 2018).</w:t>
      </w:r>
    </w:p>
    <w:p w:rsidR="00604629" w:rsidRPr="00A45EB1" w:rsidRDefault="00986401" w:rsidP="00A45EB1">
      <w:pPr>
        <w:pStyle w:val="Heading2"/>
        <w:numPr>
          <w:ilvl w:val="1"/>
          <w:numId w:val="2"/>
        </w:numPr>
        <w:spacing w:after="240"/>
        <w:ind w:left="450" w:hanging="450"/>
        <w:rPr>
          <w:rFonts w:ascii="Times New Roman" w:hAnsi="Times New Roman" w:cs="Times New Roman"/>
          <w:b/>
          <w:bCs/>
          <w:color w:val="auto"/>
          <w:sz w:val="24"/>
          <w:szCs w:val="24"/>
        </w:rPr>
      </w:pPr>
      <w:r w:rsidRPr="00A45EB1">
        <w:rPr>
          <w:rFonts w:ascii="Times New Roman" w:hAnsi="Times New Roman" w:cs="Times New Roman"/>
          <w:b/>
          <w:bCs/>
          <w:color w:val="auto"/>
          <w:sz w:val="24"/>
          <w:szCs w:val="24"/>
        </w:rPr>
        <w:t>Recent Technological Advances in Dynamic Mapping for Construction Safety</w:t>
      </w:r>
    </w:p>
    <w:p w:rsidR="00986401" w:rsidRPr="00986401" w:rsidRDefault="00986401" w:rsidP="00986401">
      <w:pPr>
        <w:rPr>
          <w:rFonts w:ascii="Times New Roman" w:hAnsi="Times New Roman" w:cs="Times New Roman"/>
          <w:sz w:val="24"/>
          <w:szCs w:val="24"/>
        </w:rPr>
      </w:pPr>
      <w:r w:rsidRPr="00986401">
        <w:rPr>
          <w:rFonts w:ascii="Times New Roman" w:hAnsi="Times New Roman" w:cs="Times New Roman"/>
          <w:sz w:val="24"/>
          <w:szCs w:val="24"/>
        </w:rPr>
        <w:t>Recent advancements in sensor technology and data analytics have significantly transformed the approach to dynamic mapping in construction environments, facilitating more accurate and real-time hazard detection and site management. These technologies harness the power of real-time data collection via various types of sensors, enabling a more responsive and adaptive safety management system.</w:t>
      </w:r>
    </w:p>
    <w:p w:rsidR="00986401" w:rsidRPr="00986401" w:rsidRDefault="00986401" w:rsidP="00986401">
      <w:pPr>
        <w:rPr>
          <w:rFonts w:ascii="Times New Roman" w:hAnsi="Times New Roman" w:cs="Times New Roman"/>
          <w:sz w:val="24"/>
          <w:szCs w:val="24"/>
        </w:rPr>
      </w:pPr>
      <w:r w:rsidRPr="00986401">
        <w:rPr>
          <w:rFonts w:ascii="Times New Roman" w:hAnsi="Times New Roman" w:cs="Times New Roman"/>
          <w:sz w:val="24"/>
          <w:szCs w:val="24"/>
        </w:rPr>
        <w:t>One of the key developments is the integration of 3D imaging technologies, such as LiDAR, with real-time data processing algorithms to capture the dynamic nature of construction sites accurately. These methods allow for the rapid and precise planning of 3D imaging in dynamic environments, enhancing the capability to reduce spatial conflicts and improve construction quality (Zhang &amp; Tang, 2015). Similarly, Wireless Sensor Networks (WSNs) have been increasingly utilized to monitor various environmental parameters in real-time, providing crucial data for dynamic mapping and structural health monitoring. This approach not only supports the safety management but also aligns with the Building Information Modeling (BIM) systems to facilitate a holistic view of construction site safety and operations (Kontaxis et al., 2022).</w:t>
      </w:r>
    </w:p>
    <w:p w:rsidR="00986401" w:rsidRDefault="00570730" w:rsidP="00986401">
      <w:pPr>
        <w:rPr>
          <w:rFonts w:ascii="Times New Roman" w:hAnsi="Times New Roman" w:cs="Times New Roman"/>
          <w:sz w:val="24"/>
          <w:szCs w:val="24"/>
        </w:rPr>
      </w:pPr>
      <w:r w:rsidRPr="00570730">
        <w:rPr>
          <w:rFonts w:ascii="Times New Roman" w:hAnsi="Times New Roman" w:cs="Times New Roman"/>
          <w:sz w:val="24"/>
          <w:szCs w:val="24"/>
        </w:rPr>
        <w:t xml:space="preserve">Another significant advancement is the use of Internet of Things (IoT) technologies in construction safety management. Systems integrating IoT with Building Information Modeling (BIM) have been developed to monitor the proximity of workers to dangerous areas or moving machinery in real-time. These systems employ Wireless Sensor Networks (WSNs) to detect when individuals enter predetermined proximity zones that signal high-risk areas, subsequently initiating automatic safety responses such as alerts. </w:t>
      </w:r>
      <w:r w:rsidRPr="00570730">
        <w:rPr>
          <w:rFonts w:ascii="Times New Roman" w:hAnsi="Times New Roman" w:cs="Times New Roman"/>
          <w:sz w:val="24"/>
          <w:szCs w:val="24"/>
        </w:rPr>
        <w:lastRenderedPageBreak/>
        <w:t>This capability not only enhances the efficiency of safety management but also provides a visual interface for monitoring the spatial distribution of safety hazards across the construction site, improving the overall management of worker safety and operational protocols</w:t>
      </w:r>
      <w:r w:rsidR="00986401" w:rsidRPr="00986401">
        <w:rPr>
          <w:rFonts w:ascii="Times New Roman" w:hAnsi="Times New Roman" w:cs="Times New Roman"/>
          <w:sz w:val="24"/>
          <w:szCs w:val="24"/>
        </w:rPr>
        <w:t xml:space="preserve"> (Cheung et al., 2018).</w:t>
      </w:r>
    </w:p>
    <w:p w:rsidR="005640D4" w:rsidRPr="00D502B2" w:rsidRDefault="00BA0BD5" w:rsidP="000E6C69">
      <w:pPr>
        <w:pStyle w:val="Heading1"/>
        <w:numPr>
          <w:ilvl w:val="0"/>
          <w:numId w:val="2"/>
        </w:numPr>
        <w:spacing w:after="240"/>
        <w:ind w:left="270" w:hanging="270"/>
        <w:rPr>
          <w:rFonts w:ascii="Times New Roman" w:hAnsi="Times New Roman" w:cs="Times New Roman"/>
          <w:b/>
          <w:bCs/>
          <w:color w:val="auto"/>
          <w:sz w:val="28"/>
          <w:szCs w:val="28"/>
        </w:rPr>
      </w:pPr>
      <w:r w:rsidRPr="00D502B2">
        <w:rPr>
          <w:rFonts w:ascii="Times New Roman" w:hAnsi="Times New Roman" w:cs="Times New Roman"/>
          <w:b/>
          <w:bCs/>
          <w:color w:val="auto"/>
          <w:sz w:val="28"/>
          <w:szCs w:val="28"/>
        </w:rPr>
        <w:t>Methodology</w:t>
      </w:r>
    </w:p>
    <w:p w:rsidR="00BA0BD5" w:rsidRPr="00A45EB1" w:rsidRDefault="00BA0BD5" w:rsidP="00A45EB1">
      <w:pPr>
        <w:pStyle w:val="Heading2"/>
        <w:numPr>
          <w:ilvl w:val="1"/>
          <w:numId w:val="2"/>
        </w:numPr>
        <w:spacing w:after="240"/>
        <w:ind w:left="450" w:hanging="450"/>
        <w:rPr>
          <w:rFonts w:ascii="Times New Roman" w:hAnsi="Times New Roman" w:cs="Times New Roman"/>
          <w:b/>
          <w:bCs/>
          <w:color w:val="auto"/>
          <w:sz w:val="24"/>
          <w:szCs w:val="24"/>
        </w:rPr>
      </w:pPr>
      <w:r w:rsidRPr="00A45EB1">
        <w:rPr>
          <w:rFonts w:ascii="Times New Roman" w:hAnsi="Times New Roman" w:cs="Times New Roman"/>
          <w:b/>
          <w:bCs/>
          <w:color w:val="auto"/>
          <w:sz w:val="24"/>
          <w:szCs w:val="24"/>
        </w:rPr>
        <w:t>Model Development and Specifications</w:t>
      </w:r>
    </w:p>
    <w:p w:rsidR="00BA0BD5" w:rsidRPr="00BA0BD5" w:rsidRDefault="00BA0BD5" w:rsidP="00BA0BD5">
      <w:pPr>
        <w:rPr>
          <w:rFonts w:ascii="Times New Roman" w:hAnsi="Times New Roman" w:cs="Times New Roman"/>
          <w:sz w:val="24"/>
          <w:szCs w:val="24"/>
        </w:rPr>
      </w:pPr>
      <w:r w:rsidRPr="00BA0BD5">
        <w:rPr>
          <w:rFonts w:ascii="Times New Roman" w:hAnsi="Times New Roman" w:cs="Times New Roman"/>
          <w:sz w:val="24"/>
          <w:szCs w:val="24"/>
        </w:rPr>
        <w:t>The study aims to develop a probabilistic model that dynamically maps hazard zones around construction equipment within highway work zones. The hazard zones are represented using a bivariate Gaussian distribution, designed to adapt in real-time to the equipment's direction and speed. The directional change of probability is managed by varying the standard deviations of the distribution along both axes, aligning the major axis with the direction of movement. This alignment allows for an elongated hazard zone in front of the moving equipment, where the risk is highest. The speed dependency is addressed by expressing the standard deviation as a function of speed, ensuring that the hazard zone size appropriately reflects the equipment’s velocity.</w:t>
      </w:r>
    </w:p>
    <w:p w:rsidR="00BA0BD5" w:rsidRPr="00A45EB1" w:rsidRDefault="00BA0BD5" w:rsidP="00A45EB1">
      <w:pPr>
        <w:pStyle w:val="Heading2"/>
        <w:numPr>
          <w:ilvl w:val="1"/>
          <w:numId w:val="2"/>
        </w:numPr>
        <w:spacing w:after="240"/>
        <w:ind w:left="450" w:hanging="450"/>
        <w:rPr>
          <w:rFonts w:ascii="Times New Roman" w:hAnsi="Times New Roman" w:cs="Times New Roman"/>
          <w:b/>
          <w:bCs/>
          <w:color w:val="auto"/>
          <w:sz w:val="24"/>
          <w:szCs w:val="24"/>
        </w:rPr>
      </w:pPr>
      <w:r w:rsidRPr="00A45EB1">
        <w:rPr>
          <w:rFonts w:ascii="Times New Roman" w:hAnsi="Times New Roman" w:cs="Times New Roman"/>
          <w:b/>
          <w:bCs/>
          <w:color w:val="auto"/>
          <w:sz w:val="24"/>
          <w:szCs w:val="24"/>
        </w:rPr>
        <w:t>Data Collection and Processing</w:t>
      </w:r>
    </w:p>
    <w:p w:rsidR="00BA0BD5" w:rsidRPr="00BA0BD5" w:rsidRDefault="00BA0BD5" w:rsidP="00BA0BD5">
      <w:pPr>
        <w:rPr>
          <w:rFonts w:ascii="Times New Roman" w:hAnsi="Times New Roman" w:cs="Times New Roman"/>
          <w:sz w:val="24"/>
          <w:szCs w:val="24"/>
        </w:rPr>
      </w:pPr>
      <w:r w:rsidRPr="00BA0BD5">
        <w:rPr>
          <w:rFonts w:ascii="Times New Roman" w:hAnsi="Times New Roman" w:cs="Times New Roman"/>
          <w:sz w:val="24"/>
          <w:szCs w:val="24"/>
        </w:rPr>
        <w:t>Data from GPS and IMU sensors will be utilized to obtain real-time location and movement information for both equipment and workers. GPS data will determine the center point of the Gaussian distribution, while IMU data will provide insights into the equipment’s speed and directional changes, crucial for adjusting the distribution’s parameters in real-time. This integration ensures that the hazard zones are accurately mapped and updated in accordance with the physical dynamics observed on the site.</w:t>
      </w:r>
    </w:p>
    <w:p w:rsidR="00BA0BD5" w:rsidRPr="00A45EB1" w:rsidRDefault="00BA0BD5" w:rsidP="00A45EB1">
      <w:pPr>
        <w:pStyle w:val="Heading2"/>
        <w:numPr>
          <w:ilvl w:val="1"/>
          <w:numId w:val="2"/>
        </w:numPr>
        <w:spacing w:after="240"/>
        <w:ind w:left="450" w:hanging="450"/>
        <w:rPr>
          <w:rFonts w:ascii="Times New Roman" w:hAnsi="Times New Roman" w:cs="Times New Roman"/>
          <w:b/>
          <w:bCs/>
          <w:color w:val="auto"/>
          <w:sz w:val="24"/>
          <w:szCs w:val="24"/>
        </w:rPr>
      </w:pPr>
      <w:r w:rsidRPr="00A45EB1">
        <w:rPr>
          <w:rFonts w:ascii="Times New Roman" w:hAnsi="Times New Roman" w:cs="Times New Roman"/>
          <w:b/>
          <w:bCs/>
          <w:color w:val="auto"/>
          <w:sz w:val="24"/>
          <w:szCs w:val="24"/>
        </w:rPr>
        <w:t>Simulation and Testing</w:t>
      </w:r>
    </w:p>
    <w:p w:rsidR="00BA0BD5" w:rsidRPr="00BA0BD5" w:rsidRDefault="00BA0BD5" w:rsidP="00BA0BD5">
      <w:pPr>
        <w:rPr>
          <w:rFonts w:ascii="Times New Roman" w:hAnsi="Times New Roman" w:cs="Times New Roman"/>
          <w:sz w:val="24"/>
          <w:szCs w:val="24"/>
        </w:rPr>
      </w:pPr>
      <w:r w:rsidRPr="00BA0BD5">
        <w:rPr>
          <w:rFonts w:ascii="Times New Roman" w:hAnsi="Times New Roman" w:cs="Times New Roman"/>
          <w:sz w:val="24"/>
          <w:szCs w:val="24"/>
        </w:rPr>
        <w:t>The proposed model will initially be developed and rigorously tested in a simulated environment using the Webots software. This phase will allow for the adjustment and calibration of model parameters without the risks associated with real-world testing. Various scenarios will be simulated to assess how the model responds to different speeds, directions, and operational complexities. The outcomes from these simulations will provide essential data to refine the model and ensure its effectiveness and reliability.</w:t>
      </w:r>
    </w:p>
    <w:p w:rsidR="00BA0BD5" w:rsidRPr="00A45EB1" w:rsidRDefault="00BA0BD5" w:rsidP="00A45EB1">
      <w:pPr>
        <w:pStyle w:val="Heading2"/>
        <w:numPr>
          <w:ilvl w:val="1"/>
          <w:numId w:val="2"/>
        </w:numPr>
        <w:spacing w:after="240"/>
        <w:ind w:left="450" w:hanging="450"/>
        <w:rPr>
          <w:rFonts w:ascii="Times New Roman" w:hAnsi="Times New Roman" w:cs="Times New Roman"/>
          <w:b/>
          <w:bCs/>
          <w:color w:val="auto"/>
          <w:sz w:val="24"/>
          <w:szCs w:val="24"/>
        </w:rPr>
      </w:pPr>
      <w:r w:rsidRPr="00A45EB1">
        <w:rPr>
          <w:rFonts w:ascii="Times New Roman" w:hAnsi="Times New Roman" w:cs="Times New Roman"/>
          <w:b/>
          <w:bCs/>
          <w:color w:val="auto"/>
          <w:sz w:val="24"/>
          <w:szCs w:val="24"/>
        </w:rPr>
        <w:t>Field Experimentation</w:t>
      </w:r>
    </w:p>
    <w:p w:rsidR="00BA0BD5" w:rsidRPr="00BA0BD5" w:rsidRDefault="00BA0BD5" w:rsidP="00BA0BD5">
      <w:pPr>
        <w:rPr>
          <w:rFonts w:ascii="Times New Roman" w:hAnsi="Times New Roman" w:cs="Times New Roman"/>
          <w:sz w:val="24"/>
          <w:szCs w:val="24"/>
        </w:rPr>
      </w:pPr>
      <w:r w:rsidRPr="00BA0BD5">
        <w:rPr>
          <w:rFonts w:ascii="Times New Roman" w:hAnsi="Times New Roman" w:cs="Times New Roman"/>
          <w:sz w:val="24"/>
          <w:szCs w:val="24"/>
        </w:rPr>
        <w:t>Following successful simulations, a field experiment will be conducted to test the model under actual working conditions. Equipment will be fitted with the necessary sensors, and data will be collected during typical operations within a controlled section of a highway work zone. This real-world testing is crucial for validating the model’s practical applicability and its ability to adaptively map hazard zones in a dynamic, unpredictable environment.</w:t>
      </w:r>
    </w:p>
    <w:p w:rsidR="00BA0BD5" w:rsidRPr="00A45EB1" w:rsidRDefault="00BA0BD5" w:rsidP="00A45EB1">
      <w:pPr>
        <w:pStyle w:val="Heading2"/>
        <w:numPr>
          <w:ilvl w:val="1"/>
          <w:numId w:val="2"/>
        </w:numPr>
        <w:spacing w:after="240"/>
        <w:ind w:left="450" w:hanging="450"/>
        <w:rPr>
          <w:rFonts w:ascii="Times New Roman" w:hAnsi="Times New Roman" w:cs="Times New Roman"/>
          <w:b/>
          <w:bCs/>
          <w:color w:val="auto"/>
          <w:sz w:val="24"/>
          <w:szCs w:val="24"/>
        </w:rPr>
      </w:pPr>
      <w:r w:rsidRPr="00A45EB1">
        <w:rPr>
          <w:rFonts w:ascii="Times New Roman" w:hAnsi="Times New Roman" w:cs="Times New Roman"/>
          <w:b/>
          <w:bCs/>
          <w:color w:val="auto"/>
          <w:sz w:val="24"/>
          <w:szCs w:val="24"/>
        </w:rPr>
        <w:lastRenderedPageBreak/>
        <w:t>Analysis and Model Refinement</w:t>
      </w:r>
    </w:p>
    <w:p w:rsidR="00BA0BD5" w:rsidRDefault="00BA0BD5" w:rsidP="00BA0BD5">
      <w:pPr>
        <w:rPr>
          <w:rFonts w:ascii="Times New Roman" w:hAnsi="Times New Roman" w:cs="Times New Roman"/>
          <w:sz w:val="24"/>
          <w:szCs w:val="24"/>
        </w:rPr>
      </w:pPr>
      <w:r w:rsidRPr="00BA0BD5">
        <w:rPr>
          <w:rFonts w:ascii="Times New Roman" w:hAnsi="Times New Roman" w:cs="Times New Roman"/>
          <w:sz w:val="24"/>
          <w:szCs w:val="24"/>
        </w:rPr>
        <w:t>Data collected from the field will be analyzed to evaluate the performance of the hazard mapping model. The focus will be on the model's accuracy in predicting and adapting to changes in hazard zones, its reliability in various operational conditions, and its practical utility in improving safety measures. Adjustments and refinements will be made based on this analysis to enhance the model's accuracy and functionality.</w:t>
      </w:r>
    </w:p>
    <w:p w:rsidR="00986401" w:rsidRDefault="00986401" w:rsidP="00D246B3">
      <w:pPr>
        <w:rPr>
          <w:rFonts w:ascii="Times New Roman" w:hAnsi="Times New Roman" w:cs="Times New Roman"/>
          <w:sz w:val="24"/>
          <w:szCs w:val="24"/>
        </w:rPr>
      </w:pPr>
    </w:p>
    <w:p w:rsidR="00604629" w:rsidRDefault="00604629" w:rsidP="00D246B3">
      <w:pPr>
        <w:rPr>
          <w:rFonts w:ascii="Times New Roman" w:hAnsi="Times New Roman" w:cs="Times New Roman"/>
          <w:sz w:val="24"/>
          <w:szCs w:val="24"/>
        </w:rPr>
      </w:pPr>
    </w:p>
    <w:sectPr w:rsidR="00604629" w:rsidSect="00D779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54420"/>
    <w:multiLevelType w:val="multilevel"/>
    <w:tmpl w:val="4FFC05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FFE15F3"/>
    <w:multiLevelType w:val="hybridMultilevel"/>
    <w:tmpl w:val="A5F2A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48402905">
    <w:abstractNumId w:val="1"/>
  </w:num>
  <w:num w:numId="2" w16cid:durableId="108672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1D"/>
    <w:rsid w:val="00024EA4"/>
    <w:rsid w:val="0006325F"/>
    <w:rsid w:val="000E6C69"/>
    <w:rsid w:val="00160F09"/>
    <w:rsid w:val="001904D9"/>
    <w:rsid w:val="002F3FDF"/>
    <w:rsid w:val="003277E6"/>
    <w:rsid w:val="00337468"/>
    <w:rsid w:val="00367166"/>
    <w:rsid w:val="003A0A1A"/>
    <w:rsid w:val="00405177"/>
    <w:rsid w:val="0043221D"/>
    <w:rsid w:val="004344BD"/>
    <w:rsid w:val="00442F7E"/>
    <w:rsid w:val="005640D4"/>
    <w:rsid w:val="00564BD6"/>
    <w:rsid w:val="00570730"/>
    <w:rsid w:val="005D7D79"/>
    <w:rsid w:val="00604629"/>
    <w:rsid w:val="006D5DF1"/>
    <w:rsid w:val="0077327C"/>
    <w:rsid w:val="008114C4"/>
    <w:rsid w:val="0095709B"/>
    <w:rsid w:val="00986401"/>
    <w:rsid w:val="00A247C3"/>
    <w:rsid w:val="00A45EB1"/>
    <w:rsid w:val="00B04D04"/>
    <w:rsid w:val="00B24E9B"/>
    <w:rsid w:val="00BA0BD5"/>
    <w:rsid w:val="00BC08A8"/>
    <w:rsid w:val="00BD2307"/>
    <w:rsid w:val="00BF25AE"/>
    <w:rsid w:val="00C655F8"/>
    <w:rsid w:val="00C660A6"/>
    <w:rsid w:val="00C7299B"/>
    <w:rsid w:val="00C910CE"/>
    <w:rsid w:val="00D246B3"/>
    <w:rsid w:val="00D502B2"/>
    <w:rsid w:val="00D77900"/>
    <w:rsid w:val="00DB6833"/>
    <w:rsid w:val="00DD4A42"/>
    <w:rsid w:val="00EF2BC2"/>
    <w:rsid w:val="00F148F1"/>
    <w:rsid w:val="00F802DC"/>
    <w:rsid w:val="00F94678"/>
    <w:rsid w:val="00F954A4"/>
    <w:rsid w:val="00FF5A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0E40"/>
  <w15:chartTrackingRefBased/>
  <w15:docId w15:val="{479D5A79-8ACA-4CBE-8263-7325931D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0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C4"/>
    <w:pPr>
      <w:ind w:left="720"/>
      <w:contextualSpacing/>
    </w:pPr>
  </w:style>
  <w:style w:type="character" w:customStyle="1" w:styleId="Heading1Char">
    <w:name w:val="Heading 1 Char"/>
    <w:basedOn w:val="DefaultParagraphFont"/>
    <w:link w:val="Heading1"/>
    <w:uiPriority w:val="9"/>
    <w:rsid w:val="001904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E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D2EE-1388-44E4-954A-2822CB18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5</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Ayenew Yihune</dc:creator>
  <cp:keywords/>
  <dc:description/>
  <cp:lastModifiedBy>Demeke, Ayenew Yihune</cp:lastModifiedBy>
  <cp:revision>238</cp:revision>
  <dcterms:created xsi:type="dcterms:W3CDTF">2024-04-30T15:51:00Z</dcterms:created>
  <dcterms:modified xsi:type="dcterms:W3CDTF">2024-05-15T15:01:00Z</dcterms:modified>
</cp:coreProperties>
</file>