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Georgia" w:cs="Georgia" w:eastAsia="Georgia" w:hAnsi="Georgia"/>
          <w:b/>
          <w:bCs/>
          <w:sz w:val="36"/>
          <w:szCs w:val="36"/>
        </w:rPr>
        <w:t xml:space="preserve">Assignment</w:t>
      </w:r>
    </w:p>
    <w:p>
      <w:pPr>
        <w:jc w:val="center"/>
      </w:pPr>
      <w:r>
        <w:rPr>
          <w:rFonts w:ascii="Georgia" w:cs="Georgia" w:eastAsia="Georgia" w:hAnsi="Georgia"/>
          <w:b w:val="false"/>
          <w:bCs w:val="false"/>
          <w:i w:val="false"/>
          <w:iCs w:val="false"/>
          <w:sz w:val="24"/>
          <w:szCs w:val="24"/>
        </w:rPr>
        <w:t xml:space="preserve">Spring 2026 2nd Semester</w:t>
      </w:r>
    </w:p>
    <w:p>
      <w:pPr>
        <w:spacing w:after="480" w:before="240"/>
        <w:jc w:val="center"/>
      </w:pPr>
      <w:r>
        <w:rPr>
          <w:rFonts w:ascii="Georgia" w:cs="Georgia" w:eastAsia="Georgia" w:hAnsi="Georgia"/>
          <w:b w:val="false"/>
          <w:bCs w:val="false"/>
          <w:i/>
          <w:iCs/>
          <w:sz w:val="24"/>
          <w:szCs w:val="24"/>
        </w:rPr>
        <w:t xml:space="preserve">Topic(s): Lab 6 Verification Of Kirchhoff’s Laws</w:t>
      </w:r>
    </w:p>
    <w:p>
      <w:pPr>
        <w:spacing w:after="120" w:before="480"/>
        <w:jc w:val="center"/>
      </w:pPr>
      <w:r>
        <w:rPr>
          <w:rFonts w:ascii="Georgia" w:cs="Georgia" w:eastAsia="Georgia" w:hAnsi="Georgia"/>
          <w:b/>
          <w:bCs/>
          <w:i w:val="false"/>
          <w:iCs w:val="false"/>
          <w:sz w:val="24"/>
          <w:szCs w:val="24"/>
        </w:rPr>
        <w:t xml:space="preserve">SUBMITTED TO:</w:t>
      </w:r>
    </w:p>
    <w:p>
      <w:pPr>
        <w:jc w:val="center"/>
      </w:pPr>
      <w:r>
        <w:rPr>
          <w:rFonts w:ascii="Georgia" w:cs="Georgia" w:eastAsia="Georgia" w:hAnsi="Georgia"/>
          <w:b w:val="false"/>
          <w:bCs w:val="false"/>
          <w:i w:val="false"/>
          <w:iCs w:val="false"/>
          <w:sz w:val="24"/>
          <w:szCs w:val="24"/>
        </w:rPr>
        <w:t xml:space="preserve">Mr. Mehmood-ul-Haq</w:t>
      </w:r>
    </w:p>
    <w:p>
      <w:pPr>
        <w:spacing w:after="120" w:before="360"/>
        <w:jc w:val="center"/>
      </w:pPr>
      <w:r>
        <w:rPr>
          <w:rFonts w:ascii="Georgia" w:cs="Georgia" w:eastAsia="Georgia" w:hAnsi="Georgia"/>
          <w:b/>
          <w:bCs/>
          <w:i w:val="false"/>
          <w:iCs w:val="false"/>
          <w:sz w:val="24"/>
          <w:szCs w:val="24"/>
        </w:rPr>
        <w:t xml:space="preserve">SUBMITTED BY:</w:t>
      </w:r>
    </w:p>
    <w:p>
      <w:pPr>
        <w:jc w:val="center"/>
      </w:pPr>
      <w:r>
        <w:rPr>
          <w:rFonts w:ascii="Georgia" w:cs="Georgia" w:eastAsia="Georgia" w:hAnsi="Georgia"/>
          <w:b w:val="false"/>
          <w:bCs w:val="false"/>
          <w:i w:val="false"/>
          <w:iCs w:val="false"/>
          <w:sz w:val="24"/>
          <w:szCs w:val="24"/>
        </w:rPr>
        <w:t xml:space="preserve">Ayesha Naseem (2025-CE-19)</w:t>
      </w:r>
    </w:p>
    <w:p>
      <w:pPr>
        <w:spacing w:after="120" w:before="360"/>
        <w:jc w:val="center"/>
      </w:pPr>
      <w:r>
        <w:rPr>
          <w:rFonts w:ascii="Georgia" w:cs="Georgia" w:eastAsia="Georgia" w:hAnsi="Georgia"/>
          <w:b w:val="false"/>
          <w:bCs w:val="false"/>
          <w:i w:val="false"/>
          <w:iCs w:val="false"/>
          <w:sz w:val="24"/>
          <w:szCs w:val="24"/>
        </w:rPr>
        <w:t xml:space="preserve">Submission Date: 27 Apr, 2026</w:t>
      </w:r>
    </w:p>
    <w:p>
      <w:pPr>
        <w:spacing w:after="120" w:before="720"/>
        <w:jc w:val="center"/>
      </w:pPr>
      <w:r>
        <w:rPr>
          <w:rFonts w:ascii="Georgia" w:cs="Georgia" w:eastAsia="Georgia" w:hAnsi="Georgia"/>
          <w:b/>
          <w:bCs/>
          <w:i w:val="false"/>
          <w:iCs w:val="false"/>
          <w:sz w:val="24"/>
          <w:szCs w:val="24"/>
        </w:rPr>
        <w:t xml:space="preserve">Department of Computer Engineering</w:t>
      </w:r>
    </w:p>
    <w:p>
      <w:pPr>
        <w:jc w:val="center"/>
      </w:pPr>
      <w:r>
        <w:rPr>
          <w:rFonts w:ascii="Georgia" w:cs="Georgia" w:eastAsia="Georgia" w:hAnsi="Georgia"/>
          <w:b w:val="false"/>
          <w:bCs w:val="false"/>
          <w:i w:val="false"/>
          <w:iCs w:val="false"/>
          <w:sz w:val="24"/>
          <w:szCs w:val="24"/>
        </w:rPr>
        <w:t xml:space="preserve">University of Engineering and Technology Lahore</w:t>
      </w:r>
    </w:p>
    <w:p>
      <w:pPr>
        <w:jc w:val="center"/>
      </w:pPr>
      <w:r>
        <w:rPr>
          <w:rFonts w:ascii="Georgia" w:cs="Georgia" w:eastAsia="Georgia" w:hAnsi="Georgia"/>
          <w:b w:val="false"/>
          <w:bCs w:val="false"/>
          <w:i w:val="false"/>
          <w:iCs w:val="false"/>
          <w:sz w:val="24"/>
          <w:szCs w:val="24"/>
        </w:rPr>
        <w:t xml:space="preserve">Main Campus</w:t>
      </w:r>
    </w:p>
    <w:p>
      <w:pPr>
        <w:spacing w:before="240"/>
        <w:jc w:val="center"/>
      </w:pPr>
      <w:r>
        <w:rPr>
          <w:rFonts w:ascii="Georgia" w:cs="Georgia" w:eastAsia="Georgia" w:hAnsi="Georgia"/>
          <w:b w:val="false"/>
          <w:bCs w:val="false"/>
          <w:i w:val="false"/>
          <w:iCs w:val="false"/>
          <w:sz w:val="24"/>
          <w:szCs w:val="24"/>
        </w:rPr>
        <w:t xml:space="preserve">Course Title: Circuit Analysis Lab</w:t>
      </w:r>
    </w:p>
    <w:p>
      <w:pPr>
        <w:jc w:val="center"/>
      </w:pPr>
      <w:r>
        <w:rPr>
          <w:rFonts w:ascii="Georgia" w:cs="Georgia" w:eastAsia="Georgia" w:hAnsi="Georgia"/>
          <w:b w:val="false"/>
          <w:bCs w:val="false"/>
          <w:i w:val="false"/>
          <w:iCs w:val="false"/>
          <w:sz w:val="24"/>
          <w:szCs w:val="24"/>
        </w:rPr>
        <w:t xml:space="preserve">Course Code: CMPE-121L</w:t>
      </w:r>
    </w:p>
    <w:p>
      <w:pPr>
        <w:pageBreakBefore/>
      </w:pPr>
    </w:p>
    <w:p>
      <w:pPr>
        <w:pStyle w:val="Heading1"/>
        <w:spacing w:after="200" w:before="360"/>
      </w:pPr>
      <w:r>
        <w:rPr>
          <w:rFonts w:ascii="Georgia" w:cs="Georgia" w:eastAsia="Georgia" w:hAnsi="Georgia"/>
          <w:b/>
          <w:bCs/>
          <w:sz w:val="34"/>
          <w:szCs w:val="34"/>
        </w:rPr>
        <w:t xml:space="preserve">Experiment 1</w:t>
      </w:r>
    </w:p>
    <w:p>
      <w:pPr>
        <w:spacing w:after="60" w:before="120"/>
        <w:jc w:val="center"/>
      </w:pPr>
      <w:r>
        <w:drawing>
          <wp:inline distT="0" distB="0" distL="0" distR="0">
            <wp:extent cx="58102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3609975"/>
                    </a:xfrm>
                    <a:prstGeom prst="rect">
                      <a:avLst/>
                    </a:prstGeom>
                  </pic:spPr>
                </pic:pic>
              </a:graphicData>
            </a:graphic>
          </wp:inline>
        </w:drawing>
      </w:r>
    </w:p>
    <w:p>
      <w:pPr>
        <w:spacing w:after="60" w:before="120"/>
        <w:jc w:val="center"/>
      </w:pPr>
      <w:r>
        <w:drawing>
          <wp:inline distT="0" distB="0" distL="0" distR="0">
            <wp:extent cx="58102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800350"/>
                    </a:xfrm>
                    <a:prstGeom prst="rect">
                      <a:avLst/>
                    </a:prstGeom>
                  </pic:spPr>
                </pic:pic>
              </a:graphicData>
            </a:graphic>
          </wp:inline>
        </w:drawing>
      </w:r>
    </w:p>
    <w:p>
      <w:pPr>
        <w:spacing w:after="180"/>
        <w:jc w:val="center"/>
      </w:pPr>
      <w:r>
        <w:rPr>
          <w:rFonts w:ascii="Georgia" w:cs="Georgia" w:eastAsia="Georgia" w:hAnsi="Georgia"/>
          <w:i/>
          <w:iCs/>
          <w:sz w:val="20"/>
          <w:szCs w:val="20"/>
        </w:rPr>
        <w:t xml:space="preserve">Breadboard circuit layout: No measurements being taken</w:t>
      </w:r>
    </w:p>
    <w:p>
      <w:pPr>
        <w:pStyle w:val="Heading2"/>
        <w:spacing w:after="120" w:before="280"/>
      </w:pPr>
      <w:r>
        <w:rPr>
          <w:rFonts w:ascii="Georgia" w:cs="Georgia" w:eastAsia="Georgia" w:hAnsi="Georgia"/>
          <w:b/>
          <w:bCs/>
          <w:sz w:val="26"/>
          <w:szCs w:val="26"/>
        </w:rPr>
        <w:t xml:space="preserve">Practical Procedure</w:t>
      </w:r>
    </w:p>
    <w:p>
      <w:pPr>
        <w:spacing w:after="180"/>
      </w:pPr>
      <w:r>
        <w:rPr>
          <w:rFonts w:ascii="Georgia" w:cs="Georgia" w:eastAsia="Georgia" w:hAnsi="Georgia"/>
          <w:b w:val="false"/>
          <w:bCs w:val="false"/>
          <w:i w:val="false"/>
          <w:iCs w:val="false"/>
          <w:sz w:val="24"/>
          <w:szCs w:val="24"/>
        </w:rPr>
        <w:t xml:space="preserve">The objective of this experiment is to verify Kirchhoff’s Current Law (KCL) by analyzing the nodal current distribution in a series-parallel resistive network. The circuit is constructed using a </w:t>
      </w:r>
      <w:r>
        <w:rPr>
          <w:rFonts w:ascii="Georgia" w:cs="Georgia" w:eastAsia="Georgia" w:hAnsi="Georgia"/>
          <w:b/>
          <w:bCs/>
          <w:i w:val="false"/>
          <w:iCs w:val="false"/>
          <w:sz w:val="24"/>
          <w:szCs w:val="24"/>
        </w:rPr>
        <w:t xml:space="preserve">Regulated Power Supply (RPS)</w:t>
      </w:r>
      <w:r>
        <w:rPr>
          <w:rFonts w:ascii="Georgia" w:cs="Georgia" w:eastAsia="Georgia" w:hAnsi="Georgia"/>
          <w:b w:val="false"/>
          <w:bCs w:val="false"/>
          <w:i w:val="false"/>
          <w:iCs w:val="false"/>
          <w:sz w:val="24"/>
          <w:szCs w:val="24"/>
        </w:rPr>
        <w:t xml:space="preserve"> as the DC source, with R₁ = 330 Ω connected in series to a junction that splits into two parallel paths. Branch A contains a 1 kΩ resistor, while Branch B consists of a 220 Ω and 1 kΩ resistor in series. We take each current reading for different RPS voltages. For this experiment, we will supply 5V, 15V and 25V from our RPS.</w:t>
      </w:r>
    </w:p>
    <w:p>
      <w:pPr>
        <w:spacing w:after="180"/>
      </w:pPr>
      <w:r>
        <w:rPr>
          <w:rFonts w:ascii="Georgia" w:cs="Georgia" w:eastAsia="Georgia" w:hAnsi="Georgia"/>
          <w:b w:val="false"/>
          <w:bCs w:val="false"/>
          <w:i w:val="false"/>
          <w:iCs w:val="false"/>
          <w:sz w:val="24"/>
          <w:szCs w:val="24"/>
        </w:rPr>
        <w:t xml:space="preserve">To measure the branch currents, the multimeter dial is set to the </w:t>
      </w:r>
      <w:r>
        <w:rPr>
          <w:rFonts w:ascii="Georgia" w:cs="Georgia" w:eastAsia="Georgia" w:hAnsi="Georgia"/>
          <w:b/>
          <w:bCs/>
          <w:i w:val="false"/>
          <w:iCs w:val="false"/>
          <w:sz w:val="24"/>
          <w:szCs w:val="24"/>
        </w:rPr>
        <w:t xml:space="preserve">20mA</w:t>
      </w:r>
      <w:r>
        <w:rPr>
          <w:rFonts w:ascii="Georgia" w:cs="Georgia" w:eastAsia="Georgia" w:hAnsi="Georgia"/>
          <w:b w:val="false"/>
          <w:bCs w:val="false"/>
          <w:i w:val="false"/>
          <w:iCs w:val="false"/>
          <w:sz w:val="24"/>
          <w:szCs w:val="24"/>
        </w:rPr>
        <w:t xml:space="preserve"> or </w:t>
      </w:r>
      <w:r>
        <w:rPr>
          <w:rFonts w:ascii="Georgia" w:cs="Georgia" w:eastAsia="Georgia" w:hAnsi="Georgia"/>
          <w:b/>
          <w:bCs/>
          <w:i w:val="false"/>
          <w:iCs w:val="false"/>
          <w:sz w:val="24"/>
          <w:szCs w:val="24"/>
        </w:rPr>
        <w:t xml:space="preserve">200mA DC</w:t>
      </w:r>
      <w:r>
        <w:rPr>
          <w:rFonts w:ascii="Georgia" w:cs="Georgia" w:eastAsia="Georgia" w:hAnsi="Georgia"/>
          <w:b w:val="false"/>
          <w:bCs w:val="false"/>
          <w:i w:val="false"/>
          <w:iCs w:val="false"/>
          <w:sz w:val="24"/>
          <w:szCs w:val="24"/>
        </w:rPr>
        <w:t xml:space="preserve"> range (indicated by the A— symbol). The black probe is connected to the COM port while the red probe is inserted into the mA μA terminal. Measuring current requires the DMM to be connected in series, which necessitates breaking the circuit at each specific node to allow the charge to flow through the meter.</w:t>
      </w:r>
    </w:p>
    <w:p>
      <w:pPr>
        <w:spacing w:after="180"/>
      </w:pPr>
      <w:r>
        <w:rPr>
          <w:rFonts w:ascii="Georgia" w:cs="Georgia" w:eastAsia="Georgia" w:hAnsi="Georgia"/>
          <w:b w:val="false"/>
          <w:bCs w:val="false"/>
          <w:i w:val="false"/>
          <w:iCs w:val="false"/>
          <w:sz w:val="24"/>
          <w:szCs w:val="24"/>
        </w:rPr>
        <w:t xml:space="preserve">The total current (I₁) is measured at the output of the RPS, while I₂ and I₃ are captured by placing the meter in series with their respective parallel branches. This arrangement allows us to verify that the current entering the main junction is equal to the sum of the currents exiting through the parallel paths.</w:t>
      </w:r>
    </w:p>
    <w:p>
      <w:pPr>
        <w:spacing w:after="180"/>
      </w:pPr>
      <w:r>
        <w:rPr>
          <w:rFonts w:ascii="Georgia" w:cs="Georgia" w:eastAsia="Georgia" w:hAnsi="Georgia"/>
          <w:b w:val="false"/>
          <w:bCs w:val="false"/>
          <w:i w:val="false"/>
          <w:iCs w:val="false"/>
          <w:sz w:val="24"/>
          <w:szCs w:val="24"/>
        </w:rPr>
        <w:t xml:space="preserve">Theoretical predictions assume ideal conditions; however, minor discrepancies may be observed in simulated or physical environments. Factors such as the burden voltage of the ammeter and the internal resistance of the connecting leads of the multimeter and/or heat damage and corrosion on the breadboard contact points can introduce slight deviations.</w:t>
      </w:r>
    </w:p>
    <w:p>
      <w:pPr>
        <w:spacing w:after="80" w:before="200"/>
      </w:pPr>
      <w:r>
        <w:rPr>
          <w:rFonts w:ascii="Georgia" w:cs="Georgia" w:eastAsia="Georgia" w:hAnsi="Georgia"/>
          <w:b/>
          <w:bCs/>
          <w:i w:val="false"/>
          <w:iCs w:val="false"/>
          <w:sz w:val="24"/>
          <w:szCs w:val="24"/>
        </w:rPr>
        <w:t xml:space="preserve">Falstad Simulations – Current I₁</w:t>
      </w:r>
    </w:p>
    <w:p>
      <w:pPr>
        <w:spacing w:after="60" w:before="120"/>
        <w:jc w:val="center"/>
      </w:pPr>
      <w:r>
        <w:drawing>
          <wp:inline distT="0" distB="0" distL="0" distR="0">
            <wp:extent cx="58102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800350"/>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Current I₁ due to 5V source</w:t>
      </w:r>
    </w:p>
    <w:p>
      <w:pPr>
        <w:spacing w:after="60" w:before="120"/>
        <w:jc w:val="center"/>
      </w:pPr>
      <w:r>
        <w:drawing>
          <wp:inline distT="0" distB="0" distL="0" distR="0">
            <wp:extent cx="58102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543175"/>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Current I₁ due to 15V source</w:t>
      </w:r>
    </w:p>
    <w:p>
      <w:pPr>
        <w:spacing w:after="60" w:before="120"/>
        <w:jc w:val="center"/>
      </w:pPr>
      <w:r>
        <w:drawing>
          <wp:inline distT="0" distB="0" distL="0" distR="0">
            <wp:extent cx="5810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714625"/>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Current I₁ due to 25V source</w:t>
      </w:r>
    </w:p>
    <w:p>
      <w:pPr>
        <w:spacing w:after="60" w:before="120"/>
        <w:jc w:val="center"/>
      </w:pPr>
      <w:r>
        <w:drawing>
          <wp:inline distT="0" distB="0" distL="0" distR="0">
            <wp:extent cx="5810250"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6000750"/>
                    </a:xfrm>
                    <a:prstGeom prst="rect">
                      <a:avLst/>
                    </a:prstGeom>
                  </pic:spPr>
                </pic:pic>
              </a:graphicData>
            </a:graphic>
          </wp:inline>
        </w:drawing>
      </w:r>
    </w:p>
    <w:p>
      <w:pPr>
        <w:spacing w:after="180"/>
        <w:jc w:val="center"/>
      </w:pPr>
      <w:r>
        <w:rPr>
          <w:rFonts w:ascii="Georgia" w:cs="Georgia" w:eastAsia="Georgia" w:hAnsi="Georgia"/>
          <w:i/>
          <w:iCs/>
          <w:sz w:val="20"/>
          <w:szCs w:val="20"/>
        </w:rPr>
        <w:t xml:space="preserve">Breadboard circuit layout: Ammeter connection to measure I₁</w:t>
      </w:r>
    </w:p>
    <w:p>
      <w:pPr>
        <w:spacing w:after="80" w:before="200"/>
      </w:pPr>
      <w:r>
        <w:rPr>
          <w:rFonts w:ascii="Georgia" w:cs="Georgia" w:eastAsia="Georgia" w:hAnsi="Georgia"/>
          <w:b/>
          <w:bCs/>
          <w:i w:val="false"/>
          <w:iCs w:val="false"/>
          <w:sz w:val="24"/>
          <w:szCs w:val="24"/>
        </w:rPr>
        <w:t xml:space="preserve">Falstad Simulations – Current I₂</w:t>
      </w:r>
    </w:p>
    <w:p>
      <w:pPr>
        <w:spacing w:after="60" w:before="120"/>
        <w:jc w:val="center"/>
      </w:pPr>
      <w:r>
        <w:drawing>
          <wp:inline distT="0" distB="0" distL="0" distR="0">
            <wp:extent cx="58102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800350"/>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Current I₂ due to 5V source</w:t>
      </w:r>
    </w:p>
    <w:p>
      <w:pPr>
        <w:spacing w:after="60" w:before="120"/>
        <w:jc w:val="center"/>
      </w:pPr>
      <w:r>
        <w:drawing>
          <wp:inline distT="0" distB="0" distL="0" distR="0">
            <wp:extent cx="58102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543175"/>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Current I₂ due to 15V source</w:t>
      </w:r>
    </w:p>
    <w:p>
      <w:pPr>
        <w:spacing w:after="60" w:before="120"/>
        <w:jc w:val="center"/>
      </w:pPr>
      <w:r>
        <w:drawing>
          <wp:inline distT="0" distB="0" distL="0" distR="0">
            <wp:extent cx="5810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714625"/>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Current I₂ due to 25V source</w:t>
      </w:r>
    </w:p>
    <w:p>
      <w:pPr>
        <w:spacing w:after="60" w:before="120"/>
        <w:jc w:val="center"/>
      </w:pPr>
      <w:r>
        <w:drawing>
          <wp:inline distT="0" distB="0" distL="0" distR="0">
            <wp:extent cx="581025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5181600"/>
                    </a:xfrm>
                    <a:prstGeom prst="rect">
                      <a:avLst/>
                    </a:prstGeom>
                  </pic:spPr>
                </pic:pic>
              </a:graphicData>
            </a:graphic>
          </wp:inline>
        </w:drawing>
      </w:r>
    </w:p>
    <w:p>
      <w:pPr>
        <w:spacing w:after="180"/>
        <w:jc w:val="center"/>
      </w:pPr>
      <w:r>
        <w:rPr>
          <w:rFonts w:ascii="Georgia" w:cs="Georgia" w:eastAsia="Georgia" w:hAnsi="Georgia"/>
          <w:i/>
          <w:iCs/>
          <w:sz w:val="20"/>
          <w:szCs w:val="20"/>
        </w:rPr>
        <w:t xml:space="preserve">Breadboard circuit layout: Ammeter connection to measure I₂</w:t>
      </w:r>
    </w:p>
    <w:p>
      <w:pPr>
        <w:spacing w:after="80" w:before="200"/>
      </w:pPr>
      <w:r>
        <w:rPr>
          <w:rFonts w:ascii="Georgia" w:cs="Georgia" w:eastAsia="Georgia" w:hAnsi="Georgia"/>
          <w:b/>
          <w:bCs/>
          <w:i w:val="false"/>
          <w:iCs w:val="false"/>
          <w:sz w:val="24"/>
          <w:szCs w:val="24"/>
        </w:rPr>
        <w:t xml:space="preserve">Falstad Simulations – Current I₃</w:t>
      </w:r>
    </w:p>
    <w:p>
      <w:pPr>
        <w:spacing w:after="60" w:before="120"/>
        <w:jc w:val="center"/>
      </w:pPr>
      <w:r>
        <w:drawing>
          <wp:inline distT="0" distB="0" distL="0" distR="0">
            <wp:extent cx="58102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2800350"/>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Current I₃ due to 5V source</w:t>
      </w:r>
    </w:p>
    <w:p>
      <w:pPr>
        <w:spacing w:after="60" w:before="120"/>
        <w:jc w:val="center"/>
      </w:pPr>
      <w:r>
        <w:drawing>
          <wp:inline distT="0" distB="0" distL="0" distR="0">
            <wp:extent cx="58102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2543175"/>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Current I₃ due to 15V source</w:t>
      </w:r>
    </w:p>
    <w:p>
      <w:pPr>
        <w:spacing w:after="60" w:before="120"/>
        <w:jc w:val="center"/>
      </w:pPr>
      <w:r>
        <w:drawing>
          <wp:inline distT="0" distB="0" distL="0" distR="0">
            <wp:extent cx="5810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714625"/>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Current I₃ due to 25V source</w:t>
      </w:r>
    </w:p>
    <w:p>
      <w:pPr>
        <w:spacing w:after="60" w:before="120"/>
        <w:jc w:val="center"/>
      </w:pPr>
      <w:r>
        <w:drawing>
          <wp:inline distT="0" distB="0" distL="0" distR="0">
            <wp:extent cx="5810250" cy="575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5753100"/>
                    </a:xfrm>
                    <a:prstGeom prst="rect">
                      <a:avLst/>
                    </a:prstGeom>
                  </pic:spPr>
                </pic:pic>
              </a:graphicData>
            </a:graphic>
          </wp:inline>
        </w:drawing>
      </w:r>
    </w:p>
    <w:p>
      <w:pPr>
        <w:spacing w:after="180"/>
        <w:jc w:val="center"/>
      </w:pPr>
      <w:r>
        <w:rPr>
          <w:rFonts w:ascii="Georgia" w:cs="Georgia" w:eastAsia="Georgia" w:hAnsi="Georgia"/>
          <w:i/>
          <w:iCs/>
          <w:sz w:val="20"/>
          <w:szCs w:val="20"/>
        </w:rPr>
        <w:t xml:space="preserve">Breadboard circuit layout: Ammeter connection to measure I₃</w:t>
      </w:r>
    </w:p>
    <w:p>
      <w:pPr>
        <w:pageBreakBefore/>
      </w:pPr>
    </w:p>
    <w:p>
      <w:pPr>
        <w:pStyle w:val="Heading2"/>
        <w:spacing w:after="120" w:before="280"/>
      </w:pPr>
      <w:r>
        <w:rPr>
          <w:rFonts w:ascii="Georgia" w:cs="Georgia" w:eastAsia="Georgia" w:hAnsi="Georgia"/>
          <w:b/>
          <w:bCs/>
          <w:sz w:val="26"/>
          <w:szCs w:val="26"/>
        </w:rPr>
        <w:t xml:space="preserve">Experiment 1 Data – Practical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1404"/>
        <w:gridCol w:w="1404"/>
        <w:gridCol w:w="1404"/>
        <w:gridCol w:w="2808"/>
      </w:tblGrid>
      <w:tr>
        <w:tc>
          <w:tcPr>
            <w:tcW w:type="dxa" w:w="936"/>
            <w:tcBorders>
              <w:top w:val="single" w:color="444444" w:sz="4"/>
              <w:left w:val="single" w:color="444444" w:sz="4"/>
              <w:bottom w:val="single" w:color="444444" w:sz="4"/>
              <w:right w:val="single" w:color="444444" w:sz="4"/>
            </w:tcBorders>
            <w:shd w:fill="D5E8F0" w:val="clear"/>
            <w:tcMar>
              <w:top w:type="dxa" w:w="80"/>
              <w:left w:type="dxa" w:w="120"/>
              <w:bottom w:type="dxa" w:w="80"/>
              <w:right w:type="dxa" w:w="120"/>
            </w:tcMar>
            <w:vAlign w:val="center"/>
          </w:tcPr>
          <w:p>
            <w:pPr>
              <w:jc w:val="center"/>
            </w:pPr>
            <w:r>
              <w:rPr>
                <w:rFonts w:ascii="Georgia" w:cs="Georgia" w:eastAsia="Georgia" w:hAnsi="Georgia"/>
                <w:b/>
                <w:bCs/>
                <w:sz w:val="24"/>
                <w:szCs w:val="24"/>
              </w:rPr>
              <w:t xml:space="preserve">Sl. No.</w:t>
            </w:r>
          </w:p>
        </w:tc>
        <w:tc>
          <w:tcPr>
            <w:tcW w:type="dxa" w:w="1404"/>
            <w:tcBorders>
              <w:top w:val="single" w:color="444444" w:sz="4"/>
              <w:left w:val="single" w:color="444444" w:sz="4"/>
              <w:bottom w:val="single" w:color="444444" w:sz="4"/>
              <w:right w:val="single" w:color="444444" w:sz="4"/>
            </w:tcBorders>
            <w:shd w:fill="D5E8F0" w:val="clear"/>
            <w:tcMar>
              <w:top w:type="dxa" w:w="80"/>
              <w:left w:type="dxa" w:w="120"/>
              <w:bottom w:type="dxa" w:w="80"/>
              <w:right w:type="dxa" w:w="120"/>
            </w:tcMar>
            <w:vAlign w:val="center"/>
          </w:tcPr>
          <w:p>
            <w:pPr>
              <w:jc w:val="center"/>
            </w:pPr>
            <w:r>
              <w:rPr>
                <w:rFonts w:ascii="Georgia" w:cs="Georgia" w:eastAsia="Georgia" w:hAnsi="Georgia"/>
                <w:b/>
                <w:bCs/>
                <w:sz w:val="24"/>
                <w:szCs w:val="24"/>
              </w:rPr>
              <w:t xml:space="preserve">Voltage E</w:t>
            </w:r>
          </w:p>
        </w:tc>
        <w:tc>
          <w:tcPr>
            <w:tcW w:type="dxa" w:w="1404"/>
            <w:tcBorders>
              <w:top w:val="single" w:color="444444" w:sz="4"/>
              <w:left w:val="single" w:color="444444" w:sz="4"/>
              <w:bottom w:val="single" w:color="444444" w:sz="4"/>
              <w:right w:val="single" w:color="444444" w:sz="4"/>
            </w:tcBorders>
            <w:shd w:fill="D5E8F0" w:val="clear"/>
            <w:tcMar>
              <w:top w:type="dxa" w:w="80"/>
              <w:left w:type="dxa" w:w="120"/>
              <w:bottom w:type="dxa" w:w="80"/>
              <w:right w:type="dxa" w:w="120"/>
            </w:tcMar>
            <w:vAlign w:val="center"/>
          </w:tcPr>
          <w:p>
            <w:pPr>
              <w:jc w:val="center"/>
            </w:pPr>
            <w:r>
              <w:rPr>
                <w:rFonts w:ascii="Georgia" w:cs="Georgia" w:eastAsia="Georgia" w:hAnsi="Georgia"/>
                <w:b/>
                <w:bCs/>
                <w:sz w:val="24"/>
                <w:szCs w:val="24"/>
              </w:rPr>
              <w:t xml:space="preserve">I1 (mA)</w:t>
            </w:r>
          </w:p>
        </w:tc>
        <w:tc>
          <w:tcPr>
            <w:tcW w:type="dxa" w:w="1404"/>
            <w:tcBorders>
              <w:top w:val="single" w:color="444444" w:sz="4"/>
              <w:left w:val="single" w:color="444444" w:sz="4"/>
              <w:bottom w:val="single" w:color="444444" w:sz="4"/>
              <w:right w:val="single" w:color="444444" w:sz="4"/>
            </w:tcBorders>
            <w:shd w:fill="D5E8F0" w:val="clear"/>
            <w:tcMar>
              <w:top w:type="dxa" w:w="80"/>
              <w:left w:type="dxa" w:w="120"/>
              <w:bottom w:type="dxa" w:w="80"/>
              <w:right w:type="dxa" w:w="120"/>
            </w:tcMar>
            <w:vAlign w:val="center"/>
          </w:tcPr>
          <w:p>
            <w:pPr>
              <w:jc w:val="center"/>
            </w:pPr>
            <w:r>
              <w:rPr>
                <w:rFonts w:ascii="Georgia" w:cs="Georgia" w:eastAsia="Georgia" w:hAnsi="Georgia"/>
                <w:b/>
                <w:bCs/>
                <w:sz w:val="24"/>
                <w:szCs w:val="24"/>
              </w:rPr>
              <w:t xml:space="preserve">I2 (mA)</w:t>
            </w:r>
          </w:p>
        </w:tc>
        <w:tc>
          <w:tcPr>
            <w:tcW w:type="dxa" w:w="1404"/>
            <w:tcBorders>
              <w:top w:val="single" w:color="444444" w:sz="4"/>
              <w:left w:val="single" w:color="444444" w:sz="4"/>
              <w:bottom w:val="single" w:color="444444" w:sz="4"/>
              <w:right w:val="single" w:color="444444" w:sz="4"/>
            </w:tcBorders>
            <w:shd w:fill="D5E8F0" w:val="clear"/>
            <w:tcMar>
              <w:top w:type="dxa" w:w="80"/>
              <w:left w:type="dxa" w:w="120"/>
              <w:bottom w:type="dxa" w:w="80"/>
              <w:right w:type="dxa" w:w="120"/>
            </w:tcMar>
            <w:vAlign w:val="center"/>
          </w:tcPr>
          <w:p>
            <w:pPr>
              <w:jc w:val="center"/>
            </w:pPr>
            <w:r>
              <w:rPr>
                <w:rFonts w:ascii="Georgia" w:cs="Georgia" w:eastAsia="Georgia" w:hAnsi="Georgia"/>
                <w:b/>
                <w:bCs/>
                <w:sz w:val="24"/>
                <w:szCs w:val="24"/>
              </w:rPr>
              <w:t xml:space="preserve">I3 (mA)</w:t>
            </w:r>
          </w:p>
        </w:tc>
        <w:tc>
          <w:tcPr>
            <w:tcW w:type="dxa" w:w="2808"/>
            <w:tcBorders>
              <w:top w:val="single" w:color="444444" w:sz="4"/>
              <w:left w:val="single" w:color="444444" w:sz="4"/>
              <w:bottom w:val="single" w:color="444444" w:sz="4"/>
              <w:right w:val="single" w:color="444444" w:sz="4"/>
            </w:tcBorders>
            <w:shd w:fill="D5E8F0" w:val="clear"/>
            <w:tcMar>
              <w:top w:type="dxa" w:w="80"/>
              <w:left w:type="dxa" w:w="120"/>
              <w:bottom w:type="dxa" w:w="80"/>
              <w:right w:type="dxa" w:w="120"/>
            </w:tcMar>
            <w:vAlign w:val="center"/>
          </w:tcPr>
          <w:p>
            <w:pPr>
              <w:jc w:val="center"/>
            </w:pPr>
            <w:r>
              <w:rPr>
                <w:rFonts w:ascii="Georgia" w:cs="Georgia" w:eastAsia="Georgia" w:hAnsi="Georgia"/>
                <w:b/>
                <w:bCs/>
                <w:sz w:val="24"/>
                <w:szCs w:val="24"/>
              </w:rPr>
              <w:t xml:space="preserve">I1 = I2 + I3</w:t>
            </w:r>
          </w:p>
        </w:tc>
      </w:tr>
      <w:tr>
        <w:tc>
          <w:tcPr>
            <w:tcW w:type="dxa" w:w="936"/>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1</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5</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5.685</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3.124</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2.561</w:t>
            </w:r>
          </w:p>
        </w:tc>
        <w:tc>
          <w:tcPr>
            <w:tcW w:type="dxa" w:w="2808"/>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5.685 = 5.685</w:t>
            </w:r>
          </w:p>
        </w:tc>
      </w:tr>
      <w:tr>
        <w:tc>
          <w:tcPr>
            <w:tcW w:type="dxa" w:w="936"/>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2</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15</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17.054</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9.372</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7.682</w:t>
            </w:r>
          </w:p>
        </w:tc>
        <w:tc>
          <w:tcPr>
            <w:tcW w:type="dxa" w:w="2808"/>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17.054 = 17.054</w:t>
            </w:r>
          </w:p>
        </w:tc>
      </w:tr>
      <w:tr>
        <w:tc>
          <w:tcPr>
            <w:tcW w:type="dxa" w:w="936"/>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3</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25</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28.424</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15.620</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12.803</w:t>
            </w:r>
          </w:p>
        </w:tc>
        <w:tc>
          <w:tcPr>
            <w:tcW w:type="dxa" w:w="2808"/>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28.424 ≈ 28.423</w:t>
            </w:r>
          </w:p>
        </w:tc>
      </w:tr>
    </w:tbl>
    <w:p>
      <w:pPr>
        <w:pageBreakBefore/>
      </w:pPr>
    </w:p>
    <w:p>
      <w:pPr>
        <w:pStyle w:val="Heading1"/>
        <w:spacing w:after="200" w:before="360"/>
      </w:pPr>
      <w:r>
        <w:rPr>
          <w:rFonts w:ascii="Georgia" w:cs="Georgia" w:eastAsia="Georgia" w:hAnsi="Georgia"/>
          <w:b/>
          <w:bCs/>
          <w:sz w:val="34"/>
          <w:szCs w:val="34"/>
        </w:rPr>
        <w:t xml:space="preserve">Experiment 2</w:t>
      </w:r>
    </w:p>
    <w:p>
      <w:pPr>
        <w:spacing w:after="60" w:before="120"/>
        <w:jc w:val="center"/>
      </w:pPr>
      <w:r>
        <w:drawing>
          <wp:inline distT="0" distB="0" distL="0" distR="0">
            <wp:extent cx="581025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3781425"/>
                    </a:xfrm>
                    <a:prstGeom prst="rect">
                      <a:avLst/>
                    </a:prstGeom>
                  </pic:spPr>
                </pic:pic>
              </a:graphicData>
            </a:graphic>
          </wp:inline>
        </w:drawing>
      </w:r>
    </w:p>
    <w:p>
      <w:pPr>
        <w:spacing w:after="60" w:before="120"/>
        <w:jc w:val="center"/>
      </w:pPr>
      <w:r>
        <w:drawing>
          <wp:inline distT="0" distB="0" distL="0" distR="0">
            <wp:extent cx="58102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2790825"/>
                    </a:xfrm>
                    <a:prstGeom prst="rect">
                      <a:avLst/>
                    </a:prstGeom>
                  </pic:spPr>
                </pic:pic>
              </a:graphicData>
            </a:graphic>
          </wp:inline>
        </w:drawing>
      </w:r>
    </w:p>
    <w:p>
      <w:pPr>
        <w:spacing w:after="180"/>
        <w:jc w:val="center"/>
      </w:pPr>
      <w:r>
        <w:rPr>
          <w:rFonts w:ascii="Georgia" w:cs="Georgia" w:eastAsia="Georgia" w:hAnsi="Georgia"/>
          <w:i/>
          <w:iCs/>
          <w:sz w:val="20"/>
          <w:szCs w:val="20"/>
        </w:rPr>
        <w:t xml:space="preserve">Breadboard circuit layout: No measurement being taken</w:t>
      </w:r>
    </w:p>
    <w:p>
      <w:pPr>
        <w:pStyle w:val="Heading2"/>
        <w:spacing w:after="120" w:before="280"/>
      </w:pPr>
      <w:r>
        <w:rPr>
          <w:rFonts w:ascii="Georgia" w:cs="Georgia" w:eastAsia="Georgia" w:hAnsi="Georgia"/>
          <w:b/>
          <w:bCs/>
          <w:sz w:val="26"/>
          <w:szCs w:val="26"/>
        </w:rPr>
        <w:t xml:space="preserve">Practical Procedure</w:t>
      </w:r>
    </w:p>
    <w:p>
      <w:pPr>
        <w:spacing w:after="180"/>
      </w:pPr>
      <w:r>
        <w:rPr>
          <w:rFonts w:ascii="Georgia" w:cs="Georgia" w:eastAsia="Georgia" w:hAnsi="Georgia"/>
          <w:b w:val="false"/>
          <w:bCs w:val="false"/>
          <w:i w:val="false"/>
          <w:iCs w:val="false"/>
          <w:sz w:val="24"/>
          <w:szCs w:val="24"/>
        </w:rPr>
        <w:t xml:space="preserve">The objective of this experiment is to verify Kirchhoff’s Voltage Law (KVL) by examining the distribution of potential differences across a series-parallel resistive loop. The network is assembled by connecting a 330 Ω resistor in series with a parallel bank composed of a 1 kΩ resistor and a 220 Ω resistor. The circuit is driven by the </w:t>
      </w:r>
      <w:r>
        <w:rPr>
          <w:rFonts w:ascii="Georgia" w:cs="Georgia" w:eastAsia="Georgia" w:hAnsi="Georgia"/>
          <w:b/>
          <w:bCs/>
          <w:i w:val="false"/>
          <w:iCs w:val="false"/>
          <w:sz w:val="24"/>
          <w:szCs w:val="24"/>
        </w:rPr>
        <w:t xml:space="preserve">Regulated Power Supply</w:t>
      </w:r>
      <w:r>
        <w:rPr>
          <w:rFonts w:ascii="Georgia" w:cs="Georgia" w:eastAsia="Georgia" w:hAnsi="Georgia"/>
          <w:b w:val="false"/>
          <w:bCs w:val="false"/>
          <w:i w:val="false"/>
          <w:iCs w:val="false"/>
          <w:sz w:val="24"/>
          <w:szCs w:val="24"/>
        </w:rPr>
        <w:t xml:space="preserve">, and the actual source voltage (E₁) is monitored at increments of 5 V, 10 V, and 15 V to observe how the potential drops scale linearly across the different resistive elements.</w:t>
      </w:r>
    </w:p>
    <w:p>
      <w:pPr>
        <w:spacing w:after="180"/>
      </w:pPr>
      <w:r>
        <w:rPr>
          <w:rFonts w:ascii="Georgia" w:cs="Georgia" w:eastAsia="Georgia" w:hAnsi="Georgia"/>
          <w:b w:val="false"/>
          <w:bCs w:val="false"/>
          <w:i w:val="false"/>
          <w:iCs w:val="false"/>
          <w:sz w:val="24"/>
          <w:szCs w:val="24"/>
        </w:rPr>
        <w:t xml:space="preserve">For voltage measurements, the multimeter dial is set to the 20V DC range (indicated by the V— symbol). The red probe is inserted into the VΩHz terminal and the black probe into the COM port. To measure the potential drops V₁, V₂, and V₃, the probes are placed in parallel across each resistor. Because V₂ and V₃ are measured across parallel branches, they share common nodes and should yield identical readings. KVL is verified by confirming that the sum of the voltage drop across the series resistor (V₁) and the voltage across the parallel bank (V₂) equals the total electromotive force provided by the RPS.</w:t>
      </w:r>
    </w:p>
    <w:p>
      <w:pPr>
        <w:spacing w:after="180"/>
      </w:pPr>
      <w:r>
        <w:rPr>
          <w:rFonts w:ascii="Georgia" w:cs="Georgia" w:eastAsia="Georgia" w:hAnsi="Georgia"/>
          <w:b w:val="false"/>
          <w:bCs w:val="false"/>
          <w:i w:val="false"/>
          <w:iCs w:val="false"/>
          <w:sz w:val="24"/>
          <w:szCs w:val="24"/>
        </w:rPr>
        <w:t xml:space="preserve">Discrepancies in KVL measurements typically arise from the loading effect of the voltmeter, which possesses a high but finite internal impedance (typically 10 MΩ). In a physical setup, contact resistance at the breadboard nodes and the precision of the power supply’s voltage regulation can also influence the results.</w:t>
      </w:r>
    </w:p>
    <w:p>
      <w:pPr>
        <w:spacing w:after="80" w:before="200"/>
      </w:pPr>
      <w:r>
        <w:rPr>
          <w:rFonts w:ascii="Georgia" w:cs="Georgia" w:eastAsia="Georgia" w:hAnsi="Georgia"/>
          <w:b/>
          <w:bCs/>
          <w:i w:val="false"/>
          <w:iCs w:val="false"/>
          <w:sz w:val="24"/>
          <w:szCs w:val="24"/>
        </w:rPr>
        <w:t xml:space="preserve">Falstad Simulations – Voltage V₁</w:t>
      </w:r>
    </w:p>
    <w:p>
      <w:pPr>
        <w:spacing w:after="60" w:before="120"/>
        <w:jc w:val="center"/>
      </w:pPr>
      <w:r>
        <w:drawing>
          <wp:inline distT="0" distB="0" distL="0" distR="0">
            <wp:extent cx="58102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2800350"/>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Voltage V₁ due to 5V source</w:t>
      </w:r>
    </w:p>
    <w:p>
      <w:pPr>
        <w:spacing w:after="60" w:before="120"/>
        <w:jc w:val="center"/>
      </w:pPr>
      <w:r>
        <w:drawing>
          <wp:inline distT="0" distB="0" distL="0" distR="0">
            <wp:extent cx="58102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2543175"/>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Voltage V₁ due to 10V source</w:t>
      </w:r>
    </w:p>
    <w:p>
      <w:pPr>
        <w:spacing w:after="60" w:before="120"/>
        <w:jc w:val="center"/>
      </w:pPr>
      <w:r>
        <w:drawing>
          <wp:inline distT="0" distB="0" distL="0" distR="0">
            <wp:extent cx="5810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2714625"/>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Voltage V₁ due to 15V source</w:t>
      </w:r>
    </w:p>
    <w:p>
      <w:pPr>
        <w:spacing w:after="60" w:before="120"/>
        <w:jc w:val="center"/>
      </w:pPr>
      <w:r>
        <w:drawing>
          <wp:inline distT="0" distB="0" distL="0" distR="0">
            <wp:extent cx="5810250" cy="575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10250" cy="5753100"/>
                    </a:xfrm>
                    <a:prstGeom prst="rect">
                      <a:avLst/>
                    </a:prstGeom>
                  </pic:spPr>
                </pic:pic>
              </a:graphicData>
            </a:graphic>
          </wp:inline>
        </w:drawing>
      </w:r>
    </w:p>
    <w:p>
      <w:pPr>
        <w:spacing w:after="180"/>
        <w:jc w:val="center"/>
      </w:pPr>
      <w:r>
        <w:rPr>
          <w:rFonts w:ascii="Georgia" w:cs="Georgia" w:eastAsia="Georgia" w:hAnsi="Georgia"/>
          <w:i/>
          <w:iCs/>
          <w:sz w:val="20"/>
          <w:szCs w:val="20"/>
        </w:rPr>
        <w:t xml:space="preserve">Breadboard circuit layout: Voltmeter connection to measure V₁</w:t>
      </w:r>
    </w:p>
    <w:p>
      <w:pPr>
        <w:spacing w:after="80" w:before="200"/>
      </w:pPr>
      <w:r>
        <w:rPr>
          <w:rFonts w:ascii="Georgia" w:cs="Georgia" w:eastAsia="Georgia" w:hAnsi="Georgia"/>
          <w:b/>
          <w:bCs/>
          <w:i w:val="false"/>
          <w:iCs w:val="false"/>
          <w:sz w:val="24"/>
          <w:szCs w:val="24"/>
        </w:rPr>
        <w:t xml:space="preserve">Falstad Simulations – Voltage V₂</w:t>
      </w:r>
    </w:p>
    <w:p>
      <w:pPr>
        <w:spacing w:after="60" w:before="120"/>
        <w:jc w:val="center"/>
      </w:pPr>
      <w:r>
        <w:drawing>
          <wp:inline distT="0" distB="0" distL="0" distR="0">
            <wp:extent cx="58102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10250" cy="2800350"/>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Voltage V₂ due to 5V source</w:t>
      </w:r>
    </w:p>
    <w:p>
      <w:pPr>
        <w:spacing w:after="60" w:before="120"/>
        <w:jc w:val="center"/>
      </w:pPr>
      <w:r>
        <w:drawing>
          <wp:inline distT="0" distB="0" distL="0" distR="0">
            <wp:extent cx="58102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10250" cy="2543175"/>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Voltage V₂ due to 10V source</w:t>
      </w:r>
    </w:p>
    <w:p>
      <w:pPr>
        <w:spacing w:after="60" w:before="120"/>
        <w:jc w:val="center"/>
      </w:pPr>
      <w:r>
        <w:drawing>
          <wp:inline distT="0" distB="0" distL="0" distR="0">
            <wp:extent cx="5810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10250" cy="2714625"/>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Voltage V₂ due to 15V source</w:t>
      </w:r>
    </w:p>
    <w:p>
      <w:pPr>
        <w:spacing w:after="60" w:before="120"/>
        <w:jc w:val="center"/>
      </w:pPr>
      <w:r>
        <w:drawing>
          <wp:inline distT="0" distB="0" distL="0" distR="0">
            <wp:extent cx="581025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10250" cy="5181600"/>
                    </a:xfrm>
                    <a:prstGeom prst="rect">
                      <a:avLst/>
                    </a:prstGeom>
                  </pic:spPr>
                </pic:pic>
              </a:graphicData>
            </a:graphic>
          </wp:inline>
        </w:drawing>
      </w:r>
    </w:p>
    <w:p>
      <w:pPr>
        <w:spacing w:after="180"/>
        <w:jc w:val="center"/>
      </w:pPr>
      <w:r>
        <w:rPr>
          <w:rFonts w:ascii="Georgia" w:cs="Georgia" w:eastAsia="Georgia" w:hAnsi="Georgia"/>
          <w:i/>
          <w:iCs/>
          <w:sz w:val="20"/>
          <w:szCs w:val="20"/>
        </w:rPr>
        <w:t xml:space="preserve">Breadboard circuit layout: Voltmeter connection to measure V₂</w:t>
      </w:r>
    </w:p>
    <w:p>
      <w:pPr>
        <w:spacing w:after="80" w:before="200"/>
      </w:pPr>
      <w:r>
        <w:rPr>
          <w:rFonts w:ascii="Georgia" w:cs="Georgia" w:eastAsia="Georgia" w:hAnsi="Georgia"/>
          <w:b/>
          <w:bCs/>
          <w:i w:val="false"/>
          <w:iCs w:val="false"/>
          <w:sz w:val="24"/>
          <w:szCs w:val="24"/>
        </w:rPr>
        <w:t xml:space="preserve">Falstad Simulations – Voltage V₃</w:t>
      </w:r>
    </w:p>
    <w:p>
      <w:pPr>
        <w:spacing w:after="60" w:before="120"/>
        <w:jc w:val="center"/>
      </w:pPr>
      <w:r>
        <w:drawing>
          <wp:inline distT="0" distB="0" distL="0" distR="0">
            <wp:extent cx="58102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10250" cy="2800350"/>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Voltage V₃ due to 5V source</w:t>
      </w:r>
    </w:p>
    <w:p>
      <w:pPr>
        <w:spacing w:after="60" w:before="120"/>
        <w:jc w:val="center"/>
      </w:pPr>
      <w:r>
        <w:drawing>
          <wp:inline distT="0" distB="0" distL="0" distR="0">
            <wp:extent cx="58102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10250" cy="2543175"/>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Voltage V₃ due to 10V source</w:t>
      </w:r>
    </w:p>
    <w:p>
      <w:pPr>
        <w:spacing w:after="60" w:before="120"/>
        <w:jc w:val="center"/>
      </w:pPr>
      <w:r>
        <w:drawing>
          <wp:inline distT="0" distB="0" distL="0" distR="0">
            <wp:extent cx="5810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10250" cy="2714625"/>
                    </a:xfrm>
                    <a:prstGeom prst="rect">
                      <a:avLst/>
                    </a:prstGeom>
                  </pic:spPr>
                </pic:pic>
              </a:graphicData>
            </a:graphic>
          </wp:inline>
        </w:drawing>
      </w:r>
    </w:p>
    <w:p>
      <w:pPr>
        <w:spacing w:after="180"/>
        <w:jc w:val="center"/>
      </w:pPr>
      <w:r>
        <w:rPr>
          <w:rFonts w:ascii="Georgia" w:cs="Georgia" w:eastAsia="Georgia" w:hAnsi="Georgia"/>
          <w:i/>
          <w:iCs/>
          <w:sz w:val="20"/>
          <w:szCs w:val="20"/>
        </w:rPr>
        <w:t xml:space="preserve">Falstad: Voltage V₃ due to 15V source</w:t>
      </w:r>
    </w:p>
    <w:p>
      <w:pPr>
        <w:spacing w:after="60" w:before="120"/>
        <w:jc w:val="center"/>
      </w:pPr>
      <w:r>
        <w:drawing>
          <wp:inline distT="0" distB="0" distL="0" distR="0">
            <wp:extent cx="5810250" cy="575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810250" cy="5753100"/>
                    </a:xfrm>
                    <a:prstGeom prst="rect">
                      <a:avLst/>
                    </a:prstGeom>
                  </pic:spPr>
                </pic:pic>
              </a:graphicData>
            </a:graphic>
          </wp:inline>
        </w:drawing>
      </w:r>
    </w:p>
    <w:p>
      <w:pPr>
        <w:spacing w:after="180"/>
        <w:jc w:val="center"/>
      </w:pPr>
      <w:r>
        <w:rPr>
          <w:rFonts w:ascii="Georgia" w:cs="Georgia" w:eastAsia="Georgia" w:hAnsi="Georgia"/>
          <w:i/>
          <w:iCs/>
          <w:sz w:val="20"/>
          <w:szCs w:val="20"/>
        </w:rPr>
        <w:t xml:space="preserve">Breadboard circuit layout: Voltmeter connection to measure V₃</w:t>
      </w:r>
    </w:p>
    <w:p>
      <w:pPr>
        <w:pageBreakBefore/>
      </w:pPr>
    </w:p>
    <w:p>
      <w:pPr>
        <w:pStyle w:val="Heading2"/>
        <w:spacing w:after="120" w:before="280"/>
      </w:pPr>
      <w:r>
        <w:rPr>
          <w:rFonts w:ascii="Georgia" w:cs="Georgia" w:eastAsia="Georgia" w:hAnsi="Georgia"/>
          <w:b/>
          <w:bCs/>
          <w:sz w:val="26"/>
          <w:szCs w:val="26"/>
        </w:rPr>
        <w:t xml:space="preserve">Experiment 2 Data – Practical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1404"/>
        <w:gridCol w:w="1404"/>
        <w:gridCol w:w="1404"/>
        <w:gridCol w:w="2808"/>
      </w:tblGrid>
      <w:tr>
        <w:tc>
          <w:tcPr>
            <w:tcW w:type="dxa" w:w="936"/>
            <w:tcBorders>
              <w:top w:val="single" w:color="444444" w:sz="4"/>
              <w:left w:val="single" w:color="444444" w:sz="4"/>
              <w:bottom w:val="single" w:color="444444" w:sz="4"/>
              <w:right w:val="single" w:color="444444" w:sz="4"/>
            </w:tcBorders>
            <w:shd w:fill="D5E8F0" w:val="clear"/>
            <w:tcMar>
              <w:top w:type="dxa" w:w="80"/>
              <w:left w:type="dxa" w:w="120"/>
              <w:bottom w:type="dxa" w:w="80"/>
              <w:right w:type="dxa" w:w="120"/>
            </w:tcMar>
            <w:vAlign w:val="center"/>
          </w:tcPr>
          <w:p>
            <w:pPr>
              <w:jc w:val="center"/>
            </w:pPr>
            <w:r>
              <w:rPr>
                <w:rFonts w:ascii="Georgia" w:cs="Georgia" w:eastAsia="Georgia" w:hAnsi="Georgia"/>
                <w:b/>
                <w:bCs/>
                <w:sz w:val="24"/>
                <w:szCs w:val="24"/>
              </w:rPr>
              <w:t xml:space="preserve">Sl. No.</w:t>
            </w:r>
          </w:p>
        </w:tc>
        <w:tc>
          <w:tcPr>
            <w:tcW w:type="dxa" w:w="1404"/>
            <w:tcBorders>
              <w:top w:val="single" w:color="444444" w:sz="4"/>
              <w:left w:val="single" w:color="444444" w:sz="4"/>
              <w:bottom w:val="single" w:color="444444" w:sz="4"/>
              <w:right w:val="single" w:color="444444" w:sz="4"/>
            </w:tcBorders>
            <w:shd w:fill="D5E8F0" w:val="clear"/>
            <w:tcMar>
              <w:top w:type="dxa" w:w="80"/>
              <w:left w:type="dxa" w:w="120"/>
              <w:bottom w:type="dxa" w:w="80"/>
              <w:right w:type="dxa" w:w="120"/>
            </w:tcMar>
            <w:vAlign w:val="center"/>
          </w:tcPr>
          <w:p>
            <w:pPr>
              <w:jc w:val="center"/>
            </w:pPr>
            <w:r>
              <w:rPr>
                <w:rFonts w:ascii="Georgia" w:cs="Georgia" w:eastAsia="Georgia" w:hAnsi="Georgia"/>
                <w:b/>
                <w:bCs/>
                <w:sz w:val="24"/>
                <w:szCs w:val="24"/>
              </w:rPr>
              <w:t xml:space="preserve">E1 (V)</w:t>
            </w:r>
          </w:p>
        </w:tc>
        <w:tc>
          <w:tcPr>
            <w:tcW w:type="dxa" w:w="1404"/>
            <w:tcBorders>
              <w:top w:val="single" w:color="444444" w:sz="4"/>
              <w:left w:val="single" w:color="444444" w:sz="4"/>
              <w:bottom w:val="single" w:color="444444" w:sz="4"/>
              <w:right w:val="single" w:color="444444" w:sz="4"/>
            </w:tcBorders>
            <w:shd w:fill="D5E8F0" w:val="clear"/>
            <w:tcMar>
              <w:top w:type="dxa" w:w="80"/>
              <w:left w:type="dxa" w:w="120"/>
              <w:bottom w:type="dxa" w:w="80"/>
              <w:right w:type="dxa" w:w="120"/>
            </w:tcMar>
            <w:vAlign w:val="center"/>
          </w:tcPr>
          <w:p>
            <w:pPr>
              <w:jc w:val="center"/>
            </w:pPr>
            <w:r>
              <w:rPr>
                <w:rFonts w:ascii="Georgia" w:cs="Georgia" w:eastAsia="Georgia" w:hAnsi="Georgia"/>
                <w:b/>
                <w:bCs/>
                <w:sz w:val="24"/>
                <w:szCs w:val="24"/>
              </w:rPr>
              <w:t xml:space="preserve">V1 (V)</w:t>
            </w:r>
          </w:p>
        </w:tc>
        <w:tc>
          <w:tcPr>
            <w:tcW w:type="dxa" w:w="1404"/>
            <w:tcBorders>
              <w:top w:val="single" w:color="444444" w:sz="4"/>
              <w:left w:val="single" w:color="444444" w:sz="4"/>
              <w:bottom w:val="single" w:color="444444" w:sz="4"/>
              <w:right w:val="single" w:color="444444" w:sz="4"/>
            </w:tcBorders>
            <w:shd w:fill="D5E8F0" w:val="clear"/>
            <w:tcMar>
              <w:top w:type="dxa" w:w="80"/>
              <w:left w:type="dxa" w:w="120"/>
              <w:bottom w:type="dxa" w:w="80"/>
              <w:right w:type="dxa" w:w="120"/>
            </w:tcMar>
            <w:vAlign w:val="center"/>
          </w:tcPr>
          <w:p>
            <w:pPr>
              <w:jc w:val="center"/>
            </w:pPr>
            <w:r>
              <w:rPr>
                <w:rFonts w:ascii="Georgia" w:cs="Georgia" w:eastAsia="Georgia" w:hAnsi="Georgia"/>
                <w:b/>
                <w:bCs/>
                <w:sz w:val="24"/>
                <w:szCs w:val="24"/>
              </w:rPr>
              <w:t xml:space="preserve">V2 (V)</w:t>
            </w:r>
          </w:p>
        </w:tc>
        <w:tc>
          <w:tcPr>
            <w:tcW w:type="dxa" w:w="1404"/>
            <w:tcBorders>
              <w:top w:val="single" w:color="444444" w:sz="4"/>
              <w:left w:val="single" w:color="444444" w:sz="4"/>
              <w:bottom w:val="single" w:color="444444" w:sz="4"/>
              <w:right w:val="single" w:color="444444" w:sz="4"/>
            </w:tcBorders>
            <w:shd w:fill="D5E8F0" w:val="clear"/>
            <w:tcMar>
              <w:top w:type="dxa" w:w="80"/>
              <w:left w:type="dxa" w:w="120"/>
              <w:bottom w:type="dxa" w:w="80"/>
              <w:right w:type="dxa" w:w="120"/>
            </w:tcMar>
            <w:vAlign w:val="center"/>
          </w:tcPr>
          <w:p>
            <w:pPr>
              <w:jc w:val="center"/>
            </w:pPr>
            <w:r>
              <w:rPr>
                <w:rFonts w:ascii="Georgia" w:cs="Georgia" w:eastAsia="Georgia" w:hAnsi="Georgia"/>
                <w:b/>
                <w:bCs/>
                <w:sz w:val="24"/>
                <w:szCs w:val="24"/>
              </w:rPr>
              <w:t xml:space="preserve">V3 (V)</w:t>
            </w:r>
          </w:p>
        </w:tc>
        <w:tc>
          <w:tcPr>
            <w:tcW w:type="dxa" w:w="2808"/>
            <w:tcBorders>
              <w:top w:val="single" w:color="444444" w:sz="4"/>
              <w:left w:val="single" w:color="444444" w:sz="4"/>
              <w:bottom w:val="single" w:color="444444" w:sz="4"/>
              <w:right w:val="single" w:color="444444" w:sz="4"/>
            </w:tcBorders>
            <w:shd w:fill="D5E8F0" w:val="clear"/>
            <w:tcMar>
              <w:top w:type="dxa" w:w="80"/>
              <w:left w:type="dxa" w:w="120"/>
              <w:bottom w:type="dxa" w:w="80"/>
              <w:right w:type="dxa" w:w="120"/>
            </w:tcMar>
            <w:vAlign w:val="center"/>
          </w:tcPr>
          <w:p>
            <w:pPr>
              <w:jc w:val="center"/>
            </w:pPr>
            <w:r>
              <w:rPr>
                <w:rFonts w:ascii="Georgia" w:cs="Georgia" w:eastAsia="Georgia" w:hAnsi="Georgia"/>
                <w:b/>
                <w:bCs/>
                <w:sz w:val="24"/>
                <w:szCs w:val="24"/>
              </w:rPr>
              <w:t xml:space="preserve">E1 = V1 + V2</w:t>
            </w:r>
          </w:p>
        </w:tc>
      </w:tr>
      <w:tr>
        <w:tc>
          <w:tcPr>
            <w:tcW w:type="dxa" w:w="936"/>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1</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5</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3.230</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1.767</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1.767</w:t>
            </w:r>
          </w:p>
        </w:tc>
        <w:tc>
          <w:tcPr>
            <w:tcW w:type="dxa" w:w="2808"/>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5 ≈ 4.997</w:t>
            </w:r>
          </w:p>
        </w:tc>
      </w:tr>
      <w:tr>
        <w:tc>
          <w:tcPr>
            <w:tcW w:type="dxa" w:w="936"/>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2</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10</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6.466</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3.534</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3.534</w:t>
            </w:r>
          </w:p>
        </w:tc>
        <w:tc>
          <w:tcPr>
            <w:tcW w:type="dxa" w:w="2808"/>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10 = 10</w:t>
            </w:r>
          </w:p>
        </w:tc>
      </w:tr>
      <w:tr>
        <w:tc>
          <w:tcPr>
            <w:tcW w:type="dxa" w:w="936"/>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3</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15</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9.700</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5.300</w:t>
            </w:r>
          </w:p>
        </w:tc>
        <w:tc>
          <w:tcPr>
            <w:tcW w:type="dxa" w:w="1404"/>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5.300</w:t>
            </w:r>
          </w:p>
        </w:tc>
        <w:tc>
          <w:tcPr>
            <w:tcW w:type="dxa" w:w="2808"/>
            <w:tcBorders>
              <w:top w:val="single" w:color="444444" w:sz="4"/>
              <w:left w:val="single" w:color="444444" w:sz="4"/>
              <w:bottom w:val="single" w:color="444444" w:sz="4"/>
              <w:right w:val="single" w:color="444444" w:sz="4"/>
            </w:tcBorders>
            <w:tcMar>
              <w:top w:type="dxa" w:w="80"/>
              <w:left w:type="dxa" w:w="120"/>
              <w:bottom w:type="dxa" w:w="80"/>
              <w:right w:type="dxa" w:w="120"/>
            </w:tcMar>
            <w:vAlign w:val="center"/>
          </w:tcPr>
          <w:p>
            <w:pPr>
              <w:jc w:val="center"/>
            </w:pPr>
            <w:r>
              <w:rPr>
                <w:rFonts w:ascii="Georgia" w:cs="Georgia" w:eastAsia="Georgia" w:hAnsi="Georgia"/>
                <w:b w:val="false"/>
                <w:bCs w:val="false"/>
                <w:sz w:val="24"/>
                <w:szCs w:val="24"/>
              </w:rPr>
              <w:t xml:space="preserve">15 = 15</w:t>
            </w:r>
          </w:p>
        </w:tc>
      </w:tr>
    </w:tbl>
    <w:p>
      <w:pPr>
        <w:pageBreakBefore/>
      </w:pPr>
    </w:p>
    <w:p>
      <w:pPr>
        <w:pStyle w:val="Heading1"/>
        <w:spacing w:after="200" w:before="360"/>
      </w:pPr>
      <w:r>
        <w:rPr>
          <w:rFonts w:ascii="Georgia" w:cs="Georgia" w:eastAsia="Georgia" w:hAnsi="Georgia"/>
          <w:b/>
          <w:bCs/>
          <w:sz w:val="34"/>
          <w:szCs w:val="34"/>
        </w:rPr>
        <w:t xml:space="preserve">Post-Lab Questions</w:t>
      </w:r>
    </w:p>
    <w:p>
      <w:pPr>
        <w:pStyle w:val="Heading2"/>
        <w:spacing w:after="120" w:before="280"/>
      </w:pPr>
      <w:r>
        <w:rPr>
          <w:rFonts w:ascii="Georgia" w:cs="Georgia" w:eastAsia="Georgia" w:hAnsi="Georgia"/>
          <w:b/>
          <w:bCs/>
          <w:sz w:val="26"/>
          <w:szCs w:val="26"/>
        </w:rPr>
        <w:t xml:space="preserve">1. Define Kirchhoff’s current law.</w:t>
      </w:r>
    </w:p>
    <w:p>
      <w:pPr>
        <w:spacing w:after="180"/>
      </w:pPr>
      <w:r>
        <w:rPr>
          <w:rFonts w:ascii="Georgia" w:cs="Georgia" w:eastAsia="Georgia" w:hAnsi="Georgia"/>
          <w:b w:val="false"/>
          <w:bCs w:val="false"/>
          <w:i w:val="false"/>
          <w:iCs w:val="false"/>
          <w:sz w:val="24"/>
          <w:szCs w:val="24"/>
        </w:rPr>
        <w:t xml:space="preserve">Kirchhoff’s Current Law (KCL), also known as Kirchhoff’s First Law, states that the algebraic sum of all currents meeting at a node or junction in an electrical circuit is zero. This implies that the total current entering a node must be exactly equal to the total current leaving that same node. It is a fundamental consequence of the Law of Conservation of Charge, assuming that charge does not accumulate at any single point within a steady-state circuit.</w:t>
      </w:r>
    </w:p>
    <w:p>
      <w:pPr>
        <w:pStyle w:val="Heading2"/>
        <w:spacing w:after="120" w:before="280"/>
      </w:pPr>
      <w:r>
        <w:rPr>
          <w:rFonts w:ascii="Georgia" w:cs="Georgia" w:eastAsia="Georgia" w:hAnsi="Georgia"/>
          <w:b/>
          <w:bCs/>
          <w:sz w:val="26"/>
          <w:szCs w:val="26"/>
        </w:rPr>
        <w:t xml:space="preserve">2. Define Kirchhoff’s voltage law.</w:t>
      </w:r>
    </w:p>
    <w:p>
      <w:pPr>
        <w:spacing w:after="180"/>
      </w:pPr>
      <w:r>
        <w:rPr>
          <w:rFonts w:ascii="Georgia" w:cs="Georgia" w:eastAsia="Georgia" w:hAnsi="Georgia"/>
          <w:b w:val="false"/>
          <w:bCs w:val="false"/>
          <w:i w:val="false"/>
          <w:iCs w:val="false"/>
          <w:sz w:val="24"/>
          <w:szCs w:val="24"/>
        </w:rPr>
        <w:t xml:space="preserve">Kirchhoff’s Voltage Law (KVL), or Kirchhoff’s Second Law, states that the algebraic sum of all electrical potential differences (voltages) around any closed loop or mesh in a network is zero. In practical terms, this means that the sum of the electromotive forces (EMFs) supplied to the loop is equal to the sum of the potential drops (voltage across resistors) within that same loop. This law is an application of the Law of Conservation of Energy.</w:t>
      </w:r>
    </w:p>
    <w:p>
      <w:pPr>
        <w:pStyle w:val="Heading2"/>
        <w:spacing w:after="120" w:before="280"/>
      </w:pPr>
      <w:r>
        <w:rPr>
          <w:rFonts w:ascii="Georgia" w:cs="Georgia" w:eastAsia="Georgia" w:hAnsi="Georgia"/>
          <w:b/>
          <w:bCs/>
          <w:sz w:val="26"/>
          <w:szCs w:val="26"/>
        </w:rPr>
        <w:t xml:space="preserve">3. What are the applications of regulated power supply?</w:t>
      </w:r>
    </w:p>
    <w:p>
      <w:pPr>
        <w:spacing w:after="180"/>
      </w:pPr>
      <w:r>
        <w:rPr>
          <w:rFonts w:ascii="Georgia" w:cs="Georgia" w:eastAsia="Georgia" w:hAnsi="Georgia"/>
          <w:b w:val="false"/>
          <w:bCs w:val="false"/>
          <w:i w:val="false"/>
          <w:iCs w:val="false"/>
          <w:sz w:val="24"/>
          <w:szCs w:val="24"/>
        </w:rPr>
        <w:t xml:space="preserve">A Regulated Power Supply (RPS) is an essential instrument in electronic design and testing due to its ability to maintain a constant output voltage regardless of variations in load current or input voltage. Its primary applications include:</w:t>
      </w:r>
    </w:p>
    <w:p>
      <w:pPr>
        <w:pStyle w:val="ListParagraph"/>
        <w:numPr>
          <w:ilvl w:val="0"/>
          <w:numId w:val="2"/>
        </w:numPr>
        <w:spacing w:after="100"/>
      </w:pPr>
      <w:r>
        <w:rPr>
          <w:rFonts w:ascii="Georgia" w:cs="Georgia" w:eastAsia="Georgia" w:hAnsi="Georgia"/>
          <w:b w:val="false"/>
          <w:bCs w:val="false"/>
          <w:i w:val="false"/>
          <w:iCs w:val="false"/>
          <w:sz w:val="24"/>
          <w:szCs w:val="24"/>
        </w:rPr>
        <w:t xml:space="preserve">Powering sensitive integrated circuits and microprocessors that require stable DC bias.</w:t>
      </w:r>
    </w:p>
    <w:p>
      <w:pPr>
        <w:pStyle w:val="ListParagraph"/>
        <w:numPr>
          <w:ilvl w:val="0"/>
          <w:numId w:val="2"/>
        </w:numPr>
        <w:spacing w:after="100"/>
      </w:pPr>
      <w:r>
        <w:rPr>
          <w:rFonts w:ascii="Georgia" w:cs="Georgia" w:eastAsia="Georgia" w:hAnsi="Georgia"/>
          <w:b w:val="false"/>
          <w:bCs w:val="false"/>
          <w:i w:val="false"/>
          <w:iCs w:val="false"/>
          <w:sz w:val="24"/>
          <w:szCs w:val="24"/>
        </w:rPr>
        <w:t xml:space="preserve">Serving as a reference voltage source for laboratory experiments and circuit prototyping.</w:t>
      </w:r>
    </w:p>
    <w:p>
      <w:pPr>
        <w:pStyle w:val="ListParagraph"/>
        <w:numPr>
          <w:ilvl w:val="0"/>
          <w:numId w:val="2"/>
        </w:numPr>
        <w:spacing w:after="100"/>
      </w:pPr>
      <w:r>
        <w:rPr>
          <w:rFonts w:ascii="Georgia" w:cs="Georgia" w:eastAsia="Georgia" w:hAnsi="Georgia"/>
          <w:b w:val="false"/>
          <w:bCs w:val="false"/>
          <w:i w:val="false"/>
          <w:iCs w:val="false"/>
          <w:sz w:val="24"/>
          <w:szCs w:val="24"/>
        </w:rPr>
        <w:t xml:space="preserve">Charging batteries with precise voltage and current control.</w:t>
      </w:r>
    </w:p>
    <w:p>
      <w:pPr>
        <w:pStyle w:val="ListParagraph"/>
        <w:numPr>
          <w:ilvl w:val="0"/>
          <w:numId w:val="2"/>
        </w:numPr>
        <w:spacing w:after="180"/>
      </w:pPr>
      <w:r>
        <w:rPr>
          <w:rFonts w:ascii="Georgia" w:cs="Georgia" w:eastAsia="Georgia" w:hAnsi="Georgia"/>
          <w:b w:val="false"/>
          <w:bCs w:val="false"/>
          <w:i w:val="false"/>
          <w:iCs w:val="false"/>
          <w:sz w:val="24"/>
          <w:szCs w:val="24"/>
        </w:rPr>
        <w:t xml:space="preserve">Testing the tolerance and operational limits of electronic components under controlled conditions.</w:t>
      </w:r>
    </w:p>
    <w:p>
      <w:pPr>
        <w:pStyle w:val="Heading2"/>
        <w:spacing w:after="120" w:before="280"/>
      </w:pPr>
      <w:r>
        <w:rPr>
          <w:rFonts w:ascii="Georgia" w:cs="Georgia" w:eastAsia="Georgia" w:hAnsi="Georgia"/>
          <w:b/>
          <w:bCs/>
          <w:sz w:val="26"/>
          <w:szCs w:val="26"/>
        </w:rPr>
        <w:t xml:space="preserve">4. What are the limitations of KCL?</w:t>
      </w:r>
    </w:p>
    <w:p>
      <w:pPr>
        <w:spacing w:after="180"/>
      </w:pPr>
      <w:r>
        <w:rPr>
          <w:rFonts w:ascii="Georgia" w:cs="Georgia" w:eastAsia="Georgia" w:hAnsi="Georgia"/>
          <w:b w:val="false"/>
          <w:bCs w:val="false"/>
          <w:i w:val="false"/>
          <w:iCs w:val="false"/>
          <w:sz w:val="24"/>
          <w:szCs w:val="24"/>
        </w:rPr>
        <w:t xml:space="preserve">While KCL is a cornerstone of circuit analysis, it has specific limitations:</w:t>
      </w:r>
    </w:p>
    <w:p>
      <w:pPr>
        <w:pStyle w:val="ListParagraph"/>
        <w:numPr>
          <w:ilvl w:val="0"/>
          <w:numId w:val="2"/>
        </w:numPr>
        <w:spacing w:after="100"/>
      </w:pPr>
      <w:r>
        <w:rPr>
          <w:rFonts w:ascii="Georgia" w:cs="Georgia" w:eastAsia="Georgia" w:hAnsi="Georgia"/>
          <w:b/>
          <w:bCs/>
          <w:i w:val="false"/>
          <w:iCs w:val="false"/>
          <w:sz w:val="24"/>
          <w:szCs w:val="24"/>
        </w:rPr>
        <w:t xml:space="preserve">High-Frequency Limits: </w:t>
      </w:r>
      <w:r>
        <w:rPr>
          <w:rFonts w:ascii="Georgia" w:cs="Georgia" w:eastAsia="Georgia" w:hAnsi="Georgia"/>
          <w:b w:val="false"/>
          <w:bCs w:val="false"/>
          <w:i w:val="false"/>
          <w:iCs w:val="false"/>
          <w:sz w:val="24"/>
          <w:szCs w:val="24"/>
        </w:rPr>
        <w:t xml:space="preserve">KCL is only strictly applicable to “lumped” parameter circuits. At very high frequencies (RF/Microwave), where the wavelength of the signal is comparable to the physical dimensions of the circuit, parasitic capacitance and radiation effects cause charge to “leak,” making KCL appear inaccurate.</w:t>
      </w:r>
    </w:p>
    <w:p>
      <w:pPr>
        <w:pStyle w:val="ListParagraph"/>
        <w:numPr>
          <w:ilvl w:val="0"/>
          <w:numId w:val="2"/>
        </w:numPr>
        <w:spacing w:after="100"/>
      </w:pPr>
      <w:r>
        <w:rPr>
          <w:rFonts w:ascii="Georgia" w:cs="Georgia" w:eastAsia="Georgia" w:hAnsi="Georgia"/>
          <w:b/>
          <w:bCs/>
          <w:i w:val="false"/>
          <w:iCs w:val="false"/>
          <w:sz w:val="24"/>
          <w:szCs w:val="24"/>
        </w:rPr>
        <w:t xml:space="preserve">Varying Magnetic Fields: </w:t>
      </w:r>
      <w:r>
        <w:rPr>
          <w:rFonts w:ascii="Georgia" w:cs="Georgia" w:eastAsia="Georgia" w:hAnsi="Georgia"/>
          <w:b w:val="false"/>
          <w:bCs w:val="false"/>
          <w:i w:val="false"/>
          <w:iCs w:val="false"/>
          <w:sz w:val="24"/>
          <w:szCs w:val="24"/>
        </w:rPr>
        <w:t xml:space="preserve">If a node is subject to a rapidly changing external magnetic flux, it can induce currents that are not accounted for by simple nodal analysis.</w:t>
      </w:r>
    </w:p>
    <w:p>
      <w:pPr>
        <w:pStyle w:val="ListParagraph"/>
        <w:numPr>
          <w:ilvl w:val="0"/>
          <w:numId w:val="2"/>
        </w:numPr>
        <w:spacing w:after="180"/>
      </w:pPr>
      <w:r>
        <w:rPr>
          <w:rFonts w:ascii="Georgia" w:cs="Georgia" w:eastAsia="Georgia" w:hAnsi="Georgia"/>
          <w:b/>
          <w:bCs/>
          <w:i w:val="false"/>
          <w:iCs w:val="false"/>
          <w:sz w:val="24"/>
          <w:szCs w:val="24"/>
        </w:rPr>
        <w:t xml:space="preserve">Non-Steady State: </w:t>
      </w:r>
      <w:r>
        <w:rPr>
          <w:rFonts w:ascii="Georgia" w:cs="Georgia" w:eastAsia="Georgia" w:hAnsi="Georgia"/>
          <w:b w:val="false"/>
          <w:bCs w:val="false"/>
          <w:i w:val="false"/>
          <w:iCs w:val="false"/>
          <w:sz w:val="24"/>
          <w:szCs w:val="24"/>
        </w:rPr>
        <w:t xml:space="preserve">In cases where charge accumulation occurs (such as the interior of a capacitor plate), KCL must be modified to include displacement current (dD/dt).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4"/>
      <w:szCs w:val="34"/>
    </w:rPr>
  </w:style>
  <w:style w:type="paragraph" w:styleId="Heading2">
    <w:name w:val="Heading 2"/>
    <w:basedOn w:val="Normal"/>
    <w:next w:val="Normal"/>
    <w:qFormat/>
    <w:pPr>
      <w:spacing w:after="120" w:before="28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12e12f1973e42faa4bc60403d95ed7f93c0038.jpg"/><Relationship Id="rId8" Type="http://schemas.openxmlformats.org/officeDocument/2006/relationships/image" Target="media/1a82da0392b99af739bcb5eb84e8ae0b1156b818.jpg"/><Relationship Id="rId9" Type="http://schemas.openxmlformats.org/officeDocument/2006/relationships/image" Target="media/33bab19b9d901711ba6567100e0c7ae39200dfa9.jpg"/><Relationship Id="rId10" Type="http://schemas.openxmlformats.org/officeDocument/2006/relationships/image" Target="media/35938b03340422d7a8bd8d1ca31cd29af9d62b69.jpg"/><Relationship Id="rId11" Type="http://schemas.openxmlformats.org/officeDocument/2006/relationships/image" Target="media/edced4471ac671f546f5028fcd5e29fd7c556171.jpg"/><Relationship Id="rId12" Type="http://schemas.openxmlformats.org/officeDocument/2006/relationships/image" Target="media/058b14cf657b5a72cf840f8554354a531e652eae.jpg"/><Relationship Id="rId13" Type="http://schemas.openxmlformats.org/officeDocument/2006/relationships/image" Target="media/f9d87bc945a095a0bdd17e0070effdf05d14f750.jpg"/><Relationship Id="rId14" Type="http://schemas.openxmlformats.org/officeDocument/2006/relationships/image" Target="media/e6e33297aff47ef3646f6b4f808a98e3989ae85f.jpg"/><Relationship Id="rId15" Type="http://schemas.openxmlformats.org/officeDocument/2006/relationships/image" Target="media/11c949bd4d1eb15aa3264fe1cec5b51e545aa011.jpg"/><Relationship Id="rId16" Type="http://schemas.openxmlformats.org/officeDocument/2006/relationships/image" Target="media/315af0d72f5abf8a2d92bd654bc7d6b146ec2c20.jpg"/><Relationship Id="rId17" Type="http://schemas.openxmlformats.org/officeDocument/2006/relationships/image" Target="media/1912cd6ebe1a4e3dbd162001a08b4c62282bf52c.jpg"/><Relationship Id="rId18" Type="http://schemas.openxmlformats.org/officeDocument/2006/relationships/image" Target="media/96374a3b1315523232b0d9bbfd6e109286867afa.jpg"/><Relationship Id="rId19" Type="http://schemas.openxmlformats.org/officeDocument/2006/relationships/image" Target="media/ad35b388a1d0e35e4bfdf5fbeb03519d8dec5af2.jpg"/><Relationship Id="rId20" Type="http://schemas.openxmlformats.org/officeDocument/2006/relationships/image" Target="media/dc00c10d196fd09f69b78450d239bf4d43731ace.jpg"/><Relationship Id="rId21" Type="http://schemas.openxmlformats.org/officeDocument/2006/relationships/image" Target="media/95c14a06af056dedce77d55b3e0ac75332fbad94.jpg"/><Relationship Id="rId22" Type="http://schemas.openxmlformats.org/officeDocument/2006/relationships/image" Target="media/c5baa2ca9958b09415e0a4b1eca5801afe76cf86.jpg"/><Relationship Id="rId23" Type="http://schemas.openxmlformats.org/officeDocument/2006/relationships/image" Target="media/2218cb42e92e904b17fb20d2e18a20b2a39bd478.jpg"/><Relationship Id="rId24" Type="http://schemas.openxmlformats.org/officeDocument/2006/relationships/image" Target="media/c0263e50d63761ae0aa519ade942067886929563.jpg"/><Relationship Id="rId25" Type="http://schemas.openxmlformats.org/officeDocument/2006/relationships/image" Target="media/f3db3d00a03875e89f8c7f1b162c0e8b77993a60.jpg"/><Relationship Id="rId26" Type="http://schemas.openxmlformats.org/officeDocument/2006/relationships/image" Target="media/8978653aad65003462f5245bfc2881adc14a5a05.jpg"/><Relationship Id="rId27" Type="http://schemas.openxmlformats.org/officeDocument/2006/relationships/image" Target="media/fb00132e07f0c4c578a41a2f34b1ba5addf0dbf8.jpg"/><Relationship Id="rId28" Type="http://schemas.openxmlformats.org/officeDocument/2006/relationships/image" Target="media/52abd2ec99972067db42b9e4b6ede0b4cb6adf1d.jpg"/><Relationship Id="rId29" Type="http://schemas.openxmlformats.org/officeDocument/2006/relationships/image" Target="media/ad055a1ba5ce1e5bcd1f6fbed5348cb27f0c376b.jpg"/><Relationship Id="rId30" Type="http://schemas.openxmlformats.org/officeDocument/2006/relationships/image" Target="media/53195f0a1d330d34391fd1d410792387554954e1.jpg"/><Relationship Id="rId31" Type="http://schemas.openxmlformats.org/officeDocument/2006/relationships/image" Target="media/f6e2c1a8e903d4533218b9703f5748a31b5d4b49.jpg"/><Relationship Id="rId32" Type="http://schemas.openxmlformats.org/officeDocument/2006/relationships/image" Target="media/6dff13745450024bac873c3484e075b0b625db0c.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2026-05-18T23:17:13.962Z</dcterms:created>
  <dcterms:modified xsi:type="dcterms:W3CDTF">2026-05-18T23:17:13.972Z</dcterms:modified>
</cp:coreProperties>
</file>

<file path=docProps/custom.xml><?xml version="1.0" encoding="utf-8"?>
<Properties xmlns="http://schemas.openxmlformats.org/officeDocument/2006/custom-properties" xmlns:vt="http://schemas.openxmlformats.org/officeDocument/2006/docPropsVTypes"/>
</file>