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8"/>
        </w:rPr>
        <w:t>Research Problem Statement</w:t>
      </w:r>
    </w:p>
    <w:p>
      <w:pPr>
        <w:spacing w:after="80"/>
      </w:pPr>
      <w:r>
        <w:rPr>
          <w:b w:val="0"/>
          <w:sz w:val="22"/>
        </w:rPr>
        <w:t>Ayesha Khalil  |  SP25-RCS-009/ATD  |  MS Computer Science</w:t>
      </w:r>
    </w:p>
    <w:p>
      <w:pPr>
        <w:spacing w:after="200"/>
      </w:pPr>
      <w:r>
        <w:rPr>
          <w:b w:val="0"/>
          <w:sz w:val="22"/>
        </w:rPr>
        <w:t>COMSATS University Islamabad, Abbottabad Campus  |  June 2026</w:t>
      </w:r>
    </w:p>
    <w:p>
      <w:pPr>
        <w:spacing w:after="80"/>
      </w:pPr>
      <w:r>
        <w:rPr>
          <w:b/>
          <w:sz w:val="24"/>
        </w:rPr>
        <w:t>Title: Learning to Prioritize: A Learned Priority Arbitration Mechanism for Joint Target Assignment and Collision Avoidance in Multi-UAV Coordination using Multi-Agent Reinforcement Learning</w:t>
      </w:r>
    </w:p>
    <w:p>
      <w:pPr>
        <w:spacing w:after="200"/>
      </w:pPr>
      <w:r>
        <w:rPr>
          <w:b/>
          <w:sz w:val="24"/>
        </w:rPr>
        <w:t>Problem Statement</w:t>
      </w:r>
    </w:p>
    <w:p>
      <w:pPr>
        <w:spacing w:after="160"/>
      </w:pPr>
      <w:r>
        <w:rPr>
          <w:b w:val="0"/>
          <w:sz w:val="22"/>
        </w:rPr>
        <w:t>Cooperative multi-UAV systems operating in shared airspace must simultaneously accomplish two objectives that are individually well-studied but jointly unresolved at the mechanism level: dynamic target assignment, which directs each drone toward mission-critical and time-varying targets, and inter-agent collision avoidance, which prevents physical contact in dense operational airspace. The research literature has consistently treated these two objectives as separate problems. DA-MAPPO (Sheng et al., 2026) achieves 90 to 99 percent mission success in dynamic multi-target scenarios through an integrated minimum-cost allocation module in a MAPPO-based cooperative policy, but treats collision avoidance as a fixed penalty term. IGAT-MARL (Rezaee et al., 2026) achieves 17 percent higher cumulative reward through graph attention-based conflict modeling, but assumes each drone already has an assigned navigation target. HPER-D3QN (Shen et al., 2026) achieves 96.28 percent success in 25-aircraft joint airspace through dynamic threat scoring and hierarchical experience prioritization, but addresses single-UAV navigation only. STAAC (Yan et al., 2025) achieves 0.34 percent collision rate in scalable fixed-wing UAV fleets through spatial-temporal attention, validated at 1.5ms inference on real hardware, but addresses flocking rather than target assignment. A 2025 survey in IEEE Transactions on Intelligent Transportation Systems explicitly identifies the absence of unified frameworks that dynamically balance competing objectives in drone coordination as an open research problem.</w:t>
      </w:r>
    </w:p>
    <w:p>
      <w:pPr>
        <w:spacing w:after="160"/>
      </w:pPr>
      <w:r>
        <w:rPr>
          <w:b w:val="0"/>
          <w:sz w:val="22"/>
        </w:rPr>
        <w:t xml:space="preserve">When target assignment and collision avoidance are present in a single reward function, their relative weighting becomes a critical design variable. Across all thirteen reviewed papers spanning 2023 to 2026, this weighting is resolved identically: through fixed, constant reward coefficients set before training. In DA-MAPPO, the coefficients are fixed constants. In HPER-D3QN, C_goal and C_collision are fixed before training regardless of operational state. In STAAC, the flocking adherence and avoidance penalty constants P1 and P2 are fixed tuning parameters. A drone navigating open airspace and a drone three seconds from collision receive identical trade-off weightings in every existing framework. </w:t>
      </w:r>
      <w:r>
        <w:rPr>
          <w:b/>
          <w:sz w:val="22"/>
        </w:rPr>
        <w:t>No existing framework provides a mechanism to determine, at each decision step and as a function of current operational state, the relative weight that the assignment objective should receive versus the collision avoidance objective. This is the gap this research addresses.</w:t>
      </w:r>
    </w:p>
    <w:p>
      <w:pPr>
        <w:spacing w:after="160"/>
      </w:pPr>
      <w:r>
        <w:rPr>
          <w:b w:val="0"/>
          <w:sz w:val="22"/>
        </w:rPr>
        <w:t>The reason this gap persists is itself revealing. When researchers attempt to combine both objectives in a single policy, the immediate design question becomes: how much weight should each objective receive? This question has no principled answer in the existing literature. Papers that address both objectives (Kong et al., 2024; DA-MAPPO, 2026) resolve it by manually tuning fixed constants. Papers that address one objective leave the other simplified or assumed. The question of whether the weight itself should be a learned function of state has not been asked because answering it is a research contribution in itself. This is precisely what the proposed work addresses.</w:t>
      </w:r>
    </w:p>
    <w:p>
      <w:pPr>
        <w:spacing w:after="160"/>
      </w:pPr>
      <w:r>
        <w:rPr>
          <w:b w:val="0"/>
          <w:sz w:val="22"/>
        </w:rPr>
        <w:t>The proposed mechanism differs from multi-objective reinforcement learning (MORL) approaches in a fundamental respect. MORL methods determine the preference weighting between objectives at deployment time, before the agent begins operating, and maintain it constant throughout execution. The present problem requires the weighting to change within a single flight episode, at each timestep, as a function of the agent physical state. A drone approaching a collision requires avoidance to dominate; the same drone having resolved the conflict requires assignment to dominate again. This is not a deployment preference; it is a reactive, state-dependent decision that must be made continuously during operation. Multi-critic MORL approaches also introduce training instability in cooperative MARL settings, where multiple value functions must converge simultaneously across all agents.</w:t>
      </w:r>
    </w:p>
    <w:p>
      <w:pPr>
        <w:spacing w:after="160"/>
      </w:pPr>
      <w:r>
        <w:rPr>
          <w:b w:val="0"/>
          <w:sz w:val="22"/>
        </w:rPr>
        <w:t xml:space="preserve">The research question is: </w:t>
      </w:r>
      <w:r>
        <w:rPr>
          <w:b/>
          <w:sz w:val="22"/>
        </w:rPr>
        <w:t>Can a learned priority arbitration module, a small neural network jointly trained with a MAPPO backbone that takes time-to-collision, distance to assigned target, and conflict neighborhood density as inputs and outputs a dynamic weight at each decision step, outperform all fixed-weight baselines across mission success rate, collision frequency, and task completion time in a 2D multi-UAV environment requiring simultaneous dynamic target assignment and inter-agent collision avoidance?</w:t>
      </w:r>
    </w:p>
    <w:p>
      <w:pPr>
        <w:spacing w:after="280"/>
      </w:pPr>
      <w:r>
        <w:rPr>
          <w:b w:val="0"/>
          <w:sz w:val="22"/>
        </w:rPr>
        <w:t>The proposed Priority Arbitration Head computes the dynamic weight at each timestep from the agent current observation and applies it as: total reward = weight times assignment reward plus one minus weight times avoidance reward. The module is trained end-to-end with the MAPPO actor network through policy gradient backpropagation, requiring no separate training loop and no architectural change to the centralized critic. The three inputs are validated by convergent evidence in the reviewed literature: time-to-collision corresponds to the TCPA variable central to DTPA in HPER-D3QN; conflict neighborhood density corresponds to the entity grouping principle in STAAC. The hypothesis is evaluated through a clean ablation comparing learned weighting against fixed weights of 0.3, 0.5, and 0.7 under identical training conditions, and against DA-MAPPO and IGAT-MARL as task-specific baselines. Both outcomes are interpretable and publishable, advancing the understanding of dynamic objective balancing in cooperative multi-UAV reinforcement learning.</w:t>
      </w:r>
    </w:p>
    <w:p>
      <w:pPr>
        <w:spacing w:after="80"/>
      </w:pPr>
      <w:r>
        <w:rPr>
          <w:b/>
          <w:sz w:val="22"/>
        </w:rPr>
        <w:t>Key References</w:t>
      </w:r>
    </w:p>
    <w:p>
      <w:pPr>
        <w:spacing w:after="60"/>
      </w:pPr>
      <w:r>
        <w:rPr>
          <w:b w:val="0"/>
          <w:sz w:val="20"/>
        </w:rPr>
        <w:t>Sheng, Z. et al. (2026). Dynamic Target Assignment and Cooperative Decision-Making for UAV Swarms Based on Multi-Agent Reinforcement Learning. IEEE Internet of Things Journal. [DA-MAPPO]</w:t>
      </w:r>
    </w:p>
    <w:p>
      <w:pPr>
        <w:spacing w:after="60"/>
      </w:pPr>
      <w:r>
        <w:rPr>
          <w:b w:val="0"/>
          <w:sz w:val="20"/>
        </w:rPr>
        <w:t>Rezaee, M. R. et al. (2026). Efficient Multi-Agent Deep Reinforcement Learning Algorithm for Multi UAV Collision Avoidance. Applied Soft Computing. [IGAT-MARL]</w:t>
      </w:r>
    </w:p>
    <w:p>
      <w:pPr>
        <w:spacing w:after="60"/>
      </w:pPr>
      <w:r>
        <w:rPr>
          <w:b w:val="0"/>
          <w:sz w:val="20"/>
        </w:rPr>
        <w:t>Shen, Y. et al. (2026). Deep reinforcement learning-based adaptive collision avoidance method for UAV in joint operational airspace. Defence Technology, 56, 142-159. [HPER-D3QN]</w:t>
      </w:r>
    </w:p>
    <w:p>
      <w:pPr>
        <w:spacing w:after="60"/>
      </w:pPr>
      <w:r>
        <w:rPr>
          <w:b w:val="0"/>
          <w:sz w:val="20"/>
        </w:rPr>
        <w:t>Yan, C. et al. (2025). Multi-Agent Reinforcement Learning with Spatial-Temporal Attention for Flocking with Collision Avoidance of a Scalable Fixed-Wing UAV Fleet. IEEE Transactions on Intelligent Transportation Systems, 26(2), 1769-1782. [STAAC]</w:t>
      </w:r>
    </w:p>
    <w:p>
      <w:pPr>
        <w:spacing w:after="60"/>
      </w:pPr>
      <w:r>
        <w:rPr>
          <w:b w:val="0"/>
          <w:sz w:val="20"/>
        </w:rPr>
        <w:t>Govinda, S., Brik, B., &amp; Harous, S. (2025). A Survey on Deep Reinforcement Learning Applications in Autonomous Systems. IEEE Transactions on Intelligent Transportation Systems, 26(7). [Survey - identifies gap]</w:t>
      </w:r>
    </w:p>
    <w:p>
      <w:pPr>
        <w:spacing w:after="60"/>
      </w:pPr>
      <w:r>
        <w:rPr>
          <w:b w:val="0"/>
          <w:sz w:val="20"/>
        </w:rPr>
        <w:t>Kong, X. et al. (2024). Multi-UAV Simultaneous Target Assignment and Path Planning Based on Deep Reinforcement Learning. Frontiers in Neurorobotics,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