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COMSATS University Islamabad</w:t>
      </w:r>
    </w:p>
    <w:p>
      <w:pPr>
        <w:jc w:val="center"/>
      </w:pPr>
      <w:r>
        <w:rPr>
          <w:rFonts w:ascii="Times New Roman" w:hAnsi="Times New Roman"/>
          <w:sz w:val="24"/>
        </w:rPr>
        <w:t>Synopsis for MS ☑   Ph.D. ☐</w:t>
      </w:r>
    </w:p>
    <w:p/>
    <w:tbl>
      <w:tblPr>
        <w:tblStyle w:val="TableGrid"/>
        <w:tblW w:type="auto" w:w="0"/>
        <w:tblLook w:firstColumn="1" w:firstRow="1" w:lastColumn="0" w:lastRow="0" w:noHBand="0" w:noVBand="1" w:val="04A0"/>
      </w:tblPr>
      <w:tblGrid>
        <w:gridCol w:w="4153"/>
        <w:gridCol w:w="4153"/>
      </w:tblGrid>
      <w:tr>
        <w:tc>
          <w:tcPr>
            <w:tcW w:type="dxa" w:w="4153"/>
          </w:tcPr>
          <w:p>
            <w:r/>
            <w:r>
              <w:rPr>
                <w:rFonts w:ascii="Times New Roman" w:hAnsi="Times New Roman"/>
                <w:b w:val="0"/>
                <w:sz w:val="22"/>
              </w:rPr>
              <w:t>Name: Ayesha Khalil</w:t>
            </w:r>
          </w:p>
        </w:tc>
        <w:tc>
          <w:tcPr>
            <w:tcW w:type="dxa" w:w="4153"/>
          </w:tcPr>
          <w:p>
            <w:r/>
            <w:r>
              <w:rPr>
                <w:rFonts w:ascii="Times New Roman" w:hAnsi="Times New Roman"/>
                <w:b w:val="0"/>
                <w:sz w:val="22"/>
              </w:rPr>
              <w:t>Registration No.: CIIT/SP25-RCS-009/ATD</w:t>
            </w:r>
          </w:p>
        </w:tc>
      </w:tr>
      <w:tr>
        <w:tc>
          <w:tcPr>
            <w:tcW w:type="dxa" w:w="4153"/>
          </w:tcPr>
          <w:p>
            <w:r/>
            <w:r>
              <w:rPr>
                <w:rFonts w:ascii="Times New Roman" w:hAnsi="Times New Roman"/>
                <w:b w:val="0"/>
                <w:sz w:val="22"/>
              </w:rPr>
              <w:t>Program: MS Computer Science/RCS</w:t>
            </w:r>
          </w:p>
        </w:tc>
        <w:tc>
          <w:tcPr>
            <w:tcW w:type="dxa" w:w="4153"/>
          </w:tcPr>
          <w:p>
            <w:r/>
            <w:r>
              <w:rPr>
                <w:rFonts w:ascii="Times New Roman" w:hAnsi="Times New Roman"/>
                <w:b w:val="0"/>
                <w:sz w:val="22"/>
              </w:rPr>
              <w:t>Area of Specialization: Intelligent Autonomous Systems</w:t>
            </w:r>
          </w:p>
        </w:tc>
      </w:tr>
      <w:tr>
        <w:tc>
          <w:tcPr>
            <w:tcW w:type="dxa" w:w="4153"/>
          </w:tcPr>
          <w:p>
            <w:r/>
            <w:r>
              <w:rPr>
                <w:rFonts w:ascii="Times New Roman" w:hAnsi="Times New Roman"/>
                <w:b w:val="0"/>
                <w:sz w:val="22"/>
              </w:rPr>
              <w:t>Department: Computer Science</w:t>
            </w:r>
          </w:p>
        </w:tc>
        <w:tc>
          <w:tcPr>
            <w:tcW w:type="dxa" w:w="4153"/>
          </w:tcPr>
          <w:p>
            <w:r/>
            <w:r>
              <w:rPr>
                <w:rFonts w:ascii="Times New Roman" w:hAnsi="Times New Roman"/>
                <w:b w:val="0"/>
                <w:sz w:val="22"/>
              </w:rPr>
              <w:t>Campus: Abbottabad</w:t>
            </w:r>
          </w:p>
        </w:tc>
      </w:tr>
      <w:tr>
        <w:tc>
          <w:tcPr>
            <w:tcW w:type="dxa" w:w="4153"/>
          </w:tcPr>
          <w:p>
            <w:r/>
            <w:r>
              <w:rPr>
                <w:rFonts w:ascii="Times New Roman" w:hAnsi="Times New Roman"/>
                <w:b w:val="0"/>
                <w:sz w:val="22"/>
              </w:rPr>
              <w:t>Date of Admission: 2025-02-28</w:t>
            </w:r>
          </w:p>
        </w:tc>
        <w:tc>
          <w:tcPr>
            <w:tcW w:type="dxa" w:w="4153"/>
          </w:tcPr>
          <w:p>
            <w:r/>
            <w:r>
              <w:rPr>
                <w:rFonts w:ascii="Times New Roman" w:hAnsi="Times New Roman"/>
                <w:b w:val="0"/>
                <w:sz w:val="22"/>
              </w:rPr>
              <w:t>Date of Synopsis Submission: 2026-05-31</w:t>
            </w:r>
          </w:p>
        </w:tc>
      </w:tr>
      <w:tr>
        <w:tc>
          <w:tcPr>
            <w:tcW w:type="dxa" w:w="8306"/>
            <w:gridSpan w:val="2"/>
          </w:tcPr>
          <w:p>
            <w:r/>
            <w:r>
              <w:rPr>
                <w:rFonts w:ascii="Times New Roman" w:hAnsi="Times New Roman"/>
                <w:sz w:val="22"/>
              </w:rPr>
              <w:t>Proposed Title of the Thesis:</w:t>
              <w:br/>
              <w:br/>
              <w:t>Integrating Real-Time Target Assignment and Conflict-Aware Collision Avoidance for Multi-UAV Navigation in Three-Dimensional Environments Using Multi-Agent Reinforcement Learning</w:t>
            </w:r>
          </w:p>
        </w:tc>
      </w:tr>
    </w:tbl>
    <w:p/>
    <w:p>
      <w:pPr>
        <w:jc w:val="center"/>
      </w:pPr>
      <w:r>
        <w:rPr>
          <w:rFonts w:ascii="Times New Roman" w:hAnsi="Times New Roman"/>
          <w:b/>
          <w:sz w:val="24"/>
        </w:rPr>
        <w:t>Supervisory Committee</w:t>
      </w:r>
    </w:p>
    <w:tbl>
      <w:tblPr>
        <w:tblStyle w:val="TableGrid"/>
        <w:tblW w:type="auto" w:w="0"/>
        <w:tblLook w:firstColumn="1" w:firstRow="1" w:lastColumn="0" w:lastRow="0" w:noHBand="0" w:noVBand="1" w:val="04A0"/>
      </w:tblPr>
      <w:tblGrid>
        <w:gridCol w:w="4153"/>
        <w:gridCol w:w="4153"/>
      </w:tblGrid>
      <w:tr>
        <w:tc>
          <w:tcPr>
            <w:tcW w:type="dxa" w:w="4153"/>
          </w:tcPr>
          <w:p>
            <w:r/>
            <w:r>
              <w:rPr>
                <w:rFonts w:ascii="Times New Roman" w:hAnsi="Times New Roman"/>
                <w:b/>
                <w:sz w:val="22"/>
              </w:rPr>
              <w:t>Name and Designation</w:t>
            </w:r>
          </w:p>
        </w:tc>
        <w:tc>
          <w:tcPr>
            <w:tcW w:type="dxa" w:w="4153"/>
          </w:tcPr>
          <w:p>
            <w:r/>
            <w:r>
              <w:rPr>
                <w:rFonts w:ascii="Times New Roman" w:hAnsi="Times New Roman"/>
                <w:b/>
                <w:sz w:val="22"/>
              </w:rPr>
              <w:t>Role</w:t>
            </w:r>
          </w:p>
        </w:tc>
      </w:tr>
      <w:tr>
        <w:tc>
          <w:tcPr>
            <w:tcW w:type="dxa" w:w="4153"/>
          </w:tcPr>
          <w:p>
            <w:r/>
            <w:r>
              <w:rPr>
                <w:rFonts w:ascii="Times New Roman" w:hAnsi="Times New Roman"/>
                <w:b w:val="0"/>
                <w:sz w:val="22"/>
              </w:rPr>
              <w:t>Dr. Faisal Rehman (Associate Professor)</w:t>
            </w:r>
          </w:p>
        </w:tc>
        <w:tc>
          <w:tcPr>
            <w:tcW w:type="dxa" w:w="4153"/>
          </w:tcPr>
          <w:p>
            <w:r/>
            <w:r>
              <w:rPr>
                <w:rFonts w:ascii="Times New Roman" w:hAnsi="Times New Roman"/>
                <w:b w:val="0"/>
                <w:sz w:val="22"/>
              </w:rPr>
              <w:t>Supervisor</w:t>
            </w:r>
          </w:p>
        </w:tc>
      </w:tr>
      <w:tr>
        <w:tc>
          <w:tcPr>
            <w:tcW w:type="dxa" w:w="4153"/>
          </w:tcPr>
          <w:p>
            <w:r/>
            <w:r>
              <w:rPr>
                <w:rFonts w:ascii="Times New Roman" w:hAnsi="Times New Roman"/>
                <w:b w:val="0"/>
                <w:sz w:val="22"/>
              </w:rPr>
              <w:t>Dr. Ehzaz Mustafa (Lecturer)</w:t>
            </w:r>
          </w:p>
        </w:tc>
        <w:tc>
          <w:tcPr>
            <w:tcW w:type="dxa" w:w="4153"/>
          </w:tcPr>
          <w:p>
            <w:r/>
            <w:r>
              <w:rPr>
                <w:rFonts w:ascii="Times New Roman" w:hAnsi="Times New Roman"/>
                <w:b w:val="0"/>
                <w:sz w:val="22"/>
              </w:rPr>
              <w:t>Co-supervisor/Member</w:t>
            </w:r>
          </w:p>
        </w:tc>
      </w:tr>
      <w:tr>
        <w:tc>
          <w:tcPr>
            <w:tcW w:type="dxa" w:w="4153"/>
          </w:tcPr>
          <w:p>
            <w:r/>
            <w:r>
              <w:rPr>
                <w:rFonts w:ascii="Times New Roman" w:hAnsi="Times New Roman"/>
                <w:b w:val="0"/>
                <w:sz w:val="22"/>
              </w:rPr>
              <w:t>Dr. Sardar Khaliq Uz Zaman (Assistant Professor)</w:t>
            </w:r>
          </w:p>
        </w:tc>
        <w:tc>
          <w:tcPr>
            <w:tcW w:type="dxa" w:w="4153"/>
          </w:tcPr>
          <w:p>
            <w:r/>
            <w:r>
              <w:rPr>
                <w:rFonts w:ascii="Times New Roman" w:hAnsi="Times New Roman"/>
                <w:b w:val="0"/>
                <w:sz w:val="22"/>
              </w:rPr>
              <w:t>Member</w:t>
            </w:r>
          </w:p>
        </w:tc>
      </w:tr>
      <w:tr>
        <w:tc>
          <w:tcPr>
            <w:tcW w:type="dxa" w:w="4153"/>
          </w:tcPr>
          <w:p>
            <w:r/>
            <w:r>
              <w:rPr>
                <w:rFonts w:ascii="Times New Roman" w:hAnsi="Times New Roman"/>
                <w:b w:val="0"/>
                <w:sz w:val="22"/>
              </w:rPr>
              <w:t>Dr. Nuhman ul Haq (Assistant Professor)</w:t>
            </w:r>
          </w:p>
        </w:tc>
        <w:tc>
          <w:tcPr>
            <w:tcW w:type="dxa" w:w="4153"/>
          </w:tcPr>
          <w:p>
            <w:r/>
            <w:r>
              <w:rPr>
                <w:rFonts w:ascii="Times New Roman" w:hAnsi="Times New Roman"/>
                <w:b w:val="0"/>
                <w:sz w:val="22"/>
              </w:rPr>
              <w:t>Member</w:t>
            </w:r>
          </w:p>
        </w:tc>
      </w:tr>
    </w:tbl>
    <w:p/>
    <w:p>
      <w:pPr>
        <w:jc w:val="center"/>
      </w:pPr>
      <w:r>
        <w:rPr>
          <w:rFonts w:ascii="Times New Roman" w:hAnsi="Times New Roman"/>
          <w:b/>
          <w:sz w:val="24"/>
        </w:rPr>
        <w:t>Student's Signature  ________________________________</w:t>
      </w:r>
    </w:p>
    <w:p/>
    <w:p>
      <w:r>
        <w:rPr>
          <w:rFonts w:ascii="Times New Roman" w:hAnsi="Times New Roman"/>
          <w:b/>
          <w:sz w:val="24"/>
        </w:rPr>
        <w:t>Summary of the Research</w:t>
      </w:r>
    </w:p>
    <w:p>
      <w:pPr>
        <w:spacing w:after="120" w:line="360" w:lineRule="exact"/>
        <w:jc w:val="both"/>
      </w:pPr>
      <w:r>
        <w:rPr>
          <w:rFonts w:ascii="Times New Roman" w:hAnsi="Times New Roman"/>
          <w:sz w:val="24"/>
        </w:rPr>
        <w:t>Despite the great progress of multi-UAV coordination based on deep reinforcement learning, a concrete and well documented need remain, no existing framework solves the problem of dynamic target assignment while also considering the possibility of collision avoidance with other UAVs in a 3D environment. The two most advanced solutions to these sub-problems, namely DA-MAPPO (Sheng et al., 2026) for target assignment and IGAT-MARL (Rezaee et al., 2026) for collision avoidance, were developed independently, and at most ten drones, and in two-dimensional environments, each explicitly mentioning the other paper's contribution as a future work item. DA-MAPPO's ablation study reveals that successful navigation is only achieved when the real-time Hungarian-algorithm-based target assignment information is included in the observation vector of each drone; otherwise, the mission would fail completely. IGAT-MARL showed that the sparse interaction graph with conflict-aware connections of only drone pairs that are predicted to collide allows for 44% less unnecessary communications whilst maintaining the same avoidance rate. In this research, a combined approach that encompasses both mechanisms is proposed, where the two mechanisms are combined within a single policy trained in a 3D simulation environment. The central research problem concerns interference that occurs in 3D space: The assignment module reroutes drones towards their target without knowing what happens during a conflict and the conflict graph reroutes courses without knowing what the current assignment of drones is. This competition takes on importance in 3D when there are vertical collision courses not found in a planar world. The proposed framework is represented in each drone's observation, which include assignment state and conflict neighborhood, and is learned using curriculum learning with increasing density of obstacles from 3 to 8 drones. Evaluation will be done against four controlled baselines with three different swarm sizes and three different obstacle densities, providing the first empirical results of whether the two mechanisms work in concert or in opposition when combined in 3D.</w:t>
      </w:r>
    </w:p>
    <w:p>
      <w:r>
        <w:rPr>
          <w:rFonts w:ascii="Times New Roman" w:hAnsi="Times New Roman"/>
          <w:i/>
          <w:sz w:val="22"/>
        </w:rPr>
        <w:t>[Introduction must start from next page]</w:t>
      </w:r>
    </w:p>
    <w:p>
      <w:r>
        <w:br w:type="page"/>
      </w:r>
    </w:p>
    <w:p>
      <w:r>
        <w:rPr>
          <w:rFonts w:ascii="Times New Roman" w:hAnsi="Times New Roman"/>
          <w:sz w:val="20"/>
        </w:rPr>
        <w:t>Student's Name: Ayesha Khalil          Enrollment Number: CIIT/SP25-RCS-009/ATD          Supervisor's Signature: _______________</w:t>
      </w:r>
    </w:p>
    <w:p>
      <w:r>
        <w:rPr>
          <w:sz w:val="16"/>
        </w:rPr>
        <w:t>_______________________________________________________________________________________________</w:t>
      </w:r>
    </w:p>
    <w:p/>
    <w:p>
      <w:pPr>
        <w:spacing w:before="280" w:after="120"/>
      </w:pPr>
      <w:r>
        <w:rPr>
          <w:rFonts w:ascii="Times New Roman" w:hAnsi="Times New Roman"/>
          <w:b/>
          <w:sz w:val="24"/>
        </w:rPr>
        <w:t>1.   Introduction</w:t>
      </w:r>
    </w:p>
    <w:p>
      <w:pPr>
        <w:spacing w:after="120" w:line="360" w:lineRule="exact"/>
        <w:jc w:val="both"/>
      </w:pPr>
      <w:r>
        <w:rPr>
          <w:rFonts w:ascii="Times New Roman" w:hAnsi="Times New Roman"/>
          <w:sz w:val="24"/>
        </w:rPr>
        <w:t>Unmanned aerial vehicles (UAVs) have transitioned from specialized military tools to widely used platforms across civilian and industrial domains. Their deployment in disaster response, search and rescue, precision agriculture, infrastructure inspection, and emergency communications has grown steadily, driven by advances in onboard computing, sensor miniaturization, and wireless communication. In most real-world missions of practical value, a single drone is insufficient. The scale of the task, the need for redundancy, or the requirement to cover large areas simultaneously demands teams of drones operating together. This shift from single-UAV operations to coordinated multi-UAV systems has introduced a new class of challenges that hardware improvements alone cannot resolve.</w:t>
      </w:r>
    </w:p>
    <w:p>
      <w:pPr>
        <w:spacing w:after="120" w:line="360" w:lineRule="exact"/>
        <w:jc w:val="both"/>
      </w:pPr>
      <w:r>
        <w:rPr>
          <w:rFonts w:ascii="Times New Roman" w:hAnsi="Times New Roman"/>
          <w:sz w:val="24"/>
        </w:rPr>
        <w:t>Coordinating multiple drones in shared airspace requires each drone to make decisions that are individually rational but collectively effective. Classical approaches to this problem rely on centralized planners that compute globally optimal solutions before deployment. These methods work in controlled, static settings but break down when the environment changes — when targets move, obstacles appear, or drones fail mid-mission. The planner cannot anticipate every contingency, and recomputing a global solution in real time is computationally intractable for large teams. This limitation has led researchers toward learning-based methods, where drones acquire navigation policies through experience rather than through preprogrammed rules.</w:t>
      </w:r>
    </w:p>
    <w:p>
      <w:pPr>
        <w:spacing w:after="120" w:line="360" w:lineRule="exact"/>
        <w:jc w:val="both"/>
      </w:pPr>
      <w:r>
        <w:rPr>
          <w:rFonts w:ascii="Times New Roman" w:hAnsi="Times New Roman"/>
          <w:sz w:val="24"/>
        </w:rPr>
        <w:t>Deep reinforcement learning (DRL) has become the dominant paradigm for this purpose. A DRL agent interacts with a simulated environment, receives reward signals, and gradually improves its policy without requiring an explicit model of the world. Extended to multiple agents through multi-agent deep reinforcement learning (MARL), this approach allows teams of drones to develop cooperative behaviors, each drone learning to account for the actions of its teammates. Several MARL frameworks have been proposed for this setting, including centralized-training decentralized-execution architectures that train agents with access to global information but allow them to act independently during deployment.</w:t>
      </w:r>
    </w:p>
    <w:p>
      <w:pPr>
        <w:spacing w:after="120" w:line="360" w:lineRule="exact"/>
        <w:jc w:val="both"/>
      </w:pPr>
      <w:r>
        <w:rPr>
          <w:rFonts w:ascii="Times New Roman" w:hAnsi="Times New Roman"/>
          <w:sz w:val="24"/>
        </w:rPr>
        <w:t>Progress in this field, however, has followed a fragmented pattern. Researchers who studied how to assign targets to drones in real time developed their methods without building in collision avoidance between teammates. Researchers who studied how drones detect and avoid each other during flight developed their methods without incorporating any goal structure — their drones had no targets to reach, only teammates to avoid. Work that operated in large environments did so in two dimensions only. The result is a collection of capable but partial solutions, each addressing one aspect of the coordination problem while assuming the others are either trivial or solved elsewhere.</w:t>
      </w:r>
    </w:p>
    <w:p>
      <w:pPr>
        <w:spacing w:after="120" w:line="360" w:lineRule="exact"/>
        <w:jc w:val="both"/>
      </w:pPr>
      <w:r>
        <w:rPr>
          <w:rFonts w:ascii="Times New Roman" w:hAnsi="Times New Roman"/>
          <w:sz w:val="24"/>
        </w:rPr>
        <w:t>This research addresses one specific and well-documented instance of this fragmentation. The two most relevant recent contributions — one to target assignment and one to collision avoidance — each explicitly identify the other's problem as their own next step, confirming that no existing work has brought both mechanisms together. The present work proposes a unified MAPPO-based framework that integrates real-time target assignment and conflict-aware collision avoidance in a single policy, operating in a three-dimensional environment with five to eight drones. The goal is to determine empirically whether these two mechanisms, when placed in the same policy in 3D space, reinforce each other or produce competing navigation signals that degrade overall performance.</w:t>
      </w:r>
    </w:p>
    <w:p>
      <w:pPr>
        <w:spacing w:before="280" w:after="120"/>
      </w:pPr>
      <w:r>
        <w:rPr>
          <w:rFonts w:ascii="Times New Roman" w:hAnsi="Times New Roman"/>
          <w:b/>
          <w:sz w:val="24"/>
        </w:rPr>
        <w:t>2.   Literature Review</w:t>
      </w:r>
    </w:p>
    <w:p>
      <w:pPr>
        <w:spacing w:after="120" w:line="360" w:lineRule="exact"/>
        <w:jc w:val="both"/>
      </w:pPr>
      <w:r>
        <w:rPr>
          <w:rFonts w:ascii="Times New Roman" w:hAnsi="Times New Roman"/>
          <w:sz w:val="24"/>
        </w:rPr>
        <w:t>Mnih et al. [12] were the first to show that a convolutional neural network, trained using Q-learning, could attain human performance level on Atari games, directly from pixel inputs. Later improvements fixed important instabilities: Van Hasselt et al. [13] proposed Double DQN for systematic overestimation of the value of actions; Wang et al. [14] introduced Dueling Network architecture, which learned two networks to estimate state values and action advantages; and Schaul et al. [15] introduced Prioritized Experience Replay, which sampled training transitions according to the temporal difference error, thus speeding up learning from rare but informative transitions. Tang et al. [1] employ the Improved D3QN architecture for dynamic scene navigation with a single UAV, which is built on these four contributions.</w:t>
      </w:r>
    </w:p>
    <w:p>
      <w:pPr>
        <w:spacing w:after="120" w:line="360" w:lineRule="exact"/>
        <w:jc w:val="both"/>
      </w:pPr>
      <w:r>
        <w:rPr>
          <w:rFonts w:ascii="Times New Roman" w:hAnsi="Times New Roman"/>
          <w:sz w:val="24"/>
        </w:rPr>
        <w:t>Policy gradient methods were another approach that naturally worked with continuous action spaces. A different approach was proposed by Schulman et al. [16] where Proximal Policy Optimization (PPO) limits the size of the policy updates using a clipped surrogate objective, which eliminates the need to use trust-region constraints while maintaining training stability. To correct for overestimation of continuous-action actor-critic methods, Fujimoto et al. [18] introduced Twin Delayed Deep Deterministic Policy Gradient (TD3), which used clipped double Q learning, delayed policy updates and target policy smoothing. The policy backbone of the multi-UAV target assignment was chosen as TD3, adopted by Kong et al. [2] for its stability in continuous control.</w:t>
      </w:r>
    </w:p>
    <w:p>
      <w:pPr>
        <w:spacing w:after="120" w:line="360" w:lineRule="exact"/>
        <w:jc w:val="both"/>
      </w:pPr>
      <w:r>
        <w:rPr>
          <w:rFonts w:ascii="Times New Roman" w:hAnsi="Times New Roman"/>
          <w:sz w:val="24"/>
        </w:rPr>
        <w:t>The extension was to multi-agent settings and introduced new coordination challenges. In the centralized-training decentralized-execution (CTDE) framework, Lowe et al. [17] introduced Multi-Agent Deep Deterministic Policy Gradient (MADDPG) where each agent's critic is trained with the complete joint state, while each agent's actor is only trained with its local state at execution time. To facilitate the credit assignment in cooperative tasks, Rashid et al. [19] proposed QMIX, a method that decomposes the joint action-value function into per-agent utilities constrained by monotonicity. In a simpler additive factorization, Sunehag et al. [22] introduced the Value Decomposition Networks (VDN). Mean Field theory was applied to MARL in [20] where the interaction between any one agent and the population was modelled as a mean field term rather than as pairwise interactions, which decreased the computational complexity from quadratic to linear with respect to the number of agents. Inspired by Yu et al. [21] who showed that PPO with a shared critic (MAPPO) is surprisingly competitive with more complex MARL algorithms on cooperative benchmarks, this variant is typically used as the policy backbone in recent UAV coordination work.</w:t>
      </w:r>
    </w:p>
    <w:p>
      <w:pPr>
        <w:spacing w:after="120" w:line="360" w:lineRule="exact"/>
        <w:jc w:val="both"/>
      </w:pPr>
      <w:r>
        <w:rPr>
          <w:rFonts w:ascii="Times New Roman" w:hAnsi="Times New Roman"/>
          <w:sz w:val="24"/>
        </w:rPr>
        <w:t>Surveys of DRL for autonomous systems have given systematic overviews of progress regarding sub-domains. Govinda et al. [11] reviewed the applications in transportation, robotics, and UAV systems and found the lack of common frameworks that combine both navigation efficiency and inter-agent coordination as a prevailing drawback. Aggarwal and Kumar [23] introduced a review of path planning methods particularly for UAVs that summarizes failure cases of common path planning algorithms in dynamic environments and identifies DRL as the most promising approach for real-time adaptive path planning. Most UAV coordination problems that are formulated by MARLs are formulated in a formal framework called decentralized partially observable Markov decision process (Dec-POMDPs), introduced by Oliehoek and Amato [24]. Gronauer and Diepold [25] conducted a comprehensive review of multi-agent DRL, which they identified as having two major ongoing challenges: scalability and partial observability.</w:t>
      </w:r>
    </w:p>
    <w:p>
      <w:pPr>
        <w:spacing w:after="120" w:line="360" w:lineRule="exact"/>
        <w:jc w:val="both"/>
      </w:pPr>
      <w:r>
        <w:rPr>
          <w:rFonts w:ascii="Times New Roman" w:hAnsi="Times New Roman"/>
          <w:sz w:val="24"/>
        </w:rPr>
        <w:t>In a single-UAV navigation scenario in a dynamic environment, Tang et al. [1] introduced an Improved D3QN based on Dueling Double DQN, Prioritized Experience Replay and the heuristic action-selection bias towards the target to obtain success rates of about 95% in moving threat zones, which are superior to both A* and RRT in terms of path quality. The problem of large-scale 3D environments was tackled by Jarray et al. [3] with a dynamic reward function that is calculated from the ratio of distances at every step, which allows a DQN with 3D convolutional feature extraction to come close to 98% success in low obstacles environments, and 85% in 40 obstacles, significantly outperforming particle swarm and grey wolf optimization baselines.</w:t>
      </w:r>
    </w:p>
    <w:p>
      <w:pPr>
        <w:spacing w:after="120" w:line="360" w:lineRule="exact"/>
        <w:jc w:val="both"/>
      </w:pPr>
      <w:r>
        <w:rPr>
          <w:rFonts w:ascii="Times New Roman" w:hAnsi="Times New Roman"/>
          <w:sz w:val="24"/>
        </w:rPr>
        <w:t>The additional challenge of target assignment was added to the path planning in multi-UAV coordination. Kong et al. [2] introduced a framework called TANet-TD3, which assigns targets and computes the path simultaneously, learned by employing Hungarian algorithm labels to ensure optimal supervision of target assignment, both with and without moving obstacles and partial observability, for five drones in a 2D environment. Zhang et al. [4] extended the performance of the mean-field DDPG with multi-head attention weighting to 80-120 drones while maintaining an above 90% task success rate at 120 drones, compared to the failure of standard MARL baselines. Both papers, however, are two dimensional, and neither has a real-time mechanism for changing targets in the presence of dynamic targets.</w:t>
      </w:r>
    </w:p>
    <w:p>
      <w:pPr>
        <w:spacing w:after="120" w:line="360" w:lineRule="exact"/>
        <w:jc w:val="both"/>
      </w:pPr>
      <w:r>
        <w:rPr>
          <w:rFonts w:ascii="Times New Roman" w:hAnsi="Times New Roman"/>
          <w:sz w:val="24"/>
        </w:rPr>
        <w:t>The most closely related work to this research is DA-MAPPO (Sheng et al. [10]), which introduces real-time Hungarian-algorithm-based target assignments directly into each drone's observation vector, and updates it at each decision step. The paper's ablation study shows a dramatic decline in mission success going from over 90% to 0%, directly confirming that the mechanism itself rather than the policy design is responsible for the success of the framework. The authors explicitly mention 3D extension and larger swarms as future work and DA-MAPPO was evaluated on three drones in a 2D space with static obstacles.</w:t>
      </w:r>
    </w:p>
    <w:p>
      <w:pPr>
        <w:spacing w:after="120" w:line="360" w:lineRule="exact"/>
        <w:jc w:val="both"/>
      </w:pPr>
      <w:r>
        <w:rPr>
          <w:rFonts w:ascii="Times New Roman" w:hAnsi="Times New Roman"/>
          <w:sz w:val="24"/>
        </w:rPr>
        <w:t>For collision avoidance specifically, Rezaee et al. [9] introduced a sparse conflict-driven graph, where drone pairs that are believed to be on a collision course during a specified time window are connected, and replaced the dense all-to-all interaction graph as seen in most previous works on graph-based MARL. The framework yields an increase of 17% in reward, 10% fewer dangerous separation events and 44% fewer interaction edges than the previous best baseline. Most importantly, IGAT-MARL does not have a target assignment component and the authors mention task allocation as a clear future direction.</w:t>
      </w:r>
    </w:p>
    <w:p>
      <w:pPr>
        <w:spacing w:after="120" w:line="360" w:lineRule="exact"/>
        <w:jc w:val="both"/>
      </w:pPr>
      <w:r>
        <w:rPr>
          <w:rFonts w:ascii="Times New Roman" w:hAnsi="Times New Roman"/>
          <w:sz w:val="24"/>
        </w:rPr>
        <w:t>There has been recent research on the use of LLMs in UAV coordination. To tackle the issues associated with cold-start in MARL training, Xu et al. [6] proposed a novel approach that employs GPT-4o to offer strategic relay position initialization for UAV multi-hop networking. Wang et al. [7] presented a two-stage approach RALLY that employs LLM semantic consensus to assign Commander, Coordinator and Executor roles for drones and then further optimizes coordination via an RMIX value-mixing network. Poudel and Moh [5] discussed the problem of heterogeneous drone fleets in disaster scenarios where MAML is used to rapidly adapt to unseen environments with resource-aware coalition formation. Khan et al. [8] offered a systematic review of multi-agent coordination frameworks based on LLMs.</w:t>
      </w:r>
    </w:p>
    <w:p>
      <w:pPr>
        <w:spacing w:after="120" w:line="360" w:lineRule="exact"/>
        <w:jc w:val="both"/>
      </w:pPr>
      <w:r>
        <w:rPr>
          <w:rFonts w:ascii="Times New Roman" w:hAnsi="Times New Roman"/>
          <w:sz w:val="24"/>
        </w:rPr>
        <w:t>The literature, when taken together, shows that no structural solution has ever been proposed for integrating the mechanisms to solve target assignment (DA-MAPPO) and collision avoidance (IGAT-MARL), and none has been tested in three dimensions. Both papers cite this in their papers' future work sections. Nothing has been published that answers the question of whether these two mechanisms complement or compete when embedded in the same policy in 3D. It is this gap that is targeted in the proposed research. Table 1 below gives a summary of all the reviewed studies.</w:t>
      </w:r>
    </w:p>
    <w:p>
      <w:r>
        <w:rPr>
          <w:rFonts w:ascii="Times New Roman" w:hAnsi="Times New Roman"/>
          <w:b/>
          <w:sz w:val="20"/>
        </w:rPr>
        <w:t>Table 1.  Summary of Related Work</w:t>
      </w:r>
    </w:p>
    <w:tbl>
      <w:tblPr>
        <w:tblStyle w:val="TableGrid"/>
        <w:tblW w:type="auto" w:w="0"/>
        <w:tblLook w:firstColumn="1" w:firstRow="1" w:lastColumn="0" w:lastRow="0" w:noHBand="0" w:noVBand="1" w:val="04A0"/>
      </w:tblPr>
      <w:tblGrid>
        <w:gridCol w:w="1384"/>
        <w:gridCol w:w="1384"/>
        <w:gridCol w:w="1384"/>
        <w:gridCol w:w="1384"/>
        <w:gridCol w:w="1384"/>
        <w:gridCol w:w="1384"/>
      </w:tblGrid>
      <w:tr>
        <w:tc>
          <w:tcPr>
            <w:tcW w:type="dxa" w:w="1384"/>
          </w:tcPr>
          <w:p>
            <w:pPr>
              <w:jc w:val="center"/>
            </w:pPr>
            <w:r/>
            <w:r>
              <w:rPr>
                <w:rFonts w:ascii="Times New Roman" w:hAnsi="Times New Roman"/>
                <w:b/>
                <w:sz w:val="18"/>
              </w:rPr>
              <w:t>Ref #</w:t>
            </w:r>
          </w:p>
        </w:tc>
        <w:tc>
          <w:tcPr>
            <w:tcW w:type="dxa" w:w="1384"/>
          </w:tcPr>
          <w:p>
            <w:pPr>
              <w:jc w:val="center"/>
            </w:pPr>
            <w:r/>
            <w:r>
              <w:rPr>
                <w:rFonts w:ascii="Times New Roman" w:hAnsi="Times New Roman"/>
                <w:b/>
                <w:sz w:val="18"/>
              </w:rPr>
              <w:t>Author(s) &amp; Year</w:t>
            </w:r>
          </w:p>
        </w:tc>
        <w:tc>
          <w:tcPr>
            <w:tcW w:type="dxa" w:w="1384"/>
          </w:tcPr>
          <w:p>
            <w:pPr>
              <w:jc w:val="center"/>
            </w:pPr>
            <w:r/>
            <w:r>
              <w:rPr>
                <w:rFonts w:ascii="Times New Roman" w:hAnsi="Times New Roman"/>
                <w:b/>
                <w:sz w:val="18"/>
              </w:rPr>
              <w:t>Methodology</w:t>
            </w:r>
          </w:p>
        </w:tc>
        <w:tc>
          <w:tcPr>
            <w:tcW w:type="dxa" w:w="1384"/>
          </w:tcPr>
          <w:p>
            <w:pPr>
              <w:jc w:val="center"/>
            </w:pPr>
            <w:r/>
            <w:r>
              <w:rPr>
                <w:rFonts w:ascii="Times New Roman" w:hAnsi="Times New Roman"/>
                <w:b/>
                <w:sz w:val="18"/>
              </w:rPr>
              <w:t>Dataset / Samples</w:t>
            </w:r>
          </w:p>
        </w:tc>
        <w:tc>
          <w:tcPr>
            <w:tcW w:type="dxa" w:w="1384"/>
          </w:tcPr>
          <w:p>
            <w:pPr>
              <w:jc w:val="center"/>
            </w:pPr>
            <w:r/>
            <w:r>
              <w:rPr>
                <w:rFonts w:ascii="Times New Roman" w:hAnsi="Times New Roman"/>
                <w:b/>
                <w:sz w:val="18"/>
              </w:rPr>
              <w:t>Strength</w:t>
            </w:r>
          </w:p>
        </w:tc>
        <w:tc>
          <w:tcPr>
            <w:tcW w:type="dxa" w:w="1384"/>
          </w:tcPr>
          <w:p>
            <w:pPr>
              <w:jc w:val="center"/>
            </w:pPr>
            <w:r/>
            <w:r>
              <w:rPr>
                <w:rFonts w:ascii="Times New Roman" w:hAnsi="Times New Roman"/>
                <w:b/>
                <w:sz w:val="18"/>
              </w:rPr>
              <w:t>Limitation</w:t>
            </w:r>
          </w:p>
        </w:tc>
      </w:tr>
      <w:tr>
        <w:tc>
          <w:tcPr>
            <w:tcW w:type="dxa" w:w="1384"/>
          </w:tcPr>
          <w:p>
            <w:r/>
            <w:r>
              <w:rPr>
                <w:rFonts w:ascii="Times New Roman" w:hAnsi="Times New Roman"/>
                <w:b w:val="0"/>
                <w:sz w:val="18"/>
              </w:rPr>
              <w:t>[11]</w:t>
            </w:r>
          </w:p>
        </w:tc>
        <w:tc>
          <w:tcPr>
            <w:tcW w:type="dxa" w:w="1384"/>
          </w:tcPr>
          <w:p>
            <w:r/>
            <w:r>
              <w:rPr>
                <w:rFonts w:ascii="Times New Roman" w:hAnsi="Times New Roman"/>
                <w:b w:val="0"/>
                <w:sz w:val="18"/>
              </w:rPr>
              <w:t>Govinda, S., Brik, B., &amp; Harous, S. (2025)</w:t>
            </w:r>
          </w:p>
        </w:tc>
        <w:tc>
          <w:tcPr>
            <w:tcW w:type="dxa" w:w="1384"/>
          </w:tcPr>
          <w:p>
            <w:r/>
            <w:r>
              <w:rPr>
                <w:rFonts w:ascii="Times New Roman" w:hAnsi="Times New Roman"/>
                <w:b w:val="0"/>
                <w:sz w:val="18"/>
              </w:rPr>
              <w:t>Systematic literature review of DRL applications across transportation, robotics, and UAV systems</w:t>
            </w:r>
          </w:p>
        </w:tc>
        <w:tc>
          <w:tcPr>
            <w:tcW w:type="dxa" w:w="1384"/>
          </w:tcPr>
          <w:p>
            <w:r/>
            <w:r>
              <w:rPr>
                <w:rFonts w:ascii="Times New Roman" w:hAnsi="Times New Roman"/>
                <w:b w:val="0"/>
                <w:sz w:val="18"/>
              </w:rPr>
              <w:t>Survey of published DRL literature; no primary experimental data</w:t>
            </w:r>
          </w:p>
        </w:tc>
        <w:tc>
          <w:tcPr>
            <w:tcW w:type="dxa" w:w="1384"/>
          </w:tcPr>
          <w:p>
            <w:r/>
            <w:r>
              <w:rPr>
                <w:rFonts w:ascii="Times New Roman" w:hAnsi="Times New Roman"/>
                <w:b w:val="0"/>
                <w:sz w:val="18"/>
              </w:rPr>
              <w:t>Identifies lack of unified frameworks combining navigation efficiency and inter-agent coordination as a key open gap</w:t>
            </w:r>
          </w:p>
        </w:tc>
        <w:tc>
          <w:tcPr>
            <w:tcW w:type="dxa" w:w="1384"/>
          </w:tcPr>
          <w:p>
            <w:r/>
            <w:r>
              <w:rPr>
                <w:rFonts w:ascii="Times New Roman" w:hAnsi="Times New Roman"/>
                <w:b w:val="0"/>
                <w:sz w:val="18"/>
              </w:rPr>
              <w:t>Survey only; no new algorithm proposed; limited coverage of multi-agent 3D coordination scenarios</w:t>
            </w:r>
          </w:p>
        </w:tc>
      </w:tr>
      <w:tr>
        <w:tc>
          <w:tcPr>
            <w:tcW w:type="dxa" w:w="1384"/>
          </w:tcPr>
          <w:p>
            <w:r/>
            <w:r>
              <w:rPr>
                <w:rFonts w:ascii="Times New Roman" w:hAnsi="Times New Roman"/>
                <w:b w:val="0"/>
                <w:sz w:val="18"/>
              </w:rPr>
              <w:t>[23]</w:t>
            </w:r>
          </w:p>
        </w:tc>
        <w:tc>
          <w:tcPr>
            <w:tcW w:type="dxa" w:w="1384"/>
          </w:tcPr>
          <w:p>
            <w:r/>
            <w:r>
              <w:rPr>
                <w:rFonts w:ascii="Times New Roman" w:hAnsi="Times New Roman"/>
                <w:b w:val="0"/>
                <w:sz w:val="18"/>
              </w:rPr>
              <w:t>Aggarwal, S. &amp; Kumar, N. (2020)</w:t>
            </w:r>
          </w:p>
        </w:tc>
        <w:tc>
          <w:tcPr>
            <w:tcW w:type="dxa" w:w="1384"/>
          </w:tcPr>
          <w:p>
            <w:r/>
            <w:r>
              <w:rPr>
                <w:rFonts w:ascii="Times New Roman" w:hAnsi="Times New Roman"/>
                <w:b w:val="0"/>
                <w:sz w:val="18"/>
              </w:rPr>
              <w:t>Systematic review of path planning algorithms for UAVs: classical, evolutionary, and DRL-based methods</w:t>
            </w:r>
          </w:p>
        </w:tc>
        <w:tc>
          <w:tcPr>
            <w:tcW w:type="dxa" w:w="1384"/>
          </w:tcPr>
          <w:p>
            <w:r/>
            <w:r>
              <w:rPr>
                <w:rFonts w:ascii="Times New Roman" w:hAnsi="Times New Roman"/>
                <w:b w:val="0"/>
                <w:sz w:val="18"/>
              </w:rPr>
              <w:t>Review of published literature on UAV path planning across indoor, outdoor, 2D, and 3D environments</w:t>
            </w:r>
          </w:p>
        </w:tc>
        <w:tc>
          <w:tcPr>
            <w:tcW w:type="dxa" w:w="1384"/>
          </w:tcPr>
          <w:p>
            <w:r/>
            <w:r>
              <w:rPr>
                <w:rFonts w:ascii="Times New Roman" w:hAnsi="Times New Roman"/>
                <w:b w:val="0"/>
                <w:sz w:val="18"/>
              </w:rPr>
              <w:t>Comprehensive taxonomy; identifies DRL as most promising for dynamic real-time environments; covers failure cases of classical methods</w:t>
            </w:r>
          </w:p>
        </w:tc>
        <w:tc>
          <w:tcPr>
            <w:tcW w:type="dxa" w:w="1384"/>
          </w:tcPr>
          <w:p>
            <w:r/>
            <w:r>
              <w:rPr>
                <w:rFonts w:ascii="Times New Roman" w:hAnsi="Times New Roman"/>
                <w:b w:val="0"/>
                <w:sz w:val="18"/>
              </w:rPr>
              <w:t>Survey only; no new algorithm; many reviewed methods predated modern MARL advances and are now outdated</w:t>
            </w:r>
          </w:p>
        </w:tc>
      </w:tr>
      <w:tr>
        <w:tc>
          <w:tcPr>
            <w:tcW w:type="dxa" w:w="1384"/>
          </w:tcPr>
          <w:p>
            <w:r/>
            <w:r>
              <w:rPr>
                <w:rFonts w:ascii="Times New Roman" w:hAnsi="Times New Roman"/>
                <w:b w:val="0"/>
                <w:sz w:val="18"/>
              </w:rPr>
              <w:t>[24]</w:t>
            </w:r>
          </w:p>
        </w:tc>
        <w:tc>
          <w:tcPr>
            <w:tcW w:type="dxa" w:w="1384"/>
          </w:tcPr>
          <w:p>
            <w:r/>
            <w:r>
              <w:rPr>
                <w:rFonts w:ascii="Times New Roman" w:hAnsi="Times New Roman"/>
                <w:b w:val="0"/>
                <w:sz w:val="18"/>
              </w:rPr>
              <w:t>Oliehoek, F. A. &amp; Amato, C. (2016)</w:t>
            </w:r>
          </w:p>
        </w:tc>
        <w:tc>
          <w:tcPr>
            <w:tcW w:type="dxa" w:w="1384"/>
          </w:tcPr>
          <w:p>
            <w:r/>
            <w:r>
              <w:rPr>
                <w:rFonts w:ascii="Times New Roman" w:hAnsi="Times New Roman"/>
                <w:b w:val="0"/>
                <w:sz w:val="18"/>
              </w:rPr>
              <w:t>Formal mathematical framework for Decentralized Partially Observable Markov Decision Processes (Dec-POMDPs)</w:t>
            </w:r>
          </w:p>
        </w:tc>
        <w:tc>
          <w:tcPr>
            <w:tcW w:type="dxa" w:w="1384"/>
          </w:tcPr>
          <w:p>
            <w:r/>
            <w:r>
              <w:rPr>
                <w:rFonts w:ascii="Times New Roman" w:hAnsi="Times New Roman"/>
                <w:b w:val="0"/>
                <w:sz w:val="18"/>
              </w:rPr>
              <w:t>Theoretical formalization; small illustrative examples</w:t>
            </w:r>
          </w:p>
        </w:tc>
        <w:tc>
          <w:tcPr>
            <w:tcW w:type="dxa" w:w="1384"/>
          </w:tcPr>
          <w:p>
            <w:r/>
            <w:r>
              <w:rPr>
                <w:rFonts w:ascii="Times New Roman" w:hAnsi="Times New Roman"/>
                <w:b w:val="0"/>
                <w:sz w:val="18"/>
              </w:rPr>
              <w:t>Foundational framework for multi-agent coordination under partial observability; provides rigorous problem formulation used by virtually all MARL UAV papers</w:t>
            </w:r>
          </w:p>
        </w:tc>
        <w:tc>
          <w:tcPr>
            <w:tcW w:type="dxa" w:w="1384"/>
          </w:tcPr>
          <w:p>
            <w:r/>
            <w:r>
              <w:rPr>
                <w:rFonts w:ascii="Times New Roman" w:hAnsi="Times New Roman"/>
                <w:b w:val="0"/>
                <w:sz w:val="18"/>
              </w:rPr>
              <w:t>Theoretical only; exact solutions are computationally intractable for large state spaces; scalability is an inherent structural limitation</w:t>
            </w:r>
          </w:p>
        </w:tc>
      </w:tr>
      <w:tr>
        <w:tc>
          <w:tcPr>
            <w:tcW w:type="dxa" w:w="1384"/>
          </w:tcPr>
          <w:p>
            <w:r/>
            <w:r>
              <w:rPr>
                <w:rFonts w:ascii="Times New Roman" w:hAnsi="Times New Roman"/>
                <w:b w:val="0"/>
                <w:sz w:val="18"/>
              </w:rPr>
              <w:t>[25]</w:t>
            </w:r>
          </w:p>
        </w:tc>
        <w:tc>
          <w:tcPr>
            <w:tcW w:type="dxa" w:w="1384"/>
          </w:tcPr>
          <w:p>
            <w:r/>
            <w:r>
              <w:rPr>
                <w:rFonts w:ascii="Times New Roman" w:hAnsi="Times New Roman"/>
                <w:b w:val="0"/>
                <w:sz w:val="18"/>
              </w:rPr>
              <w:t>Gronauer, A. &amp; Diepold, K. (2022)</w:t>
            </w:r>
          </w:p>
        </w:tc>
        <w:tc>
          <w:tcPr>
            <w:tcW w:type="dxa" w:w="1384"/>
          </w:tcPr>
          <w:p>
            <w:r/>
            <w:r>
              <w:rPr>
                <w:rFonts w:ascii="Times New Roman" w:hAnsi="Times New Roman"/>
                <w:b w:val="0"/>
                <w:sz w:val="18"/>
              </w:rPr>
              <w:t>Comprehensive survey and taxonomy of multi-agent deep reinforcement learning methods, algorithms, environments, and open challenges</w:t>
            </w:r>
          </w:p>
        </w:tc>
        <w:tc>
          <w:tcPr>
            <w:tcW w:type="dxa" w:w="1384"/>
          </w:tcPr>
          <w:p>
            <w:r/>
            <w:r>
              <w:rPr>
                <w:rFonts w:ascii="Times New Roman" w:hAnsi="Times New Roman"/>
                <w:b w:val="0"/>
                <w:sz w:val="18"/>
              </w:rPr>
              <w:t>Survey of published MARL literature; no primary experimental data</w:t>
            </w:r>
          </w:p>
        </w:tc>
        <w:tc>
          <w:tcPr>
            <w:tcW w:type="dxa" w:w="1384"/>
          </w:tcPr>
          <w:p>
            <w:r/>
            <w:r>
              <w:rPr>
                <w:rFonts w:ascii="Times New Roman" w:hAnsi="Times New Roman"/>
                <w:b w:val="0"/>
                <w:sz w:val="18"/>
              </w:rPr>
              <w:t>Identifies scalability and partial observability as the two major open challenges in MARL; provides complete taxonomy</w:t>
            </w:r>
          </w:p>
        </w:tc>
        <w:tc>
          <w:tcPr>
            <w:tcW w:type="dxa" w:w="1384"/>
          </w:tcPr>
          <w:p>
            <w:r/>
            <w:r>
              <w:rPr>
                <w:rFonts w:ascii="Times New Roman" w:hAnsi="Times New Roman"/>
                <w:b w:val="0"/>
                <w:sz w:val="18"/>
              </w:rPr>
              <w:t>Survey only; field evolves rapidly so coverage of post-2021 work is limited; no empirical contribution</w:t>
            </w:r>
          </w:p>
        </w:tc>
      </w:tr>
      <w:tr>
        <w:tc>
          <w:tcPr>
            <w:tcW w:type="dxa" w:w="1384"/>
          </w:tcPr>
          <w:p>
            <w:r/>
            <w:r>
              <w:rPr>
                <w:rFonts w:ascii="Times New Roman" w:hAnsi="Times New Roman"/>
                <w:b w:val="0"/>
                <w:sz w:val="18"/>
              </w:rPr>
              <w:t>[1]</w:t>
            </w:r>
          </w:p>
        </w:tc>
        <w:tc>
          <w:tcPr>
            <w:tcW w:type="dxa" w:w="1384"/>
          </w:tcPr>
          <w:p>
            <w:r/>
            <w:r>
              <w:rPr>
                <w:rFonts w:ascii="Times New Roman" w:hAnsi="Times New Roman"/>
                <w:b w:val="0"/>
                <w:sz w:val="18"/>
              </w:rPr>
              <w:t>Tang, J., Liang, Y., &amp; Li, K. (2024)</w:t>
            </w:r>
          </w:p>
        </w:tc>
        <w:tc>
          <w:tcPr>
            <w:tcW w:type="dxa" w:w="1384"/>
          </w:tcPr>
          <w:p>
            <w:r/>
            <w:r>
              <w:rPr>
                <w:rFonts w:ascii="Times New Roman" w:hAnsi="Times New Roman"/>
                <w:b w:val="0"/>
                <w:sz w:val="18"/>
              </w:rPr>
              <w:t>Improved D3QN: Dueling Double DQN + Prioritized Experience Replay + heuristic action bias toward target</w:t>
            </w:r>
          </w:p>
        </w:tc>
        <w:tc>
          <w:tcPr>
            <w:tcW w:type="dxa" w:w="1384"/>
          </w:tcPr>
          <w:p>
            <w:r/>
            <w:r>
              <w:rPr>
                <w:rFonts w:ascii="Times New Roman" w:hAnsi="Times New Roman"/>
                <w:b w:val="0"/>
                <w:sz w:val="18"/>
              </w:rPr>
              <w:t>Custom 2D grid sim; single UAV; static &amp; moving obstacles</w:t>
            </w:r>
          </w:p>
        </w:tc>
        <w:tc>
          <w:tcPr>
            <w:tcW w:type="dxa" w:w="1384"/>
          </w:tcPr>
          <w:p>
            <w:r/>
            <w:r>
              <w:rPr>
                <w:rFonts w:ascii="Times New Roman" w:hAnsi="Times New Roman"/>
                <w:b w:val="0"/>
                <w:sz w:val="18"/>
              </w:rPr>
              <w:t>Handles moving obstacles; PER speeds convergence; outperforms A* and RRT on path quality</w:t>
            </w:r>
          </w:p>
        </w:tc>
        <w:tc>
          <w:tcPr>
            <w:tcW w:type="dxa" w:w="1384"/>
          </w:tcPr>
          <w:p>
            <w:r/>
            <w:r>
              <w:rPr>
                <w:rFonts w:ascii="Times New Roman" w:hAnsi="Times New Roman"/>
                <w:b w:val="0"/>
                <w:sz w:val="18"/>
              </w:rPr>
              <w:t>Single drone only; 2D; discrete 8-direction actions; no hardware validation</w:t>
            </w:r>
          </w:p>
        </w:tc>
      </w:tr>
      <w:tr>
        <w:tc>
          <w:tcPr>
            <w:tcW w:type="dxa" w:w="1384"/>
          </w:tcPr>
          <w:p>
            <w:r/>
            <w:r>
              <w:rPr>
                <w:rFonts w:ascii="Times New Roman" w:hAnsi="Times New Roman"/>
                <w:b w:val="0"/>
                <w:sz w:val="18"/>
              </w:rPr>
              <w:t>[2]</w:t>
            </w:r>
          </w:p>
        </w:tc>
        <w:tc>
          <w:tcPr>
            <w:tcW w:type="dxa" w:w="1384"/>
          </w:tcPr>
          <w:p>
            <w:r/>
            <w:r>
              <w:rPr>
                <w:rFonts w:ascii="Times New Roman" w:hAnsi="Times New Roman"/>
                <w:b w:val="0"/>
                <w:sz w:val="18"/>
              </w:rPr>
              <w:t>Kong, X., Zhou, Y., Li, Z., &amp; Wang, S. (2024)</w:t>
            </w:r>
          </w:p>
        </w:tc>
        <w:tc>
          <w:tcPr>
            <w:tcW w:type="dxa" w:w="1384"/>
          </w:tcPr>
          <w:p>
            <w:r/>
            <w:r>
              <w:rPr>
                <w:rFonts w:ascii="Times New Roman" w:hAnsi="Times New Roman"/>
                <w:b w:val="0"/>
                <w:sz w:val="18"/>
              </w:rPr>
              <w:t>TANet-TD3: Target Assignment Network + TD3; Hungarian algorithm supervision; POMDP formulation</w:t>
            </w:r>
          </w:p>
        </w:tc>
        <w:tc>
          <w:tcPr>
            <w:tcW w:type="dxa" w:w="1384"/>
          </w:tcPr>
          <w:p>
            <w:r/>
            <w:r>
              <w:rPr>
                <w:rFonts w:ascii="Times New Roman" w:hAnsi="Times New Roman"/>
                <w:b w:val="0"/>
                <w:sz w:val="18"/>
              </w:rPr>
              <w:t>Custom 2D sim; 5 UAVs; moving targets; partial observability</w:t>
            </w:r>
          </w:p>
        </w:tc>
        <w:tc>
          <w:tcPr>
            <w:tcW w:type="dxa" w:w="1384"/>
          </w:tcPr>
          <w:p>
            <w:r/>
            <w:r>
              <w:rPr>
                <w:rFonts w:ascii="Times New Roman" w:hAnsi="Times New Roman"/>
                <w:b w:val="0"/>
                <w:sz w:val="18"/>
              </w:rPr>
              <w:t>Jointly solves assignment + path planning; continuous actions; handles partial observability</w:t>
            </w:r>
          </w:p>
        </w:tc>
        <w:tc>
          <w:tcPr>
            <w:tcW w:type="dxa" w:w="1384"/>
          </w:tcPr>
          <w:p>
            <w:r/>
            <w:r>
              <w:rPr>
                <w:rFonts w:ascii="Times New Roman" w:hAnsi="Times New Roman"/>
                <w:b w:val="0"/>
                <w:sz w:val="18"/>
              </w:rPr>
              <w:t>Only 5 drones; 2D only; no scaling mechanism; no hardware test</w:t>
            </w:r>
          </w:p>
        </w:tc>
      </w:tr>
      <w:tr>
        <w:tc>
          <w:tcPr>
            <w:tcW w:type="dxa" w:w="1384"/>
          </w:tcPr>
          <w:p>
            <w:r/>
            <w:r>
              <w:rPr>
                <w:rFonts w:ascii="Times New Roman" w:hAnsi="Times New Roman"/>
                <w:b w:val="0"/>
                <w:sz w:val="18"/>
              </w:rPr>
              <w:t>[3]</w:t>
            </w:r>
          </w:p>
        </w:tc>
        <w:tc>
          <w:tcPr>
            <w:tcW w:type="dxa" w:w="1384"/>
          </w:tcPr>
          <w:p>
            <w:r/>
            <w:r>
              <w:rPr>
                <w:rFonts w:ascii="Times New Roman" w:hAnsi="Times New Roman"/>
                <w:b w:val="0"/>
                <w:sz w:val="18"/>
              </w:rPr>
              <w:t>Jarray, R., Zaghbani, I., &amp; Bouallègue, S. (2025)</w:t>
            </w:r>
          </w:p>
        </w:tc>
        <w:tc>
          <w:tcPr>
            <w:tcW w:type="dxa" w:w="1384"/>
          </w:tcPr>
          <w:p>
            <w:r/>
            <w:r>
              <w:rPr>
                <w:rFonts w:ascii="Times New Roman" w:hAnsi="Times New Roman"/>
                <w:b w:val="0"/>
                <w:sz w:val="18"/>
              </w:rPr>
              <w:t>DQN + 3D CNN feature extractor; dynamic reward formula d3/(d1+d2) per step; dual Q-networks</w:t>
            </w:r>
          </w:p>
        </w:tc>
        <w:tc>
          <w:tcPr>
            <w:tcW w:type="dxa" w:w="1384"/>
          </w:tcPr>
          <w:p>
            <w:r/>
            <w:r>
              <w:rPr>
                <w:rFonts w:ascii="Times New Roman" w:hAnsi="Times New Roman"/>
                <w:b w:val="0"/>
                <w:sz w:val="18"/>
              </w:rPr>
              <w:t>Custom 3D sim; 25 km² environment; 4 obstacle-density scenarios; single UAV</w:t>
            </w:r>
          </w:p>
        </w:tc>
        <w:tc>
          <w:tcPr>
            <w:tcW w:type="dxa" w:w="1384"/>
          </w:tcPr>
          <w:p>
            <w:r/>
            <w:r>
              <w:rPr>
                <w:rFonts w:ascii="Times New Roman" w:hAnsi="Times New Roman"/>
                <w:b w:val="0"/>
                <w:sz w:val="18"/>
              </w:rPr>
              <w:t>Only paper with genuine large-scale 3D environment; dense reward improves learning; beats PSO and GWO</w:t>
            </w:r>
          </w:p>
        </w:tc>
        <w:tc>
          <w:tcPr>
            <w:tcW w:type="dxa" w:w="1384"/>
          </w:tcPr>
          <w:p>
            <w:r/>
            <w:r>
              <w:rPr>
                <w:rFonts w:ascii="Times New Roman" w:hAnsi="Times New Roman"/>
                <w:b w:val="0"/>
                <w:sz w:val="18"/>
              </w:rPr>
              <w:t>Single drone; static obstacles; discrete actions; no multi-agent extension</w:t>
            </w:r>
          </w:p>
        </w:tc>
      </w:tr>
      <w:tr>
        <w:tc>
          <w:tcPr>
            <w:tcW w:type="dxa" w:w="1384"/>
          </w:tcPr>
          <w:p>
            <w:r/>
            <w:r>
              <w:rPr>
                <w:rFonts w:ascii="Times New Roman" w:hAnsi="Times New Roman"/>
                <w:b w:val="0"/>
                <w:sz w:val="18"/>
              </w:rPr>
              <w:t>[4]</w:t>
            </w:r>
          </w:p>
        </w:tc>
        <w:tc>
          <w:tcPr>
            <w:tcW w:type="dxa" w:w="1384"/>
          </w:tcPr>
          <w:p>
            <w:r/>
            <w:r>
              <w:rPr>
                <w:rFonts w:ascii="Times New Roman" w:hAnsi="Times New Roman"/>
                <w:b w:val="0"/>
                <w:sz w:val="18"/>
              </w:rPr>
              <w:t>Zhang, Y. et al. (2025)</w:t>
            </w:r>
          </w:p>
        </w:tc>
        <w:tc>
          <w:tcPr>
            <w:tcW w:type="dxa" w:w="1384"/>
          </w:tcPr>
          <w:p>
            <w:r/>
            <w:r>
              <w:rPr>
                <w:rFonts w:ascii="Times New Roman" w:hAnsi="Times New Roman"/>
                <w:b w:val="0"/>
                <w:sz w:val="18"/>
              </w:rPr>
              <w:t>PO-WMFDDPG: DDPG + weighted mean-field + multi-head attention + CTDE; partial observability</w:t>
            </w:r>
          </w:p>
        </w:tc>
        <w:tc>
          <w:tcPr>
            <w:tcW w:type="dxa" w:w="1384"/>
          </w:tcPr>
          <w:p>
            <w:r/>
            <w:r>
              <w:rPr>
                <w:rFonts w:ascii="Times New Roman" w:hAnsi="Times New Roman"/>
                <w:b w:val="0"/>
                <w:sz w:val="18"/>
              </w:rPr>
              <w:t>Custom 2D sim; swarm sizes 20–120 UAVs; static obstacles</w:t>
            </w:r>
          </w:p>
        </w:tc>
        <w:tc>
          <w:tcPr>
            <w:tcW w:type="dxa" w:w="1384"/>
          </w:tcPr>
          <w:p>
            <w:r/>
            <w:r>
              <w:rPr>
                <w:rFonts w:ascii="Times New Roman" w:hAnsi="Times New Roman"/>
                <w:b w:val="0"/>
                <w:sz w:val="18"/>
              </w:rPr>
              <w:t>Scales to 120 drones; attention weighting is principled; &gt;90% success where baselines collapse</w:t>
            </w:r>
          </w:p>
        </w:tc>
        <w:tc>
          <w:tcPr>
            <w:tcW w:type="dxa" w:w="1384"/>
          </w:tcPr>
          <w:p>
            <w:r/>
            <w:r>
              <w:rPr>
                <w:rFonts w:ascii="Times New Roman" w:hAnsi="Times New Roman"/>
                <w:b w:val="0"/>
                <w:sz w:val="18"/>
              </w:rPr>
              <w:t>2D only; static obstacles; homogeneous drones; ideal communication assumed</w:t>
            </w:r>
          </w:p>
        </w:tc>
      </w:tr>
      <w:tr>
        <w:tc>
          <w:tcPr>
            <w:tcW w:type="dxa" w:w="1384"/>
          </w:tcPr>
          <w:p>
            <w:r/>
            <w:r>
              <w:rPr>
                <w:rFonts w:ascii="Times New Roman" w:hAnsi="Times New Roman"/>
                <w:b w:val="0"/>
                <w:sz w:val="18"/>
              </w:rPr>
              <w:t>[5]</w:t>
            </w:r>
          </w:p>
        </w:tc>
        <w:tc>
          <w:tcPr>
            <w:tcW w:type="dxa" w:w="1384"/>
          </w:tcPr>
          <w:p>
            <w:r/>
            <w:r>
              <w:rPr>
                <w:rFonts w:ascii="Times New Roman" w:hAnsi="Times New Roman"/>
                <w:b w:val="0"/>
                <w:sz w:val="18"/>
              </w:rPr>
              <w:t>Poudel, S. &amp; Moh, S. (2026)</w:t>
            </w:r>
          </w:p>
        </w:tc>
        <w:tc>
          <w:tcPr>
            <w:tcW w:type="dxa" w:w="1384"/>
          </w:tcPr>
          <w:p>
            <w:r/>
            <w:r>
              <w:rPr>
                <w:rFonts w:ascii="Times New Roman" w:hAnsi="Times New Roman"/>
                <w:b w:val="0"/>
                <w:sz w:val="18"/>
              </w:rPr>
              <w:t>RCTP: MAML meta-learning + MA-DDPG + resource-aware coalition formation + LoS/NLoS communication modeling</w:t>
            </w:r>
          </w:p>
        </w:tc>
        <w:tc>
          <w:tcPr>
            <w:tcW w:type="dxa" w:w="1384"/>
          </w:tcPr>
          <w:p>
            <w:r/>
            <w:r>
              <w:rPr>
                <w:rFonts w:ascii="Times New Roman" w:hAnsi="Times New Roman"/>
                <w:b w:val="0"/>
                <w:sz w:val="18"/>
              </w:rPr>
              <w:t>Custom disaster-response sim; 10–30 heterogeneous UAVs; dynamic obstacles; drone failure scenarios</w:t>
            </w:r>
          </w:p>
        </w:tc>
        <w:tc>
          <w:tcPr>
            <w:tcW w:type="dxa" w:w="1384"/>
          </w:tcPr>
          <w:p>
            <w:r/>
            <w:r>
              <w:rPr>
                <w:rFonts w:ascii="Times New Roman" w:hAnsi="Times New Roman"/>
                <w:b w:val="0"/>
                <w:sz w:val="18"/>
              </w:rPr>
              <w:t>Handles heterogeneous drones, drone failures, intermittent communication, and energy constraints simultaneously; 30–40% faster missions</w:t>
            </w:r>
          </w:p>
        </w:tc>
        <w:tc>
          <w:tcPr>
            <w:tcW w:type="dxa" w:w="1384"/>
          </w:tcPr>
          <w:p>
            <w:r/>
            <w:r>
              <w:rPr>
                <w:rFonts w:ascii="Times New Roman" w:hAnsi="Times New Roman"/>
                <w:b w:val="0"/>
                <w:sz w:val="18"/>
              </w:rPr>
              <w:t>Only 10–30 drones; 2D; no comparison to mean-field methods; MAML needs adaptation data</w:t>
            </w:r>
          </w:p>
        </w:tc>
      </w:tr>
      <w:tr>
        <w:tc>
          <w:tcPr>
            <w:tcW w:type="dxa" w:w="1384"/>
          </w:tcPr>
          <w:p>
            <w:r/>
            <w:r>
              <w:rPr>
                <w:rFonts w:ascii="Times New Roman" w:hAnsi="Times New Roman"/>
                <w:b w:val="0"/>
                <w:sz w:val="18"/>
              </w:rPr>
              <w:t>[6]</w:t>
            </w:r>
          </w:p>
        </w:tc>
        <w:tc>
          <w:tcPr>
            <w:tcW w:type="dxa" w:w="1384"/>
          </w:tcPr>
          <w:p>
            <w:r/>
            <w:r>
              <w:rPr>
                <w:rFonts w:ascii="Times New Roman" w:hAnsi="Times New Roman"/>
                <w:b w:val="0"/>
                <w:sz w:val="18"/>
              </w:rPr>
              <w:t>Xu, Y. et al. (2026)</w:t>
            </w:r>
          </w:p>
        </w:tc>
        <w:tc>
          <w:tcPr>
            <w:tcW w:type="dxa" w:w="1384"/>
          </w:tcPr>
          <w:p>
            <w:r/>
            <w:r>
              <w:rPr>
                <w:rFonts w:ascii="Times New Roman" w:hAnsi="Times New Roman"/>
                <w:b w:val="0"/>
                <w:sz w:val="18"/>
              </w:rPr>
              <w:t>MRLMN: IPPO + role-based reward decomposition + behavioral constraints + GPT-4o offline knowledge distillation via Hungarian matching</w:t>
            </w:r>
          </w:p>
        </w:tc>
        <w:tc>
          <w:tcPr>
            <w:tcW w:type="dxa" w:w="1384"/>
          </w:tcPr>
          <w:p>
            <w:r/>
            <w:r>
              <w:rPr>
                <w:rFonts w:ascii="Times New Roman" w:hAnsi="Times New Roman"/>
                <w:b w:val="0"/>
                <w:sz w:val="18"/>
              </w:rPr>
              <w:t>Custom sim; 12–24 UAVs; 150 ground users; 3 base stations; 6.76–14.44 km² area</w:t>
            </w:r>
          </w:p>
        </w:tc>
        <w:tc>
          <w:tcPr>
            <w:tcW w:type="dxa" w:w="1384"/>
          </w:tcPr>
          <w:p>
            <w:r/>
            <w:r>
              <w:rPr>
                <w:rFonts w:ascii="Times New Roman" w:hAnsi="Times New Roman"/>
                <w:b w:val="0"/>
                <w:sz w:val="18"/>
              </w:rPr>
              <w:t>52% higher data rate and 27% more user coverage than baselines; principled LLM-MARL integration; thorough ablation</w:t>
            </w:r>
          </w:p>
        </w:tc>
        <w:tc>
          <w:tcPr>
            <w:tcW w:type="dxa" w:w="1384"/>
          </w:tcPr>
          <w:p>
            <w:r/>
            <w:r>
              <w:rPr>
                <w:rFonts w:ascii="Times New Roman" w:hAnsi="Times New Roman"/>
                <w:b w:val="0"/>
                <w:sz w:val="18"/>
              </w:rPr>
              <w:t>Simulation only; proprietary GPT-4o dependency; no energy modeling; 2D horizontal movement only</w:t>
            </w:r>
          </w:p>
        </w:tc>
      </w:tr>
      <w:tr>
        <w:tc>
          <w:tcPr>
            <w:tcW w:type="dxa" w:w="1384"/>
          </w:tcPr>
          <w:p>
            <w:r/>
            <w:r>
              <w:rPr>
                <w:rFonts w:ascii="Times New Roman" w:hAnsi="Times New Roman"/>
                <w:b w:val="0"/>
                <w:sz w:val="18"/>
              </w:rPr>
              <w:t>[7]</w:t>
            </w:r>
          </w:p>
        </w:tc>
        <w:tc>
          <w:tcPr>
            <w:tcW w:type="dxa" w:w="1384"/>
          </w:tcPr>
          <w:p>
            <w:r/>
            <w:r>
              <w:rPr>
                <w:rFonts w:ascii="Times New Roman" w:hAnsi="Times New Roman"/>
                <w:b w:val="0"/>
                <w:sz w:val="18"/>
              </w:rPr>
              <w:t>Wang, Z. et al. (2025)</w:t>
            </w:r>
          </w:p>
        </w:tc>
        <w:tc>
          <w:tcPr>
            <w:tcW w:type="dxa" w:w="1384"/>
          </w:tcPr>
          <w:p>
            <w:r/>
            <w:r>
              <w:rPr>
                <w:rFonts w:ascii="Times New Roman" w:hAnsi="Times New Roman"/>
                <w:b w:val="0"/>
                <w:sz w:val="18"/>
              </w:rPr>
              <w:t>RALLY: Two-stage LLM semantic consensus + RMIX role-value mixing (Commander/Coordinator/Executor); GPT-4o seeding; Qwen2.5-1.5B fine-tuned</w:t>
            </w:r>
          </w:p>
        </w:tc>
        <w:tc>
          <w:tcPr>
            <w:tcW w:type="dxa" w:w="1384"/>
          </w:tcPr>
          <w:p>
            <w:r/>
            <w:r>
              <w:rPr>
                <w:rFonts w:ascii="Times New Roman" w:hAnsi="Times New Roman"/>
                <w:b w:val="0"/>
                <w:sz w:val="18"/>
              </w:rPr>
              <w:t>Multi-Agent Particle Environment (MPE); 8–11 drones; DS-CEFC task; one adversary drone</w:t>
            </w:r>
          </w:p>
        </w:tc>
        <w:tc>
          <w:tcPr>
            <w:tcW w:type="dxa" w:w="1384"/>
          </w:tcPr>
          <w:p>
            <w:r/>
            <w:r>
              <w:rPr>
                <w:rFonts w:ascii="Times New Roman" w:hAnsi="Times New Roman"/>
                <w:b w:val="0"/>
                <w:sz w:val="18"/>
              </w:rPr>
              <w:t>Generalizes to unseen swarm sizes without retraining; theoretical proof; end-to-end deployment pipeline under 5 GB</w:t>
            </w:r>
          </w:p>
        </w:tc>
        <w:tc>
          <w:tcPr>
            <w:tcW w:type="dxa" w:w="1384"/>
          </w:tcPr>
          <w:p>
            <w:r/>
            <w:r>
              <w:rPr>
                <w:rFonts w:ascii="Times New Roman" w:hAnsi="Times New Roman"/>
                <w:b w:val="0"/>
                <w:sz w:val="18"/>
              </w:rPr>
              <w:t>14.48s inference latency; qualitative SITL validation only; no real hardware; no historical memory</w:t>
            </w:r>
          </w:p>
        </w:tc>
      </w:tr>
      <w:tr>
        <w:tc>
          <w:tcPr>
            <w:tcW w:type="dxa" w:w="1384"/>
          </w:tcPr>
          <w:p>
            <w:r/>
            <w:r>
              <w:rPr>
                <w:rFonts w:ascii="Times New Roman" w:hAnsi="Times New Roman"/>
                <w:b w:val="0"/>
                <w:sz w:val="18"/>
              </w:rPr>
              <w:t>[8]</w:t>
            </w:r>
          </w:p>
        </w:tc>
        <w:tc>
          <w:tcPr>
            <w:tcW w:type="dxa" w:w="1384"/>
          </w:tcPr>
          <w:p>
            <w:r/>
            <w:r>
              <w:rPr>
                <w:rFonts w:ascii="Times New Roman" w:hAnsi="Times New Roman"/>
                <w:b w:val="0"/>
                <w:sz w:val="18"/>
              </w:rPr>
              <w:t>Khan, M. S., Khan, M. J., Sharif, M., &amp; Yasmin, S. (2026)</w:t>
            </w:r>
          </w:p>
        </w:tc>
        <w:tc>
          <w:tcPr>
            <w:tcW w:type="dxa" w:w="1384"/>
          </w:tcPr>
          <w:p>
            <w:r/>
            <w:r>
              <w:rPr>
                <w:rFonts w:ascii="Times New Roman" w:hAnsi="Times New Roman"/>
                <w:b w:val="0"/>
                <w:sz w:val="18"/>
              </w:rPr>
              <w:t>Systematic comparison of CrewAI, AutoGen, LangChain + LangGraph-CrewAI hybrid with complexity-aware routing</w:t>
            </w:r>
          </w:p>
        </w:tc>
        <w:tc>
          <w:tcPr>
            <w:tcW w:type="dxa" w:w="1384"/>
          </w:tcPr>
          <w:p>
            <w:r/>
            <w:r>
              <w:rPr>
                <w:rFonts w:ascii="Times New Roman" w:hAnsi="Times New Roman"/>
                <w:b w:val="0"/>
                <w:sz w:val="18"/>
              </w:rPr>
              <w:t>CREW-WILDFIRE benchmark; 100+ agents; 4 agent types; 17 task levels; 51 episodes per framework</w:t>
            </w:r>
          </w:p>
        </w:tc>
        <w:tc>
          <w:tcPr>
            <w:tcW w:type="dxa" w:w="1384"/>
          </w:tcPr>
          <w:p>
            <w:r/>
            <w:r>
              <w:rPr>
                <w:rFonts w:ascii="Times New Roman" w:hAnsi="Times New Roman"/>
                <w:b w:val="0"/>
                <w:sz w:val="18"/>
              </w:rPr>
              <w:t>96.1% success at 76% lower token cost; first fair large-scale framework comparison; production-grade cost analysis</w:t>
            </w:r>
          </w:p>
        </w:tc>
        <w:tc>
          <w:tcPr>
            <w:tcW w:type="dxa" w:w="1384"/>
          </w:tcPr>
          <w:p>
            <w:r/>
            <w:r>
              <w:rPr>
                <w:rFonts w:ascii="Times New Roman" w:hAnsi="Times New Roman"/>
                <w:b w:val="0"/>
                <w:sz w:val="18"/>
              </w:rPr>
              <w:t>Wildfire domain only; hybrid validated with only 6 agents; routing threshold not formally ablated; 2.2s latency</w:t>
            </w:r>
          </w:p>
        </w:tc>
      </w:tr>
      <w:tr>
        <w:tc>
          <w:tcPr>
            <w:tcW w:type="dxa" w:w="1384"/>
          </w:tcPr>
          <w:p>
            <w:r/>
            <w:r>
              <w:rPr>
                <w:rFonts w:ascii="Times New Roman" w:hAnsi="Times New Roman"/>
                <w:b w:val="0"/>
                <w:sz w:val="18"/>
              </w:rPr>
              <w:t>[9]</w:t>
            </w:r>
          </w:p>
        </w:tc>
        <w:tc>
          <w:tcPr>
            <w:tcW w:type="dxa" w:w="1384"/>
          </w:tcPr>
          <w:p>
            <w:r/>
            <w:r>
              <w:rPr>
                <w:rFonts w:ascii="Times New Roman" w:hAnsi="Times New Roman"/>
                <w:b w:val="0"/>
                <w:sz w:val="18"/>
              </w:rPr>
              <w:t>Rezaee, M. R., Abdul Hamid, N. A. W., Hussin, M., &amp; Zukarnain, Z. A. (2026)</w:t>
            </w:r>
          </w:p>
        </w:tc>
        <w:tc>
          <w:tcPr>
            <w:tcW w:type="dxa" w:w="1384"/>
          </w:tcPr>
          <w:p>
            <w:r/>
            <w:r>
              <w:rPr>
                <w:rFonts w:ascii="Times New Roman" w:hAnsi="Times New Roman"/>
                <w:b w:val="0"/>
                <w:sz w:val="18"/>
              </w:rPr>
              <w:t>IGAT-MARL: Conflict-driven sparse interaction graph + Improved Graph Attention Network (stacked double-attention, residual connections) + curriculum + transfer learning</w:t>
            </w:r>
          </w:p>
        </w:tc>
        <w:tc>
          <w:tcPr>
            <w:tcW w:type="dxa" w:w="1384"/>
          </w:tcPr>
          <w:p>
            <w:r/>
            <w:r>
              <w:rPr>
                <w:rFonts w:ascii="Times New Roman" w:hAnsi="Times New Roman"/>
                <w:b w:val="0"/>
                <w:sz w:val="18"/>
              </w:rPr>
              <w:t>BlueSky air traffic simulator (BADA); 3–10 fixed-wing UAVs; conflict-guaranteed episodes</w:t>
            </w:r>
          </w:p>
        </w:tc>
        <w:tc>
          <w:tcPr>
            <w:tcW w:type="dxa" w:w="1384"/>
          </w:tcPr>
          <w:p>
            <w:r/>
            <w:r>
              <w:rPr>
                <w:rFonts w:ascii="Times New Roman" w:hAnsi="Times New Roman"/>
                <w:b w:val="0"/>
                <w:sz w:val="18"/>
              </w:rPr>
              <w:t>17% higher reward; 10% fewer dangerous separation events; 44% fewer interaction edges; comprehensive ablation</w:t>
            </w:r>
          </w:p>
        </w:tc>
        <w:tc>
          <w:tcPr>
            <w:tcW w:type="dxa" w:w="1384"/>
          </w:tcPr>
          <w:p>
            <w:r/>
            <w:r>
              <w:rPr>
                <w:rFonts w:ascii="Times New Roman" w:hAnsi="Times New Roman"/>
                <w:b w:val="0"/>
                <w:sz w:val="18"/>
              </w:rPr>
              <w:t>Fixed-wing only; 3 discrete heading actions; simulation only; no target assignment component</w:t>
            </w:r>
          </w:p>
        </w:tc>
      </w:tr>
      <w:tr>
        <w:tc>
          <w:tcPr>
            <w:tcW w:type="dxa" w:w="1384"/>
          </w:tcPr>
          <w:p>
            <w:r/>
            <w:r>
              <w:rPr>
                <w:rFonts w:ascii="Times New Roman" w:hAnsi="Times New Roman"/>
                <w:b w:val="0"/>
                <w:sz w:val="18"/>
              </w:rPr>
              <w:t>[10]</w:t>
            </w:r>
          </w:p>
        </w:tc>
        <w:tc>
          <w:tcPr>
            <w:tcW w:type="dxa" w:w="1384"/>
          </w:tcPr>
          <w:p>
            <w:r/>
            <w:r>
              <w:rPr>
                <w:rFonts w:ascii="Times New Roman" w:hAnsi="Times New Roman"/>
                <w:b w:val="0"/>
                <w:sz w:val="18"/>
              </w:rPr>
              <w:t>Sheng, Y., Xie, X., Liu, H., &amp; Li, J. (2026)</w:t>
            </w:r>
          </w:p>
        </w:tc>
        <w:tc>
          <w:tcPr>
            <w:tcW w:type="dxa" w:w="1384"/>
          </w:tcPr>
          <w:p>
            <w:r/>
            <w:r>
              <w:rPr>
                <w:rFonts w:ascii="Times New Roman" w:hAnsi="Times New Roman"/>
                <w:b w:val="0"/>
                <w:sz w:val="18"/>
              </w:rPr>
              <w:t>DA-MAPPO: Per-step Hungarian assignment + assignment-augmented observation vector + MAPPO + hierarchical 4-tier reward + curriculum training</w:t>
            </w:r>
          </w:p>
        </w:tc>
        <w:tc>
          <w:tcPr>
            <w:tcW w:type="dxa" w:w="1384"/>
          </w:tcPr>
          <w:p>
            <w:r/>
            <w:r>
              <w:rPr>
                <w:rFonts w:ascii="Times New Roman" w:hAnsi="Times New Roman"/>
                <w:b w:val="0"/>
                <w:sz w:val="18"/>
              </w:rPr>
              <w:t>Custom sim; 3 UAVs; 3 dynamic targets; 30–50 static obstacles; 3 difficulty levels</w:t>
            </w:r>
          </w:p>
        </w:tc>
        <w:tc>
          <w:tcPr>
            <w:tcW w:type="dxa" w:w="1384"/>
          </w:tcPr>
          <w:p>
            <w:r/>
            <w:r>
              <w:rPr>
                <w:rFonts w:ascii="Times New Roman" w:hAnsi="Times New Roman"/>
                <w:b w:val="0"/>
                <w:sz w:val="18"/>
              </w:rPr>
              <w:t>90–99% mission success; 25pp above best baseline; robust to 50% packet loss and 6-step delay; runs on Jetson Orin Nano</w:t>
            </w:r>
          </w:p>
        </w:tc>
        <w:tc>
          <w:tcPr>
            <w:tcW w:type="dxa" w:w="1384"/>
          </w:tcPr>
          <w:p>
            <w:r/>
            <w:r>
              <w:rPr>
                <w:rFonts w:ascii="Times New Roman" w:hAnsi="Times New Roman"/>
                <w:b w:val="0"/>
                <w:sz w:val="18"/>
              </w:rPr>
              <w:t>Only 3 drones tested; 2D; static obstacles; all-or-nothing success metric; no heterogeneous drones</w:t>
            </w:r>
          </w:p>
        </w:tc>
      </w:tr>
      <w:tr>
        <w:tc>
          <w:tcPr>
            <w:tcW w:type="dxa" w:w="1384"/>
          </w:tcPr>
          <w:p>
            <w:r/>
            <w:r>
              <w:rPr>
                <w:rFonts w:ascii="Times New Roman" w:hAnsi="Times New Roman"/>
                <w:b w:val="0"/>
                <w:sz w:val="18"/>
              </w:rPr>
              <w:t>[12]</w:t>
            </w:r>
          </w:p>
        </w:tc>
        <w:tc>
          <w:tcPr>
            <w:tcW w:type="dxa" w:w="1384"/>
          </w:tcPr>
          <w:p>
            <w:r/>
            <w:r>
              <w:rPr>
                <w:rFonts w:ascii="Times New Roman" w:hAnsi="Times New Roman"/>
                <w:b w:val="0"/>
                <w:sz w:val="18"/>
              </w:rPr>
              <w:t>Mnih, V. et al. (2015)</w:t>
            </w:r>
          </w:p>
        </w:tc>
        <w:tc>
          <w:tcPr>
            <w:tcW w:type="dxa" w:w="1384"/>
          </w:tcPr>
          <w:p>
            <w:r/>
            <w:r>
              <w:rPr>
                <w:rFonts w:ascii="Times New Roman" w:hAnsi="Times New Roman"/>
                <w:b w:val="0"/>
                <w:sz w:val="18"/>
              </w:rPr>
              <w:t>DQN: CNN-based Q-network + experience replay + target network; trained end-to-end from raw pixel input</w:t>
            </w:r>
          </w:p>
        </w:tc>
        <w:tc>
          <w:tcPr>
            <w:tcW w:type="dxa" w:w="1384"/>
          </w:tcPr>
          <w:p>
            <w:r/>
            <w:r>
              <w:rPr>
                <w:rFonts w:ascii="Times New Roman" w:hAnsi="Times New Roman"/>
                <w:b w:val="0"/>
                <w:sz w:val="18"/>
              </w:rPr>
              <w:t>49 Atari 2600 games</w:t>
            </w:r>
          </w:p>
        </w:tc>
        <w:tc>
          <w:tcPr>
            <w:tcW w:type="dxa" w:w="1384"/>
          </w:tcPr>
          <w:p>
            <w:r/>
            <w:r>
              <w:rPr>
                <w:rFonts w:ascii="Times New Roman" w:hAnsi="Times New Roman"/>
                <w:b w:val="0"/>
                <w:sz w:val="18"/>
              </w:rPr>
              <w:t>First end-to-end DRL from raw pixels; achieved human-level on 29/49 games; foundational to all subsequent DQN variants</w:t>
            </w:r>
          </w:p>
        </w:tc>
        <w:tc>
          <w:tcPr>
            <w:tcW w:type="dxa" w:w="1384"/>
          </w:tcPr>
          <w:p>
            <w:r/>
            <w:r>
              <w:rPr>
                <w:rFonts w:ascii="Times New Roman" w:hAnsi="Times New Roman"/>
                <w:b w:val="0"/>
                <w:sz w:val="18"/>
              </w:rPr>
              <w:t>Overestimates action values; discrete actions only; sample inefficient</w:t>
            </w:r>
          </w:p>
        </w:tc>
      </w:tr>
      <w:tr>
        <w:tc>
          <w:tcPr>
            <w:tcW w:type="dxa" w:w="1384"/>
          </w:tcPr>
          <w:p>
            <w:r/>
            <w:r>
              <w:rPr>
                <w:rFonts w:ascii="Times New Roman" w:hAnsi="Times New Roman"/>
                <w:b w:val="0"/>
                <w:sz w:val="18"/>
              </w:rPr>
              <w:t>[13]</w:t>
            </w:r>
          </w:p>
        </w:tc>
        <w:tc>
          <w:tcPr>
            <w:tcW w:type="dxa" w:w="1384"/>
          </w:tcPr>
          <w:p>
            <w:r/>
            <w:r>
              <w:rPr>
                <w:rFonts w:ascii="Times New Roman" w:hAnsi="Times New Roman"/>
                <w:b w:val="0"/>
                <w:sz w:val="18"/>
              </w:rPr>
              <w:t>Van Hasselt, H., Guez, A., &amp; Silver, D. (2016)</w:t>
            </w:r>
          </w:p>
        </w:tc>
        <w:tc>
          <w:tcPr>
            <w:tcW w:type="dxa" w:w="1384"/>
          </w:tcPr>
          <w:p>
            <w:r/>
            <w:r>
              <w:rPr>
                <w:rFonts w:ascii="Times New Roman" w:hAnsi="Times New Roman"/>
                <w:b w:val="0"/>
                <w:sz w:val="18"/>
              </w:rPr>
              <w:t>Double DQN: decouples action selection and action evaluation using online and target networks to reduce overestimation bias</w:t>
            </w:r>
          </w:p>
        </w:tc>
        <w:tc>
          <w:tcPr>
            <w:tcW w:type="dxa" w:w="1384"/>
          </w:tcPr>
          <w:p>
            <w:r/>
            <w:r>
              <w:rPr>
                <w:rFonts w:ascii="Times New Roman" w:hAnsi="Times New Roman"/>
                <w:b w:val="0"/>
                <w:sz w:val="18"/>
              </w:rPr>
              <w:t>Atari 2600 games</w:t>
            </w:r>
          </w:p>
        </w:tc>
        <w:tc>
          <w:tcPr>
            <w:tcW w:type="dxa" w:w="1384"/>
          </w:tcPr>
          <w:p>
            <w:r/>
            <w:r>
              <w:rPr>
                <w:rFonts w:ascii="Times New Roman" w:hAnsi="Times New Roman"/>
                <w:b w:val="0"/>
                <w:sz w:val="18"/>
              </w:rPr>
              <w:t>Reduces systematic Q-value overestimation; improves stability and final performance over DQN on most Atari games</w:t>
            </w:r>
          </w:p>
        </w:tc>
        <w:tc>
          <w:tcPr>
            <w:tcW w:type="dxa" w:w="1384"/>
          </w:tcPr>
          <w:p>
            <w:r/>
            <w:r>
              <w:rPr>
                <w:rFonts w:ascii="Times New Roman" w:hAnsi="Times New Roman"/>
                <w:b w:val="0"/>
                <w:sz w:val="18"/>
              </w:rPr>
              <w:t>Discrete action spaces only; does not address data efficiency or multi-step credit assignment</w:t>
            </w:r>
          </w:p>
        </w:tc>
      </w:tr>
      <w:tr>
        <w:tc>
          <w:tcPr>
            <w:tcW w:type="dxa" w:w="1384"/>
          </w:tcPr>
          <w:p>
            <w:r/>
            <w:r>
              <w:rPr>
                <w:rFonts w:ascii="Times New Roman" w:hAnsi="Times New Roman"/>
                <w:b w:val="0"/>
                <w:sz w:val="18"/>
              </w:rPr>
              <w:t>[14]</w:t>
            </w:r>
          </w:p>
        </w:tc>
        <w:tc>
          <w:tcPr>
            <w:tcW w:type="dxa" w:w="1384"/>
          </w:tcPr>
          <w:p>
            <w:r/>
            <w:r>
              <w:rPr>
                <w:rFonts w:ascii="Times New Roman" w:hAnsi="Times New Roman"/>
                <w:b w:val="0"/>
                <w:sz w:val="18"/>
              </w:rPr>
              <w:t>Wang, Z. et al. (2016)</w:t>
            </w:r>
          </w:p>
        </w:tc>
        <w:tc>
          <w:tcPr>
            <w:tcW w:type="dxa" w:w="1384"/>
          </w:tcPr>
          <w:p>
            <w:r/>
            <w:r>
              <w:rPr>
                <w:rFonts w:ascii="Times New Roman" w:hAnsi="Times New Roman"/>
                <w:b w:val="0"/>
                <w:sz w:val="18"/>
              </w:rPr>
              <w:t>Dueling Network: separates state-value stream V(s) and advantage stream A(s,a); combined via aggregation layer</w:t>
            </w:r>
          </w:p>
        </w:tc>
        <w:tc>
          <w:tcPr>
            <w:tcW w:type="dxa" w:w="1384"/>
          </w:tcPr>
          <w:p>
            <w:r/>
            <w:r>
              <w:rPr>
                <w:rFonts w:ascii="Times New Roman" w:hAnsi="Times New Roman"/>
                <w:b w:val="0"/>
                <w:sz w:val="18"/>
              </w:rPr>
              <w:t>Atari 2600 games</w:t>
            </w:r>
          </w:p>
        </w:tc>
        <w:tc>
          <w:tcPr>
            <w:tcW w:type="dxa" w:w="1384"/>
          </w:tcPr>
          <w:p>
            <w:r/>
            <w:r>
              <w:rPr>
                <w:rFonts w:ascii="Times New Roman" w:hAnsi="Times New Roman"/>
                <w:b w:val="0"/>
                <w:sz w:val="18"/>
              </w:rPr>
              <w:t>Better policy evaluation in states where action choice matters less; improves generalization; compatible with any DQN variant</w:t>
            </w:r>
          </w:p>
        </w:tc>
        <w:tc>
          <w:tcPr>
            <w:tcW w:type="dxa" w:w="1384"/>
          </w:tcPr>
          <w:p>
            <w:r/>
            <w:r>
              <w:rPr>
                <w:rFonts w:ascii="Times New Roman" w:hAnsi="Times New Roman"/>
                <w:b w:val="0"/>
                <w:sz w:val="18"/>
              </w:rPr>
              <w:t>Discrete action space; benefit most visible when many actions have similar values; no direct multi-agent extension</w:t>
            </w:r>
          </w:p>
        </w:tc>
      </w:tr>
      <w:tr>
        <w:tc>
          <w:tcPr>
            <w:tcW w:type="dxa" w:w="1384"/>
          </w:tcPr>
          <w:p>
            <w:r/>
            <w:r>
              <w:rPr>
                <w:rFonts w:ascii="Times New Roman" w:hAnsi="Times New Roman"/>
                <w:b w:val="0"/>
                <w:sz w:val="18"/>
              </w:rPr>
              <w:t>[15]</w:t>
            </w:r>
          </w:p>
        </w:tc>
        <w:tc>
          <w:tcPr>
            <w:tcW w:type="dxa" w:w="1384"/>
          </w:tcPr>
          <w:p>
            <w:r/>
            <w:r>
              <w:rPr>
                <w:rFonts w:ascii="Times New Roman" w:hAnsi="Times New Roman"/>
                <w:b w:val="0"/>
                <w:sz w:val="18"/>
              </w:rPr>
              <w:t>Schaul, T., Quan, J., Antonoglou, I., &amp; Silver, D. (2016)</w:t>
            </w:r>
          </w:p>
        </w:tc>
        <w:tc>
          <w:tcPr>
            <w:tcW w:type="dxa" w:w="1384"/>
          </w:tcPr>
          <w:p>
            <w:r/>
            <w:r>
              <w:rPr>
                <w:rFonts w:ascii="Times New Roman" w:hAnsi="Times New Roman"/>
                <w:b w:val="0"/>
                <w:sz w:val="18"/>
              </w:rPr>
              <w:t>Prioritized Experience Replay (PER): samples replay buffer by TD-error priority; proportional and rank-based variants; importance sampling correction</w:t>
            </w:r>
          </w:p>
        </w:tc>
        <w:tc>
          <w:tcPr>
            <w:tcW w:type="dxa" w:w="1384"/>
          </w:tcPr>
          <w:p>
            <w:r/>
            <w:r>
              <w:rPr>
                <w:rFonts w:ascii="Times New Roman" w:hAnsi="Times New Roman"/>
                <w:b w:val="0"/>
                <w:sz w:val="18"/>
              </w:rPr>
              <w:t>Atari 2600 games</w:t>
            </w:r>
          </w:p>
        </w:tc>
        <w:tc>
          <w:tcPr>
            <w:tcW w:type="dxa" w:w="1384"/>
          </w:tcPr>
          <w:p>
            <w:r/>
            <w:r>
              <w:rPr>
                <w:rFonts w:ascii="Times New Roman" w:hAnsi="Times New Roman"/>
                <w:b w:val="0"/>
                <w:sz w:val="18"/>
              </w:rPr>
              <w:t>Learns faster from rare but informative transitions; significantly improves sample efficiency over uniform replay</w:t>
            </w:r>
          </w:p>
        </w:tc>
        <w:tc>
          <w:tcPr>
            <w:tcW w:type="dxa" w:w="1384"/>
          </w:tcPr>
          <w:p>
            <w:r/>
            <w:r>
              <w:rPr>
                <w:rFonts w:ascii="Times New Roman" w:hAnsi="Times New Roman"/>
                <w:b w:val="0"/>
                <w:sz w:val="18"/>
              </w:rPr>
              <w:t>Adds computational overhead for priority updates; sensitive to alpha and beta hyperparameters</w:t>
            </w:r>
          </w:p>
        </w:tc>
      </w:tr>
      <w:tr>
        <w:tc>
          <w:tcPr>
            <w:tcW w:type="dxa" w:w="1384"/>
          </w:tcPr>
          <w:p>
            <w:r/>
            <w:r>
              <w:rPr>
                <w:rFonts w:ascii="Times New Roman" w:hAnsi="Times New Roman"/>
                <w:b w:val="0"/>
                <w:sz w:val="18"/>
              </w:rPr>
              <w:t>[16]</w:t>
            </w:r>
          </w:p>
        </w:tc>
        <w:tc>
          <w:tcPr>
            <w:tcW w:type="dxa" w:w="1384"/>
          </w:tcPr>
          <w:p>
            <w:r/>
            <w:r>
              <w:rPr>
                <w:rFonts w:ascii="Times New Roman" w:hAnsi="Times New Roman"/>
                <w:b w:val="0"/>
                <w:sz w:val="18"/>
              </w:rPr>
              <w:t>Schulman, J., Wolski, F., Dhariwal, A., Radford, A., &amp; Klimov, O. (2017)</w:t>
            </w:r>
          </w:p>
        </w:tc>
        <w:tc>
          <w:tcPr>
            <w:tcW w:type="dxa" w:w="1384"/>
          </w:tcPr>
          <w:p>
            <w:r/>
            <w:r>
              <w:rPr>
                <w:rFonts w:ascii="Times New Roman" w:hAnsi="Times New Roman"/>
                <w:b w:val="0"/>
                <w:sz w:val="18"/>
              </w:rPr>
              <w:t>PPO: clipped surrogate objective to limit policy update magnitude; supports multiple minibatch epochs; no trust-region constraints needed</w:t>
            </w:r>
          </w:p>
        </w:tc>
        <w:tc>
          <w:tcPr>
            <w:tcW w:type="dxa" w:w="1384"/>
          </w:tcPr>
          <w:p>
            <w:r/>
            <w:r>
              <w:rPr>
                <w:rFonts w:ascii="Times New Roman" w:hAnsi="Times New Roman"/>
                <w:b w:val="0"/>
                <w:sz w:val="18"/>
              </w:rPr>
              <w:t>MuJoCo continuous control; Atari games; robotics simulations</w:t>
            </w:r>
          </w:p>
        </w:tc>
        <w:tc>
          <w:tcPr>
            <w:tcW w:type="dxa" w:w="1384"/>
          </w:tcPr>
          <w:p>
            <w:r/>
            <w:r>
              <w:rPr>
                <w:rFonts w:ascii="Times New Roman" w:hAnsi="Times New Roman"/>
                <w:b w:val="0"/>
                <w:sz w:val="18"/>
              </w:rPr>
              <w:t>Simple to implement; stable training; works for continuous and discrete actions; widely adopted as standard baseline</w:t>
            </w:r>
          </w:p>
        </w:tc>
        <w:tc>
          <w:tcPr>
            <w:tcW w:type="dxa" w:w="1384"/>
          </w:tcPr>
          <w:p>
            <w:r/>
            <w:r>
              <w:rPr>
                <w:rFonts w:ascii="Times New Roman" w:hAnsi="Times New Roman"/>
                <w:b w:val="0"/>
                <w:sz w:val="18"/>
              </w:rPr>
              <w:t>On-policy and sample inefficient; clip parameter requires tuning; slower convergence than off-policy methods</w:t>
            </w:r>
          </w:p>
        </w:tc>
      </w:tr>
      <w:tr>
        <w:tc>
          <w:tcPr>
            <w:tcW w:type="dxa" w:w="1384"/>
          </w:tcPr>
          <w:p>
            <w:r/>
            <w:r>
              <w:rPr>
                <w:rFonts w:ascii="Times New Roman" w:hAnsi="Times New Roman"/>
                <w:b w:val="0"/>
                <w:sz w:val="18"/>
              </w:rPr>
              <w:t>[17]</w:t>
            </w:r>
          </w:p>
        </w:tc>
        <w:tc>
          <w:tcPr>
            <w:tcW w:type="dxa" w:w="1384"/>
          </w:tcPr>
          <w:p>
            <w:r/>
            <w:r>
              <w:rPr>
                <w:rFonts w:ascii="Times New Roman" w:hAnsi="Times New Roman"/>
                <w:b w:val="0"/>
                <w:sz w:val="18"/>
              </w:rPr>
              <w:t>Lowe, R. et al. (2017)</w:t>
            </w:r>
          </w:p>
        </w:tc>
        <w:tc>
          <w:tcPr>
            <w:tcW w:type="dxa" w:w="1384"/>
          </w:tcPr>
          <w:p>
            <w:r/>
            <w:r>
              <w:rPr>
                <w:rFonts w:ascii="Times New Roman" w:hAnsi="Times New Roman"/>
                <w:b w:val="0"/>
                <w:sz w:val="18"/>
              </w:rPr>
              <w:t>MADDPG: CTDE with centralized critic on joint state and decentralized actor using local observations only; extends DDPG to multi-agent</w:t>
            </w:r>
          </w:p>
        </w:tc>
        <w:tc>
          <w:tcPr>
            <w:tcW w:type="dxa" w:w="1384"/>
          </w:tcPr>
          <w:p>
            <w:r/>
            <w:r>
              <w:rPr>
                <w:rFonts w:ascii="Times New Roman" w:hAnsi="Times New Roman"/>
                <w:b w:val="0"/>
                <w:sz w:val="18"/>
              </w:rPr>
              <w:t>Multi-Agent Particle Environment (MPE); cooperative, competitive, and mixed scenarios</w:t>
            </w:r>
          </w:p>
        </w:tc>
        <w:tc>
          <w:tcPr>
            <w:tcW w:type="dxa" w:w="1384"/>
          </w:tcPr>
          <w:p>
            <w:r/>
            <w:r>
              <w:rPr>
                <w:rFonts w:ascii="Times New Roman" w:hAnsi="Times New Roman"/>
                <w:b w:val="0"/>
                <w:sz w:val="18"/>
              </w:rPr>
              <w:t>Enables stable multi-agent training; handles cooperative and competitive tasks; decentralized execution</w:t>
            </w:r>
          </w:p>
        </w:tc>
        <w:tc>
          <w:tcPr>
            <w:tcW w:type="dxa" w:w="1384"/>
          </w:tcPr>
          <w:p>
            <w:r/>
            <w:r>
              <w:rPr>
                <w:rFonts w:ascii="Times New Roman" w:hAnsi="Times New Roman"/>
                <w:b w:val="0"/>
                <w:sz w:val="18"/>
              </w:rPr>
              <w:t>Critic input size grows with number of agents; struggles with large swarms; limited to continuous action spaces</w:t>
            </w:r>
          </w:p>
        </w:tc>
      </w:tr>
      <w:tr>
        <w:tc>
          <w:tcPr>
            <w:tcW w:type="dxa" w:w="1384"/>
          </w:tcPr>
          <w:p>
            <w:r/>
            <w:r>
              <w:rPr>
                <w:rFonts w:ascii="Times New Roman" w:hAnsi="Times New Roman"/>
                <w:b w:val="0"/>
                <w:sz w:val="18"/>
              </w:rPr>
              <w:t>[18]</w:t>
            </w:r>
          </w:p>
        </w:tc>
        <w:tc>
          <w:tcPr>
            <w:tcW w:type="dxa" w:w="1384"/>
          </w:tcPr>
          <w:p>
            <w:r/>
            <w:r>
              <w:rPr>
                <w:rFonts w:ascii="Times New Roman" w:hAnsi="Times New Roman"/>
                <w:b w:val="0"/>
                <w:sz w:val="18"/>
              </w:rPr>
              <w:t>Fujimoto, S., Hoof, H., &amp; Meger, D. (2018)</w:t>
            </w:r>
          </w:p>
        </w:tc>
        <w:tc>
          <w:tcPr>
            <w:tcW w:type="dxa" w:w="1384"/>
          </w:tcPr>
          <w:p>
            <w:r/>
            <w:r>
              <w:rPr>
                <w:rFonts w:ascii="Times New Roman" w:hAnsi="Times New Roman"/>
                <w:b w:val="0"/>
                <w:sz w:val="18"/>
              </w:rPr>
              <w:t>TD3: Twin Delayed DDPG with clipped double Q-learning + delayed policy updates + target policy smoothing</w:t>
            </w:r>
          </w:p>
        </w:tc>
        <w:tc>
          <w:tcPr>
            <w:tcW w:type="dxa" w:w="1384"/>
          </w:tcPr>
          <w:p>
            <w:r/>
            <w:r>
              <w:rPr>
                <w:rFonts w:ascii="Times New Roman" w:hAnsi="Times New Roman"/>
                <w:b w:val="0"/>
                <w:sz w:val="18"/>
              </w:rPr>
              <w:t>MuJoCo continuous control benchmarks</w:t>
            </w:r>
          </w:p>
        </w:tc>
        <w:tc>
          <w:tcPr>
            <w:tcW w:type="dxa" w:w="1384"/>
          </w:tcPr>
          <w:p>
            <w:r/>
            <w:r>
              <w:rPr>
                <w:rFonts w:ascii="Times New Roman" w:hAnsi="Times New Roman"/>
                <w:b w:val="0"/>
                <w:sz w:val="18"/>
              </w:rPr>
              <w:t>Reduces overestimation in actor-critic methods; more stable than DDPG; state-of-the-art on continuous control tasks</w:t>
            </w:r>
          </w:p>
        </w:tc>
        <w:tc>
          <w:tcPr>
            <w:tcW w:type="dxa" w:w="1384"/>
          </w:tcPr>
          <w:p>
            <w:r/>
            <w:r>
              <w:rPr>
                <w:rFonts w:ascii="Times New Roman" w:hAnsi="Times New Roman"/>
                <w:b w:val="0"/>
                <w:sz w:val="18"/>
              </w:rPr>
              <w:t>Off-policy; requires large replay buffer; harder to extend to cooperative multi-agent settings directly</w:t>
            </w:r>
          </w:p>
        </w:tc>
      </w:tr>
      <w:tr>
        <w:tc>
          <w:tcPr>
            <w:tcW w:type="dxa" w:w="1384"/>
          </w:tcPr>
          <w:p>
            <w:r/>
            <w:r>
              <w:rPr>
                <w:rFonts w:ascii="Times New Roman" w:hAnsi="Times New Roman"/>
                <w:b w:val="0"/>
                <w:sz w:val="18"/>
              </w:rPr>
              <w:t>[19]</w:t>
            </w:r>
          </w:p>
        </w:tc>
        <w:tc>
          <w:tcPr>
            <w:tcW w:type="dxa" w:w="1384"/>
          </w:tcPr>
          <w:p>
            <w:r/>
            <w:r>
              <w:rPr>
                <w:rFonts w:ascii="Times New Roman" w:hAnsi="Times New Roman"/>
                <w:b w:val="0"/>
                <w:sz w:val="18"/>
              </w:rPr>
              <w:t>Rashid, T. et al. (2018)</w:t>
            </w:r>
          </w:p>
        </w:tc>
        <w:tc>
          <w:tcPr>
            <w:tcW w:type="dxa" w:w="1384"/>
          </w:tcPr>
          <w:p>
            <w:r/>
            <w:r>
              <w:rPr>
                <w:rFonts w:ascii="Times New Roman" w:hAnsi="Times New Roman"/>
                <w:b w:val="0"/>
                <w:sz w:val="18"/>
              </w:rPr>
              <w:t>QMIX: monotonic mixing network factorizes joint Q-value into per-agent utilities; CTDE; enforces Individual-Global-Max (IGM) property</w:t>
            </w:r>
          </w:p>
        </w:tc>
        <w:tc>
          <w:tcPr>
            <w:tcW w:type="dxa" w:w="1384"/>
          </w:tcPr>
          <w:p>
            <w:r/>
            <w:r>
              <w:rPr>
                <w:rFonts w:ascii="Times New Roman" w:hAnsi="Times New Roman"/>
                <w:b w:val="0"/>
                <w:sz w:val="18"/>
              </w:rPr>
              <w:t>StarCraft Multi-Agent Challenge (SMAC); cooperative unit micromanagement tasks</w:t>
            </w:r>
          </w:p>
        </w:tc>
        <w:tc>
          <w:tcPr>
            <w:tcW w:type="dxa" w:w="1384"/>
          </w:tcPr>
          <w:p>
            <w:r/>
            <w:r>
              <w:rPr>
                <w:rFonts w:ascii="Times New Roman" w:hAnsi="Times New Roman"/>
                <w:b w:val="0"/>
                <w:sz w:val="18"/>
              </w:rPr>
              <w:t>Handles cooperative multi-agent tasks well; monotonicity ensures consistent joint action selection; outperforms IQL and VDN</w:t>
            </w:r>
          </w:p>
        </w:tc>
        <w:tc>
          <w:tcPr>
            <w:tcW w:type="dxa" w:w="1384"/>
          </w:tcPr>
          <w:p>
            <w:r/>
            <w:r>
              <w:rPr>
                <w:rFonts w:ascii="Times New Roman" w:hAnsi="Times New Roman"/>
                <w:b w:val="0"/>
                <w:sz w:val="18"/>
              </w:rPr>
              <w:t>Monotonicity constraint limits representational capacity; cannot model non-monotonic agent interactions</w:t>
            </w:r>
          </w:p>
        </w:tc>
      </w:tr>
      <w:tr>
        <w:tc>
          <w:tcPr>
            <w:tcW w:type="dxa" w:w="1384"/>
          </w:tcPr>
          <w:p>
            <w:r/>
            <w:r>
              <w:rPr>
                <w:rFonts w:ascii="Times New Roman" w:hAnsi="Times New Roman"/>
                <w:b w:val="0"/>
                <w:sz w:val="18"/>
              </w:rPr>
              <w:t>[20]</w:t>
            </w:r>
          </w:p>
        </w:tc>
        <w:tc>
          <w:tcPr>
            <w:tcW w:type="dxa" w:w="1384"/>
          </w:tcPr>
          <w:p>
            <w:r/>
            <w:r>
              <w:rPr>
                <w:rFonts w:ascii="Times New Roman" w:hAnsi="Times New Roman"/>
                <w:b w:val="0"/>
                <w:sz w:val="18"/>
              </w:rPr>
              <w:t>Yang, Y. et al. (2018)</w:t>
            </w:r>
          </w:p>
        </w:tc>
        <w:tc>
          <w:tcPr>
            <w:tcW w:type="dxa" w:w="1384"/>
          </w:tcPr>
          <w:p>
            <w:r/>
            <w:r>
              <w:rPr>
                <w:rFonts w:ascii="Times New Roman" w:hAnsi="Times New Roman"/>
                <w:b w:val="0"/>
                <w:sz w:val="18"/>
              </w:rPr>
              <w:t>Mean Field MARL: approximates interactions between one agent and all others as interaction with a single mean-field agent; reduces pairwise complexity from O(N²) to O(N)</w:t>
            </w:r>
          </w:p>
        </w:tc>
        <w:tc>
          <w:tcPr>
            <w:tcW w:type="dxa" w:w="1384"/>
          </w:tcPr>
          <w:p>
            <w:r/>
            <w:r>
              <w:rPr>
                <w:rFonts w:ascii="Times New Roman" w:hAnsi="Times New Roman"/>
                <w:b w:val="0"/>
                <w:sz w:val="18"/>
              </w:rPr>
              <w:t>Ising model; network routing; battle game with up to 200 agents</w:t>
            </w:r>
          </w:p>
        </w:tc>
        <w:tc>
          <w:tcPr>
            <w:tcW w:type="dxa" w:w="1384"/>
          </w:tcPr>
          <w:p>
            <w:r/>
            <w:r>
              <w:rPr>
                <w:rFonts w:ascii="Times New Roman" w:hAnsi="Times New Roman"/>
                <w:b w:val="0"/>
                <w:sz w:val="18"/>
              </w:rPr>
              <w:t>Scales to large agent populations; linear complexity; enables coordination where pairwise MARL fails computationally</w:t>
            </w:r>
          </w:p>
        </w:tc>
        <w:tc>
          <w:tcPr>
            <w:tcW w:type="dxa" w:w="1384"/>
          </w:tcPr>
          <w:p>
            <w:r/>
            <w:r>
              <w:rPr>
                <w:rFonts w:ascii="Times New Roman" w:hAnsi="Times New Roman"/>
                <w:b w:val="0"/>
                <w:sz w:val="18"/>
              </w:rPr>
              <w:t>Mean-field loses individual agent information; accuracy degrades in heterogeneous or spatially sparse distributions</w:t>
            </w:r>
          </w:p>
        </w:tc>
      </w:tr>
      <w:tr>
        <w:tc>
          <w:tcPr>
            <w:tcW w:type="dxa" w:w="1384"/>
          </w:tcPr>
          <w:p>
            <w:r/>
            <w:r>
              <w:rPr>
                <w:rFonts w:ascii="Times New Roman" w:hAnsi="Times New Roman"/>
                <w:b w:val="0"/>
                <w:sz w:val="18"/>
              </w:rPr>
              <w:t>[21]</w:t>
            </w:r>
          </w:p>
        </w:tc>
        <w:tc>
          <w:tcPr>
            <w:tcW w:type="dxa" w:w="1384"/>
          </w:tcPr>
          <w:p>
            <w:r/>
            <w:r>
              <w:rPr>
                <w:rFonts w:ascii="Times New Roman" w:hAnsi="Times New Roman"/>
                <w:b w:val="0"/>
                <w:sz w:val="18"/>
              </w:rPr>
              <w:t>Yu, C. et al. (2022)</w:t>
            </w:r>
          </w:p>
        </w:tc>
        <w:tc>
          <w:tcPr>
            <w:tcW w:type="dxa" w:w="1384"/>
          </w:tcPr>
          <w:p>
            <w:r/>
            <w:r>
              <w:rPr>
                <w:rFonts w:ascii="Times New Roman" w:hAnsi="Times New Roman"/>
                <w:b w:val="0"/>
                <w:sz w:val="18"/>
              </w:rPr>
              <w:t>MAPPO: PPO adapted for cooperative MARL with shared centralized critic on global state; value normalization; clipped updates</w:t>
            </w:r>
          </w:p>
        </w:tc>
        <w:tc>
          <w:tcPr>
            <w:tcW w:type="dxa" w:w="1384"/>
          </w:tcPr>
          <w:p>
            <w:r/>
            <w:r>
              <w:rPr>
                <w:rFonts w:ascii="Times New Roman" w:hAnsi="Times New Roman"/>
                <w:b w:val="0"/>
                <w:sz w:val="18"/>
              </w:rPr>
              <w:t>StarCraft Multi-Agent Challenge (SMAC); Multi-Agent Particle Environment (MPE)</w:t>
            </w:r>
          </w:p>
        </w:tc>
        <w:tc>
          <w:tcPr>
            <w:tcW w:type="dxa" w:w="1384"/>
          </w:tcPr>
          <w:p>
            <w:r/>
            <w:r>
              <w:rPr>
                <w:rFonts w:ascii="Times New Roman" w:hAnsi="Times New Roman"/>
                <w:b w:val="0"/>
                <w:sz w:val="18"/>
              </w:rPr>
              <w:t>Surprisingly competitive with QMIX despite simplicity; stable training; reproducible; adopted as standard MARL baseline in recent UAV work</w:t>
            </w:r>
          </w:p>
        </w:tc>
        <w:tc>
          <w:tcPr>
            <w:tcW w:type="dxa" w:w="1384"/>
          </w:tcPr>
          <w:p>
            <w:r/>
            <w:r>
              <w:rPr>
                <w:rFonts w:ascii="Times New Roman" w:hAnsi="Times New Roman"/>
                <w:b w:val="0"/>
                <w:sz w:val="18"/>
              </w:rPr>
              <w:t>On-policy and sample inefficient; requires global state for critic during training</w:t>
            </w:r>
          </w:p>
        </w:tc>
      </w:tr>
      <w:tr>
        <w:tc>
          <w:tcPr>
            <w:tcW w:type="dxa" w:w="1384"/>
          </w:tcPr>
          <w:p>
            <w:r/>
            <w:r>
              <w:rPr>
                <w:rFonts w:ascii="Times New Roman" w:hAnsi="Times New Roman"/>
                <w:b w:val="0"/>
                <w:sz w:val="18"/>
              </w:rPr>
              <w:t>[22]</w:t>
            </w:r>
          </w:p>
        </w:tc>
        <w:tc>
          <w:tcPr>
            <w:tcW w:type="dxa" w:w="1384"/>
          </w:tcPr>
          <w:p>
            <w:r/>
            <w:r>
              <w:rPr>
                <w:rFonts w:ascii="Times New Roman" w:hAnsi="Times New Roman"/>
                <w:b w:val="0"/>
                <w:sz w:val="18"/>
              </w:rPr>
              <w:t>Sunehag, P. et al. (2018)</w:t>
            </w:r>
          </w:p>
        </w:tc>
        <w:tc>
          <w:tcPr>
            <w:tcW w:type="dxa" w:w="1384"/>
          </w:tcPr>
          <w:p>
            <w:r/>
            <w:r>
              <w:rPr>
                <w:rFonts w:ascii="Times New Roman" w:hAnsi="Times New Roman"/>
                <w:b w:val="0"/>
                <w:sz w:val="18"/>
              </w:rPr>
              <w:t>VDN: Value Decomposition Networks — joint Q-value decomposed as additive sum of per-agent Q-values; CTDE; simplest value decomposition</w:t>
            </w:r>
          </w:p>
        </w:tc>
        <w:tc>
          <w:tcPr>
            <w:tcW w:type="dxa" w:w="1384"/>
          </w:tcPr>
          <w:p>
            <w:r/>
            <w:r>
              <w:rPr>
                <w:rFonts w:ascii="Times New Roman" w:hAnsi="Times New Roman"/>
                <w:b w:val="0"/>
                <w:sz w:val="18"/>
              </w:rPr>
              <w:t>Decentralized cooperative matrix games; StarCraft-style cooperative tasks</w:t>
            </w:r>
          </w:p>
        </w:tc>
        <w:tc>
          <w:tcPr>
            <w:tcW w:type="dxa" w:w="1384"/>
          </w:tcPr>
          <w:p>
            <w:r/>
            <w:r>
              <w:rPr>
                <w:rFonts w:ascii="Times New Roman" w:hAnsi="Times New Roman"/>
                <w:b w:val="0"/>
                <w:sz w:val="18"/>
              </w:rPr>
              <w:t>Simple and tractable; enables cooperative training with decentralized execution; outperforms independent Q-learning</w:t>
            </w:r>
          </w:p>
        </w:tc>
        <w:tc>
          <w:tcPr>
            <w:tcW w:type="dxa" w:w="1384"/>
          </w:tcPr>
          <w:p>
            <w:r/>
            <w:r>
              <w:rPr>
                <w:rFonts w:ascii="Times New Roman" w:hAnsi="Times New Roman"/>
                <w:b w:val="0"/>
                <w:sz w:val="18"/>
              </w:rPr>
              <w:t>Additivity assumption is too restrictive for complex inter-agent dependencies; QMIX generalizes VDN and outperforms it</w:t>
            </w:r>
          </w:p>
        </w:tc>
      </w:tr>
    </w:tbl>
    <w:p/>
    <w:p>
      <w:pPr>
        <w:spacing w:before="280" w:after="120"/>
      </w:pPr>
      <w:r>
        <w:rPr>
          <w:rFonts w:ascii="Times New Roman" w:hAnsi="Times New Roman"/>
          <w:b/>
          <w:sz w:val="24"/>
        </w:rPr>
        <w:t>3.   Problem Statement</w:t>
      </w:r>
    </w:p>
    <w:p>
      <w:pPr>
        <w:spacing w:after="120" w:line="360" w:lineRule="exact"/>
        <w:jc w:val="both"/>
      </w:pPr>
      <w:r>
        <w:rPr>
          <w:rFonts w:ascii="Times New Roman" w:hAnsi="Times New Roman"/>
          <w:sz w:val="24"/>
        </w:rPr>
        <w:t>Existing approaches to multi-UAV coordination treat dynamic target assignment and collision avoidance as separate problems, each developed and validated independently in two-dimensional environments. When both mechanisms operate simultaneously in three-dimensional space, they generate competing navigation signals — the assignment directs each drone toward its target without awareness of active collision conflicts, while the collision avoidance module forces course corrections without awareness of current assignments, a tension that becomes structurally significant when vertical flight paths are introduced. This research investigates whether a unified policy can balance both objectives jointly for a swarm of five to eight drones in a 3D environment, and whether the combination produces better or worse outcomes than either mechanism alone.</w:t>
      </w:r>
    </w:p>
    <w:p>
      <w:pPr>
        <w:spacing w:before="280" w:after="120"/>
      </w:pPr>
      <w:r>
        <w:rPr>
          <w:rFonts w:ascii="Times New Roman" w:hAnsi="Times New Roman"/>
          <w:b/>
          <w:sz w:val="24"/>
        </w:rPr>
        <w:t>4.   Research Objectives</w:t>
      </w:r>
    </w:p>
    <w:p>
      <w:pPr>
        <w:spacing w:after="120" w:line="360" w:lineRule="exact"/>
        <w:jc w:val="both"/>
      </w:pPr>
      <w:r>
        <w:rPr>
          <w:rFonts w:ascii="Times New Roman" w:hAnsi="Times New Roman"/>
          <w:b/>
          <w:sz w:val="24"/>
        </w:rPr>
        <w:t xml:space="preserve">1.  </w:t>
      </w:r>
      <w:r>
        <w:rPr>
          <w:rFonts w:ascii="Times New Roman" w:hAnsi="Times New Roman"/>
          <w:sz w:val="24"/>
        </w:rPr>
        <w:t>To design an integrated representation of the observation that encodes both the assignment (based on Hungarian algorithm) and the current conflict-aware neighborhood for each drone in a 3D MAPPO policy.</w:t>
      </w:r>
    </w:p>
    <w:p>
      <w:pPr>
        <w:spacing w:after="120" w:line="360" w:lineRule="exact"/>
        <w:jc w:val="both"/>
      </w:pPr>
      <w:r>
        <w:rPr>
          <w:rFonts w:ascii="Times New Roman" w:hAnsi="Times New Roman"/>
          <w:b/>
          <w:sz w:val="24"/>
        </w:rPr>
        <w:t xml:space="preserve">2.  </w:t>
      </w:r>
      <w:r>
        <w:rPr>
          <w:rFonts w:ascii="Times New Roman" w:hAnsi="Times New Roman"/>
          <w:sz w:val="24"/>
        </w:rPr>
        <w:t>To test the proposed framework on different number of drones (3, 5 and 8) and check if the performance deteriorates with the number of simultaneous assignment-conflict interactions.</w:t>
      </w:r>
    </w:p>
    <w:p>
      <w:pPr>
        <w:spacing w:after="120" w:line="360" w:lineRule="exact"/>
        <w:jc w:val="both"/>
      </w:pPr>
      <w:r>
        <w:rPr>
          <w:rFonts w:ascii="Times New Roman" w:hAnsi="Times New Roman"/>
          <w:b/>
          <w:sz w:val="24"/>
        </w:rPr>
        <w:t xml:space="preserve">3.  </w:t>
      </w:r>
      <w:r>
        <w:rPr>
          <w:rFonts w:ascii="Times New Roman" w:hAnsi="Times New Roman"/>
          <w:sz w:val="24"/>
        </w:rPr>
        <w:t>To perform controlled ablation experiments, isolating the contribution of the conflict graph, the assignment mechanism, and the 3D extension, whether each of them increases or decreases the performance, and whether they improve more together than separately.</w:t>
      </w:r>
    </w:p>
    <w:p>
      <w:pPr>
        <w:spacing w:after="120" w:line="360" w:lineRule="exact"/>
        <w:jc w:val="both"/>
      </w:pPr>
      <w:r>
        <w:rPr>
          <w:rFonts w:ascii="Times New Roman" w:hAnsi="Times New Roman"/>
          <w:b/>
          <w:sz w:val="24"/>
        </w:rPr>
        <w:t xml:space="preserve">4.  </w:t>
      </w:r>
      <w:r>
        <w:rPr>
          <w:rFonts w:ascii="Times New Roman" w:hAnsi="Times New Roman"/>
          <w:sz w:val="24"/>
        </w:rPr>
        <w:t>To find the failure boundary: the conditions where the swarm size, obstacle density, and speed of the target are, when combined with the policy, sufficient to cause failure, and to characterize the nature of the failure.</w:t>
      </w:r>
    </w:p>
    <w:p>
      <w:pPr>
        <w:spacing w:before="280" w:after="120"/>
      </w:pPr>
      <w:r>
        <w:rPr>
          <w:rFonts w:ascii="Times New Roman" w:hAnsi="Times New Roman"/>
          <w:b/>
          <w:sz w:val="24"/>
        </w:rPr>
        <w:t>5.   Research Methodology</w:t>
      </w:r>
    </w:p>
    <w:p>
      <w:pPr>
        <w:spacing w:after="120" w:line="360" w:lineRule="exact"/>
        <w:jc w:val="both"/>
      </w:pPr>
      <w:r>
        <w:rPr>
          <w:rFonts w:ascii="Times New Roman" w:hAnsi="Times New Roman"/>
          <w:sz w:val="24"/>
        </w:rPr>
        <w:t>The proposed research is of quantitative, experimental type with the application of multi-agent deep reinforcement learning, in a controlled 3D simulation environment. The framework is based on MAPPO (Multi-Agent Proximal Policy Optimization), which was chosen for having been proven to perform well in the target assignment scenario by DA-MAPPO and because of its proven stability under partial observability.</w:t>
      </w:r>
    </w:p>
    <w:p>
      <w:pPr>
        <w:spacing w:before="200" w:after="80"/>
      </w:pPr>
      <w:r>
        <w:rPr>
          <w:rFonts w:ascii="Times New Roman" w:hAnsi="Times New Roman"/>
          <w:b/>
          <w:sz w:val="22"/>
        </w:rPr>
        <w:t>5.1   Framework Design</w:t>
      </w:r>
    </w:p>
    <w:p>
      <w:pPr>
        <w:spacing w:after="120" w:line="360" w:lineRule="exact"/>
        <w:jc w:val="both"/>
      </w:pPr>
      <w:r>
        <w:rPr>
          <w:rFonts w:ascii="Times New Roman" w:hAnsi="Times New Roman"/>
          <w:sz w:val="24"/>
        </w:rPr>
        <w:t>The observation vector for each drone includes four elements: (1) the 3D position and velocity of the drone; (2) the 3D relative position of the drone's current target, as computed from a minimum-cost Hungarian assignment performed over all drones at each decision step; (3) the positions and velocities of the drone's current conflict neighbors only; these neighbors are determined by a dynamic conflict graph established at each decision step, which connects sets of drone pairs expected to come within a certain time horizon of a danger threshold; and (4) obstacle proximity readings in six cardinal directions. Actions are 3D velocity instructions that are executed continuously over time, trained against a common MAPPO actor-critic network and centralized critic, and executed by a decentralized MAPPO actor network.</w:t>
      </w:r>
    </w:p>
    <w:p>
      <w:pPr>
        <w:spacing w:before="200" w:after="80"/>
      </w:pPr>
      <w:r>
        <w:rPr>
          <w:rFonts w:ascii="Times New Roman" w:hAnsi="Times New Roman"/>
          <w:b/>
          <w:sz w:val="22"/>
        </w:rPr>
        <w:t>5.2   Training Strategy</w:t>
      </w:r>
    </w:p>
    <w:p>
      <w:pPr>
        <w:spacing w:after="120" w:line="360" w:lineRule="exact"/>
        <w:jc w:val="both"/>
      </w:pPr>
      <w:r>
        <w:rPr>
          <w:rFonts w:ascii="Times New Roman" w:hAnsi="Times New Roman"/>
          <w:sz w:val="24"/>
        </w:rPr>
        <w:t>The four stage curriculum is utilized. Stage 1: Replicate DA-MAPPO with 3 drones in 3D with static targets and make it a validation baseline. Stage 2 is a setting with 5 drones that have moving targets and some obstacles. Stage 3 expands to 8 drones, high obstacle density and dynamic targets. Stage 4 tests generalization of behavior in different-sized swarms not presented in training. The design for this curriculum has been validated by both DA-MAPPO and IGAT-MARL.</w:t>
      </w:r>
    </w:p>
    <w:p>
      <w:pPr>
        <w:spacing w:before="200" w:after="80"/>
      </w:pPr>
      <w:r>
        <w:rPr>
          <w:rFonts w:ascii="Times New Roman" w:hAnsi="Times New Roman"/>
          <w:b/>
          <w:sz w:val="22"/>
        </w:rPr>
        <w:t>5.3   Evaluation Measures</w:t>
      </w:r>
    </w:p>
    <w:p>
      <w:pPr>
        <w:spacing w:after="120" w:line="360" w:lineRule="exact"/>
        <w:jc w:val="both"/>
      </w:pPr>
      <w:r>
        <w:rPr>
          <w:rFonts w:ascii="Times New Roman" w:hAnsi="Times New Roman"/>
          <w:sz w:val="24"/>
        </w:rPr>
        <w:t>Primary measure is mission success rate, measured as the proportion of episodes in which all the drones can reach their assigned targets without having any drone and obstacle collisions or inter-drone collisions within a pre-defined time limit. Secondary metrics include inter-drone collision count, obstacle collision count, number of target reassignments per episode and average trajectory length per drone. The system will be tested with three different obstacle densities (30, 40 and 50 obstacles), and three different swarm sizes (3, 5 and 8 drones). Four baselines are implemented: standard MAPPO (without assignment and conflict graph); DA-MAPPO ported to 3D without using a conflict graph; IGAT-MARL with a fixed assignment; and original 2D DA-MAPPO for replication verification. The experiments are conducted on PyBullet simulation and PyTorch (both open source).</w:t>
      </w:r>
    </w:p>
    <w:p>
      <w:pPr>
        <w:spacing w:before="200" w:after="80"/>
      </w:pPr>
      <w:r>
        <w:rPr>
          <w:rFonts w:ascii="Times New Roman" w:hAnsi="Times New Roman"/>
          <w:b/>
          <w:sz w:val="22"/>
        </w:rPr>
        <w:t>5.4   Framework Pipeline</w:t>
      </w:r>
    </w:p>
    <w:p>
      <w:r>
        <w:rPr>
          <w:rFonts w:ascii="Times New Roman" w:hAnsi="Times New Roman"/>
          <w:b/>
          <w:sz w:val="20"/>
        </w:rPr>
        <w:t>Table 2.  Proposed Framework Pipeline</w:t>
      </w:r>
    </w:p>
    <w:tbl>
      <w:tblPr>
        <w:tblStyle w:val="TableGrid"/>
        <w:tblW w:type="auto" w:w="0"/>
        <w:tblLook w:firstColumn="1" w:firstRow="1" w:lastColumn="0" w:lastRow="0" w:noHBand="0" w:noVBand="1" w:val="04A0"/>
      </w:tblPr>
      <w:tblGrid>
        <w:gridCol w:w="4153"/>
        <w:gridCol w:w="4153"/>
      </w:tblGrid>
      <w:tr>
        <w:tc>
          <w:tcPr>
            <w:tcW w:type="dxa" w:w="4153"/>
          </w:tcPr>
          <w:p>
            <w:pPr>
              <w:jc w:val="center"/>
            </w:pPr>
            <w:r/>
            <w:r>
              <w:rPr>
                <w:rFonts w:ascii="Times New Roman" w:hAnsi="Times New Roman"/>
                <w:b/>
                <w:sz w:val="20"/>
              </w:rPr>
              <w:t>Step</w:t>
            </w:r>
          </w:p>
        </w:tc>
        <w:tc>
          <w:tcPr>
            <w:tcW w:type="dxa" w:w="4153"/>
          </w:tcPr>
          <w:p>
            <w:pPr>
              <w:jc w:val="center"/>
            </w:pPr>
            <w:r/>
            <w:r>
              <w:rPr>
                <w:rFonts w:ascii="Times New Roman" w:hAnsi="Times New Roman"/>
                <w:b/>
                <w:sz w:val="20"/>
              </w:rPr>
              <w:t>Description</w:t>
            </w:r>
          </w:p>
        </w:tc>
      </w:tr>
      <w:tr>
        <w:tc>
          <w:tcPr>
            <w:tcW w:type="dxa" w:w="4153"/>
          </w:tcPr>
          <w:p>
            <w:pPr>
              <w:jc w:val="center"/>
            </w:pPr>
            <w:r/>
            <w:r>
              <w:rPr>
                <w:rFonts w:ascii="Times New Roman" w:hAnsi="Times New Roman"/>
                <w:b/>
                <w:sz w:val="20"/>
              </w:rPr>
              <w:t>Input</w:t>
            </w:r>
          </w:p>
        </w:tc>
        <w:tc>
          <w:tcPr>
            <w:tcW w:type="dxa" w:w="4153"/>
          </w:tcPr>
          <w:p>
            <w:r/>
            <w:r>
              <w:rPr>
                <w:rFonts w:ascii="Times New Roman" w:hAnsi="Times New Roman"/>
                <w:b w:val="0"/>
                <w:sz w:val="20"/>
              </w:rPr>
              <w:t>3D Environment — Drones, Dynamic Targets, Obstacles</w:t>
            </w:r>
          </w:p>
        </w:tc>
      </w:tr>
      <w:tr>
        <w:tc>
          <w:tcPr>
            <w:tcW w:type="dxa" w:w="4153"/>
          </w:tcPr>
          <w:p>
            <w:pPr>
              <w:jc w:val="center"/>
            </w:pPr>
            <w:r/>
            <w:r>
              <w:rPr>
                <w:rFonts w:ascii="Times New Roman" w:hAnsi="Times New Roman"/>
                <w:b/>
                <w:sz w:val="20"/>
              </w:rPr>
              <w:t>Step 1</w:t>
            </w:r>
          </w:p>
        </w:tc>
        <w:tc>
          <w:tcPr>
            <w:tcW w:type="dxa" w:w="4153"/>
          </w:tcPr>
          <w:p>
            <w:r/>
            <w:r>
              <w:rPr>
                <w:rFonts w:ascii="Times New Roman" w:hAnsi="Times New Roman"/>
                <w:b w:val="0"/>
                <w:sz w:val="20"/>
              </w:rPr>
              <w:t>Hungarian Assignment — minimum-cost, computed at every decision step</w:t>
            </w:r>
          </w:p>
        </w:tc>
      </w:tr>
      <w:tr>
        <w:tc>
          <w:tcPr>
            <w:tcW w:type="dxa" w:w="4153"/>
          </w:tcPr>
          <w:p>
            <w:pPr>
              <w:jc w:val="center"/>
            </w:pPr>
            <w:r/>
            <w:r>
              <w:rPr>
                <w:rFonts w:ascii="Times New Roman" w:hAnsi="Times New Roman"/>
                <w:b/>
                <w:sz w:val="20"/>
              </w:rPr>
              <w:t>Step 2</w:t>
            </w:r>
          </w:p>
        </w:tc>
        <w:tc>
          <w:tcPr>
            <w:tcW w:type="dxa" w:w="4153"/>
          </w:tcPr>
          <w:p>
            <w:r/>
            <w:r>
              <w:rPr>
                <w:rFonts w:ascii="Times New Roman" w:hAnsi="Times New Roman"/>
                <w:b w:val="0"/>
                <w:sz w:val="20"/>
              </w:rPr>
              <w:t>Conflict Graph Update — connects only drone pairs predicted to collide within time horizon</w:t>
            </w:r>
          </w:p>
        </w:tc>
      </w:tr>
      <w:tr>
        <w:tc>
          <w:tcPr>
            <w:tcW w:type="dxa" w:w="4153"/>
          </w:tcPr>
          <w:p>
            <w:pPr>
              <w:jc w:val="center"/>
            </w:pPr>
            <w:r/>
            <w:r>
              <w:rPr>
                <w:rFonts w:ascii="Times New Roman" w:hAnsi="Times New Roman"/>
                <w:b/>
                <w:sz w:val="20"/>
              </w:rPr>
              <w:t>Step 3</w:t>
            </w:r>
          </w:p>
        </w:tc>
        <w:tc>
          <w:tcPr>
            <w:tcW w:type="dxa" w:w="4153"/>
          </w:tcPr>
          <w:p>
            <w:r/>
            <w:r>
              <w:rPr>
                <w:rFonts w:ascii="Times New Roman" w:hAnsi="Times New Roman"/>
                <w:b w:val="0"/>
                <w:sz w:val="20"/>
              </w:rPr>
              <w:t>Combined Observation Vector — assignment state + conflict neighbors + obstacle proximity readings</w:t>
            </w:r>
          </w:p>
        </w:tc>
      </w:tr>
      <w:tr>
        <w:tc>
          <w:tcPr>
            <w:tcW w:type="dxa" w:w="4153"/>
          </w:tcPr>
          <w:p>
            <w:pPr>
              <w:jc w:val="center"/>
            </w:pPr>
            <w:r/>
            <w:r>
              <w:rPr>
                <w:rFonts w:ascii="Times New Roman" w:hAnsi="Times New Roman"/>
                <w:b/>
                <w:sz w:val="20"/>
              </w:rPr>
              <w:t>Step 4 / Output</w:t>
            </w:r>
          </w:p>
        </w:tc>
        <w:tc>
          <w:tcPr>
            <w:tcW w:type="dxa" w:w="4153"/>
          </w:tcPr>
          <w:p>
            <w:r/>
            <w:r>
              <w:rPr>
                <w:rFonts w:ascii="Times New Roman" w:hAnsi="Times New Roman"/>
                <w:b w:val="0"/>
                <w:sz w:val="20"/>
              </w:rPr>
              <w:t>MAPPO Policy — continuous 3D velocity commands → Mission Success Rate, Collision Count, Trajectory Length</w:t>
            </w:r>
          </w:p>
        </w:tc>
      </w:tr>
    </w:tbl>
    <w:p/>
    <w:p>
      <w:pPr>
        <w:spacing w:before="280" w:after="120"/>
      </w:pPr>
      <w:r>
        <w:rPr>
          <w:rFonts w:ascii="Times New Roman" w:hAnsi="Times New Roman"/>
          <w:b/>
          <w:sz w:val="24"/>
        </w:rPr>
        <w:t>References</w:t>
      </w:r>
    </w:p>
    <w:p>
      <w:pPr>
        <w:spacing w:after="60"/>
        <w:ind w:left="432" w:hanging="432"/>
      </w:pPr>
      <w:r>
        <w:rPr>
          <w:rFonts w:ascii="Times New Roman" w:hAnsi="Times New Roman"/>
          <w:sz w:val="22"/>
        </w:rPr>
        <w:t>[1]  J. Tang, Y. Liang, and K. Li, "Dynamic scene path planning of UAVs based on deep reinforcement learning," Drones, vol. 8, no. 2, p. 60, 2024.</w:t>
      </w:r>
    </w:p>
    <w:p>
      <w:pPr>
        <w:spacing w:after="60"/>
        <w:ind w:left="432" w:hanging="432"/>
      </w:pPr>
      <w:r>
        <w:rPr>
          <w:rFonts w:ascii="Times New Roman" w:hAnsi="Times New Roman"/>
          <w:sz w:val="22"/>
        </w:rPr>
        <w:t>[2]  X. Kong, Y. Zhou, Z. Li, and S. Wang, "Multi-UAV simultaneous target assignment and path planning based on deep reinforcement learning in dynamic multiple obstacles environments," Front. Neurorobot., vol. 17, p. 1302898, 2024.</w:t>
      </w:r>
    </w:p>
    <w:p>
      <w:pPr>
        <w:spacing w:after="60"/>
        <w:ind w:left="432" w:hanging="432"/>
      </w:pPr>
      <w:r>
        <w:rPr>
          <w:rFonts w:ascii="Times New Roman" w:hAnsi="Times New Roman"/>
          <w:sz w:val="22"/>
        </w:rPr>
        <w:t>[3]  R. Jarray, I. Zaghbani, and S. Bouallègue, "Dynamic reward-based deep reinforcement learning algorithm for UAV path planning in large-scale environments," Procedia Comput. Sci., vol. 270, pp. 692–702, 2025.</w:t>
      </w:r>
    </w:p>
    <w:p>
      <w:pPr>
        <w:spacing w:after="60"/>
        <w:ind w:left="432" w:hanging="432"/>
      </w:pPr>
      <w:r>
        <w:rPr>
          <w:rFonts w:ascii="Times New Roman" w:hAnsi="Times New Roman"/>
          <w:sz w:val="22"/>
        </w:rPr>
        <w:t>[4]  Y. Zhang et al., "Large-scale UAV swarm path planning based on mean-field reinforcement learning," Chin. J. Aeronaut., vol. 38, no. 9, p. 103484, 2025.</w:t>
      </w:r>
    </w:p>
    <w:p>
      <w:pPr>
        <w:spacing w:after="60"/>
        <w:ind w:left="432" w:hanging="432"/>
      </w:pPr>
      <w:r>
        <w:rPr>
          <w:rFonts w:ascii="Times New Roman" w:hAnsi="Times New Roman"/>
          <w:sz w:val="22"/>
        </w:rPr>
        <w:t>[5]  S. Poudel and S. Moh, "MAML-integrated multi-agent reinforcement learning for adaptive coalition-based UAV coordination in disaster scenarios," Internet of Things, vol. 37, p. 101930, 2026.</w:t>
      </w:r>
    </w:p>
    <w:p>
      <w:pPr>
        <w:spacing w:after="60"/>
        <w:ind w:left="432" w:hanging="432"/>
      </w:pPr>
      <w:r>
        <w:rPr>
          <w:rFonts w:ascii="Times New Roman" w:hAnsi="Times New Roman"/>
          <w:sz w:val="22"/>
        </w:rPr>
        <w:t>[6]  Y. Xu et al., "Scalable UAV multi-hop networking via multi-agent reinforcement learning with large language models," arXiv:2505.08448, 2026.</w:t>
      </w:r>
    </w:p>
    <w:p>
      <w:pPr>
        <w:spacing w:after="60"/>
        <w:ind w:left="432" w:hanging="432"/>
      </w:pPr>
      <w:r>
        <w:rPr>
          <w:rFonts w:ascii="Times New Roman" w:hAnsi="Times New Roman"/>
          <w:sz w:val="22"/>
        </w:rPr>
        <w:t>[7]  Y. Wang et al., "RALLY: Role-adaptive LLM-driven yoked navigation for agentic UAV swarms," IEEE Open J. Veh. Technol., vol. 6, 2025.</w:t>
      </w:r>
    </w:p>
    <w:p>
      <w:pPr>
        <w:spacing w:after="60"/>
        <w:ind w:left="432" w:hanging="432"/>
      </w:pPr>
      <w:r>
        <w:rPr>
          <w:rFonts w:ascii="Times New Roman" w:hAnsi="Times New Roman"/>
          <w:sz w:val="22"/>
        </w:rPr>
        <w:t>[8]  M. S. Khan, M. J. Khan, M. Sharif, and S. Yasmin, "Beyond single-framework architectures: A systematic evaluation and hybrid design for scalable multi-agent coordination," IEEE Access, vol. 14, 2026.</w:t>
      </w:r>
    </w:p>
    <w:p>
      <w:pPr>
        <w:spacing w:after="60"/>
        <w:ind w:left="432" w:hanging="432"/>
      </w:pPr>
      <w:r>
        <w:rPr>
          <w:rFonts w:ascii="Times New Roman" w:hAnsi="Times New Roman"/>
          <w:sz w:val="22"/>
        </w:rPr>
        <w:t>[9]  M. R. Rezaee, N. A. W. A. Hamid, M. Hussin, and Z. A. Zukarnain, "Efficient multi-agent deep reinforcement learning algorithm for multi-UAV collision avoidance," Appl. Soft Comput., vol. 197, p. 115145, 2026.</w:t>
      </w:r>
    </w:p>
    <w:p>
      <w:pPr>
        <w:spacing w:after="60"/>
        <w:ind w:left="432" w:hanging="432"/>
      </w:pPr>
      <w:r>
        <w:rPr>
          <w:rFonts w:ascii="Times New Roman" w:hAnsi="Times New Roman"/>
          <w:sz w:val="22"/>
        </w:rPr>
        <w:t>[10] Y. Sheng, X. Xie, H. Liu, and J. Li, "Dynamic target assignment and cooperative decision-making for UAV swarms based on multi-agent reinforcement learning," IEEE Internet Things J., doi: 10.1109/JIOT.2026.3686066, 2026.</w:t>
      </w:r>
    </w:p>
    <w:p>
      <w:pPr>
        <w:spacing w:after="60"/>
        <w:ind w:left="432" w:hanging="432"/>
      </w:pPr>
      <w:r>
        <w:rPr>
          <w:rFonts w:ascii="Times New Roman" w:hAnsi="Times New Roman"/>
          <w:sz w:val="22"/>
        </w:rPr>
        <w:t>[11] S. Govinda, B. Brik, and S. Harous, "A survey on deep reinforcement learning applications in autonomous systems," IEEE Trans. Intell. Transp. Syst., vol. 26, no. 7, 2025.</w:t>
      </w:r>
    </w:p>
    <w:p>
      <w:pPr>
        <w:spacing w:after="60"/>
        <w:ind w:left="432" w:hanging="432"/>
      </w:pPr>
      <w:r>
        <w:rPr>
          <w:rFonts w:ascii="Times New Roman" w:hAnsi="Times New Roman"/>
          <w:sz w:val="22"/>
        </w:rPr>
        <w:t>[12] V. Mnih et al., "Human-level control through deep reinforcement learning," Nature, vol. 518, pp. 529–533, 2015.</w:t>
      </w:r>
    </w:p>
    <w:p>
      <w:pPr>
        <w:spacing w:after="60"/>
        <w:ind w:left="432" w:hanging="432"/>
      </w:pPr>
      <w:r>
        <w:rPr>
          <w:rFonts w:ascii="Times New Roman" w:hAnsi="Times New Roman"/>
          <w:sz w:val="22"/>
        </w:rPr>
        <w:t>[13] H. Van Hasselt, A. Guez, and D. Silver, "Deep reinforcement learning with double Q-learning," in Proc. AAAI, 2016, pp. 2094–2100.</w:t>
      </w:r>
    </w:p>
    <w:p>
      <w:pPr>
        <w:spacing w:after="60"/>
        <w:ind w:left="432" w:hanging="432"/>
      </w:pPr>
      <w:r>
        <w:rPr>
          <w:rFonts w:ascii="Times New Roman" w:hAnsi="Times New Roman"/>
          <w:sz w:val="22"/>
        </w:rPr>
        <w:t>[14] Z. Wang et al., "Dueling network architectures for deep reinforcement learning," in Proc. ICML, 2016, pp. 1995–2003.</w:t>
      </w:r>
    </w:p>
    <w:p>
      <w:pPr>
        <w:spacing w:after="60"/>
        <w:ind w:left="432" w:hanging="432"/>
      </w:pPr>
      <w:r>
        <w:rPr>
          <w:rFonts w:ascii="Times New Roman" w:hAnsi="Times New Roman"/>
          <w:sz w:val="22"/>
        </w:rPr>
        <w:t>[15] T. Schaul, J. Quan, I. Antonoglou, and D. Silver, "Prioritized experience replay," in Proc. ICLR, 2016.</w:t>
      </w:r>
    </w:p>
    <w:p>
      <w:pPr>
        <w:spacing w:after="60"/>
        <w:ind w:left="432" w:hanging="432"/>
      </w:pPr>
      <w:r>
        <w:rPr>
          <w:rFonts w:ascii="Times New Roman" w:hAnsi="Times New Roman"/>
          <w:sz w:val="22"/>
        </w:rPr>
        <w:t>[16] J. Schulman, F. Wolski, P. Dhariwal, A. Radford, and O. Klimov, "Proximal policy optimization algorithms," arXiv:1707.06347, 2017.</w:t>
      </w:r>
    </w:p>
    <w:p>
      <w:pPr>
        <w:spacing w:after="60"/>
        <w:ind w:left="432" w:hanging="432"/>
      </w:pPr>
      <w:r>
        <w:rPr>
          <w:rFonts w:ascii="Times New Roman" w:hAnsi="Times New Roman"/>
          <w:sz w:val="22"/>
        </w:rPr>
        <w:t>[17] R. Lowe et al., "Multi-agent actor-critic for mixed cooperative-competitive environments," in Proc. NeurIPS, 2017, pp. 6379–6390.</w:t>
      </w:r>
    </w:p>
    <w:p>
      <w:pPr>
        <w:spacing w:after="60"/>
        <w:ind w:left="432" w:hanging="432"/>
      </w:pPr>
      <w:r>
        <w:rPr>
          <w:rFonts w:ascii="Times New Roman" w:hAnsi="Times New Roman"/>
          <w:sz w:val="22"/>
        </w:rPr>
        <w:t>[18] S. Fujimoto, H. Hoof, and D. Meger, "Addressing function approximation error in actor-critic methods," in Proc. ICML, 2018, pp. 1587–1596.</w:t>
      </w:r>
    </w:p>
    <w:p>
      <w:pPr>
        <w:spacing w:after="60"/>
        <w:ind w:left="432" w:hanging="432"/>
      </w:pPr>
      <w:r>
        <w:rPr>
          <w:rFonts w:ascii="Times New Roman" w:hAnsi="Times New Roman"/>
          <w:sz w:val="22"/>
        </w:rPr>
        <w:t>[19] T. Rashid et al., "QMIX: Monotonic value function factorisation for deep multi-agent reinforcement learning," in Proc. ICML, 2018, pp. 4295–4304.</w:t>
      </w:r>
    </w:p>
    <w:p>
      <w:pPr>
        <w:spacing w:after="60"/>
        <w:ind w:left="432" w:hanging="432"/>
      </w:pPr>
      <w:r>
        <w:rPr>
          <w:rFonts w:ascii="Times New Roman" w:hAnsi="Times New Roman"/>
          <w:sz w:val="22"/>
        </w:rPr>
        <w:t>[20] Y. Yang et al., "Mean field multi-agent reinforcement learning," in Proc. ICML, 2018, pp. 5571–5580.</w:t>
      </w:r>
    </w:p>
    <w:p>
      <w:pPr>
        <w:spacing w:after="60"/>
        <w:ind w:left="432" w:hanging="432"/>
      </w:pPr>
      <w:r>
        <w:rPr>
          <w:rFonts w:ascii="Times New Roman" w:hAnsi="Times New Roman"/>
          <w:sz w:val="22"/>
        </w:rPr>
        <w:t>[21] C. Yu et al., "The surprising effectiveness of PPO in cooperative multi-agent games," in Proc. NeurIPS, 2022.</w:t>
      </w:r>
    </w:p>
    <w:p>
      <w:pPr>
        <w:spacing w:after="60"/>
        <w:ind w:left="432" w:hanging="432"/>
      </w:pPr>
      <w:r>
        <w:rPr>
          <w:rFonts w:ascii="Times New Roman" w:hAnsi="Times New Roman"/>
          <w:sz w:val="22"/>
        </w:rPr>
        <w:t>[22] P. Sunehag et al., "Value-decomposition networks for cooperative multi-agent learning based on team reward," in Proc. AAMAS, 2018.</w:t>
      </w:r>
    </w:p>
    <w:p>
      <w:pPr>
        <w:spacing w:after="60"/>
        <w:ind w:left="432" w:hanging="432"/>
      </w:pPr>
      <w:r>
        <w:rPr>
          <w:rFonts w:ascii="Times New Roman" w:hAnsi="Times New Roman"/>
          <w:sz w:val="22"/>
        </w:rPr>
        <w:t>[23] S. Aggarwal and N. Kumar, "Path planning techniques for unmanned aerial vehicles: A review, solutions, and challenges," Comput. Commun., vol. 149, pp. 270–299, 2020.</w:t>
      </w:r>
    </w:p>
    <w:p>
      <w:pPr>
        <w:spacing w:after="60"/>
        <w:ind w:left="432" w:hanging="432"/>
      </w:pPr>
      <w:r>
        <w:rPr>
          <w:rFonts w:ascii="Times New Roman" w:hAnsi="Times New Roman"/>
          <w:sz w:val="22"/>
        </w:rPr>
        <w:t>[24] F. A. Oliehoek and C. Amato, A Concise Introduction to Decentralized POMDPs. Springer, 2016.</w:t>
      </w:r>
    </w:p>
    <w:p>
      <w:pPr>
        <w:spacing w:after="60"/>
        <w:ind w:left="432" w:hanging="432"/>
      </w:pPr>
      <w:r>
        <w:rPr>
          <w:rFonts w:ascii="Times New Roman" w:hAnsi="Times New Roman"/>
          <w:sz w:val="22"/>
        </w:rPr>
        <w:t>[25] A. Gronauer and K. Diepold, "Multi-agent deep reinforcement learning: A survey," Artif. Intell. Rev., vol. 55, pp. 895–943, 2022.</w:t>
      </w:r>
    </w:p>
    <w:p>
      <w:r>
        <w:br w:type="page"/>
      </w:r>
    </w:p>
    <w:p>
      <w:r>
        <w:rPr>
          <w:rFonts w:ascii="Times New Roman" w:hAnsi="Times New Roman"/>
          <w:sz w:val="20"/>
        </w:rPr>
        <w:t>Student's Name: Ayesha Khalil          Enrollment Number: CIIT/SP25-RCS-009/ATD          Supervisor's Signature: _______________</w:t>
      </w:r>
    </w:p>
    <w:p>
      <w:r>
        <w:rPr>
          <w:sz w:val="16"/>
        </w:rPr>
        <w:t>_______________________________________________________________________________________________</w:t>
      </w:r>
    </w:p>
    <w:p>
      <w:pPr>
        <w:spacing w:before="280" w:after="120"/>
      </w:pPr>
      <w:r>
        <w:rPr>
          <w:rFonts w:ascii="Times New Roman" w:hAnsi="Times New Roman"/>
          <w:b/>
          <w:sz w:val="24"/>
        </w:rPr>
        <w:t>Tentative Schedule</w:t>
      </w:r>
    </w:p>
    <w:p>
      <w:r>
        <w:rPr>
          <w:rFonts w:ascii="Times New Roman" w:hAnsi="Times New Roman"/>
          <w:b/>
          <w:sz w:val="20"/>
        </w:rPr>
        <w:t>Table 3.  Tentative Research Schedule</w:t>
      </w:r>
    </w:p>
    <w:tbl>
      <w:tblPr>
        <w:tblStyle w:val="TableGrid"/>
        <w:tblW w:type="auto" w:w="0"/>
        <w:tblLook w:firstColumn="1" w:firstRow="1" w:lastColumn="0" w:lastRow="0" w:noHBand="0" w:noVBand="1" w:val="04A0"/>
      </w:tblPr>
      <w:tblGrid>
        <w:gridCol w:w="1187"/>
        <w:gridCol w:w="1187"/>
        <w:gridCol w:w="1187"/>
        <w:gridCol w:w="1187"/>
        <w:gridCol w:w="1187"/>
        <w:gridCol w:w="1187"/>
        <w:gridCol w:w="1187"/>
      </w:tblGrid>
      <w:tr>
        <w:tc>
          <w:tcPr>
            <w:tcW w:type="dxa" w:w="1187"/>
          </w:tcPr>
          <w:p>
            <w:pPr>
              <w:jc w:val="center"/>
            </w:pPr>
            <w:r/>
            <w:r>
              <w:rPr>
                <w:rFonts w:ascii="Times New Roman" w:hAnsi="Times New Roman"/>
                <w:b/>
                <w:sz w:val="20"/>
              </w:rPr>
              <w:t>Tasks</w:t>
            </w:r>
          </w:p>
        </w:tc>
        <w:tc>
          <w:tcPr>
            <w:tcW w:type="dxa" w:w="1187"/>
          </w:tcPr>
          <w:p>
            <w:pPr>
              <w:jc w:val="center"/>
            </w:pPr>
            <w:r/>
            <w:r>
              <w:rPr>
                <w:rFonts w:ascii="Times New Roman" w:hAnsi="Times New Roman"/>
                <w:b/>
                <w:sz w:val="20"/>
              </w:rPr>
              <w:t>M 1–2</w:t>
            </w:r>
          </w:p>
        </w:tc>
        <w:tc>
          <w:tcPr>
            <w:tcW w:type="dxa" w:w="1187"/>
          </w:tcPr>
          <w:p>
            <w:pPr>
              <w:jc w:val="center"/>
            </w:pPr>
            <w:r/>
            <w:r>
              <w:rPr>
                <w:rFonts w:ascii="Times New Roman" w:hAnsi="Times New Roman"/>
                <w:b/>
                <w:sz w:val="20"/>
              </w:rPr>
              <w:t>M 3–4</w:t>
            </w:r>
          </w:p>
        </w:tc>
        <w:tc>
          <w:tcPr>
            <w:tcW w:type="dxa" w:w="1187"/>
          </w:tcPr>
          <w:p>
            <w:pPr>
              <w:jc w:val="center"/>
            </w:pPr>
            <w:r/>
            <w:r>
              <w:rPr>
                <w:rFonts w:ascii="Times New Roman" w:hAnsi="Times New Roman"/>
                <w:b/>
                <w:sz w:val="20"/>
              </w:rPr>
              <w:t>M 5–7</w:t>
            </w:r>
          </w:p>
        </w:tc>
        <w:tc>
          <w:tcPr>
            <w:tcW w:type="dxa" w:w="1187"/>
          </w:tcPr>
          <w:p>
            <w:pPr>
              <w:jc w:val="center"/>
            </w:pPr>
            <w:r/>
            <w:r>
              <w:rPr>
                <w:rFonts w:ascii="Times New Roman" w:hAnsi="Times New Roman"/>
                <w:b/>
                <w:sz w:val="20"/>
              </w:rPr>
              <w:t>M 8–9</w:t>
            </w:r>
          </w:p>
        </w:tc>
        <w:tc>
          <w:tcPr>
            <w:tcW w:type="dxa" w:w="1187"/>
          </w:tcPr>
          <w:p>
            <w:pPr>
              <w:jc w:val="center"/>
            </w:pPr>
            <w:r/>
            <w:r>
              <w:rPr>
                <w:rFonts w:ascii="Times New Roman" w:hAnsi="Times New Roman"/>
                <w:b/>
                <w:sz w:val="20"/>
              </w:rPr>
              <w:t>M 10–11</w:t>
            </w:r>
          </w:p>
        </w:tc>
        <w:tc>
          <w:tcPr>
            <w:tcW w:type="dxa" w:w="1187"/>
          </w:tcPr>
          <w:p>
            <w:pPr>
              <w:jc w:val="center"/>
            </w:pPr>
            <w:r/>
            <w:r>
              <w:rPr>
                <w:rFonts w:ascii="Times New Roman" w:hAnsi="Times New Roman"/>
                <w:b/>
                <w:sz w:val="20"/>
              </w:rPr>
              <w:t>M 12</w:t>
            </w:r>
          </w:p>
        </w:tc>
      </w:tr>
      <w:tr>
        <w:tc>
          <w:tcPr>
            <w:tcW w:type="dxa" w:w="1187"/>
          </w:tcPr>
          <w:p>
            <w:r/>
            <w:r>
              <w:rPr>
                <w:rFonts w:ascii="Times New Roman" w:hAnsi="Times New Roman"/>
                <w:b w:val="0"/>
                <w:sz w:val="20"/>
              </w:rPr>
              <w:t>Task-I: 3D environment setup + DA-MAPPO baseline replication</w:t>
            </w:r>
          </w:p>
        </w:tc>
        <w:tc>
          <w:tcPr>
            <w:tcW w:type="dxa" w:w="1187"/>
          </w:tcPr>
          <w:p>
            <w:pPr>
              <w:jc w:val="center"/>
            </w:pPr>
            <w:r/>
            <w:r>
              <w:rPr>
                <w:rFonts w:ascii="Times New Roman" w:hAnsi="Times New Roman"/>
                <w:b w:val="0"/>
                <w:sz w:val="20"/>
              </w:rPr>
              <w:t>●</w:t>
            </w:r>
          </w:p>
        </w:tc>
        <w:tc>
          <w:tcPr>
            <w:tcW w:type="dxa" w:w="1187"/>
          </w:tcPr>
          <w:p>
            <w:pPr>
              <w:jc w:val="center"/>
            </w:pPr>
            <w:r/>
            <w:r>
              <w:rPr>
                <w:rFonts w:ascii="Times New Roman" w:hAnsi="Times New Roman"/>
                <w:b w:val="0"/>
                <w:sz w:val="20"/>
              </w:rPr>
            </w:r>
          </w:p>
        </w:tc>
        <w:tc>
          <w:tcPr>
            <w:tcW w:type="dxa" w:w="1187"/>
          </w:tcPr>
          <w:p>
            <w:pPr>
              <w:jc w:val="center"/>
            </w:pPr>
            <w:r/>
            <w:r>
              <w:rPr>
                <w:rFonts w:ascii="Times New Roman" w:hAnsi="Times New Roman"/>
                <w:b w:val="0"/>
                <w:sz w:val="20"/>
              </w:rPr>
            </w:r>
          </w:p>
        </w:tc>
        <w:tc>
          <w:tcPr>
            <w:tcW w:type="dxa" w:w="1187"/>
          </w:tcPr>
          <w:p>
            <w:pPr>
              <w:jc w:val="center"/>
            </w:pPr>
            <w:r/>
            <w:r>
              <w:rPr>
                <w:rFonts w:ascii="Times New Roman" w:hAnsi="Times New Roman"/>
                <w:b w:val="0"/>
                <w:sz w:val="20"/>
              </w:rPr>
            </w:r>
          </w:p>
        </w:tc>
        <w:tc>
          <w:tcPr>
            <w:tcW w:type="dxa" w:w="1187"/>
          </w:tcPr>
          <w:p>
            <w:pPr>
              <w:jc w:val="center"/>
            </w:pPr>
            <w:r/>
            <w:r>
              <w:rPr>
                <w:rFonts w:ascii="Times New Roman" w:hAnsi="Times New Roman"/>
                <w:b w:val="0"/>
                <w:sz w:val="20"/>
              </w:rPr>
            </w:r>
          </w:p>
        </w:tc>
        <w:tc>
          <w:tcPr>
            <w:tcW w:type="dxa" w:w="1187"/>
          </w:tcPr>
          <w:p>
            <w:pPr>
              <w:jc w:val="center"/>
            </w:pPr>
            <w:r/>
            <w:r>
              <w:rPr>
                <w:rFonts w:ascii="Times New Roman" w:hAnsi="Times New Roman"/>
                <w:b w:val="0"/>
                <w:sz w:val="20"/>
              </w:rPr>
            </w:r>
          </w:p>
        </w:tc>
      </w:tr>
      <w:tr>
        <w:tc>
          <w:tcPr>
            <w:tcW w:type="dxa" w:w="1187"/>
          </w:tcPr>
          <w:p>
            <w:r/>
            <w:r>
              <w:rPr>
                <w:rFonts w:ascii="Times New Roman" w:hAnsi="Times New Roman"/>
                <w:b w:val="0"/>
                <w:sz w:val="20"/>
              </w:rPr>
              <w:t>Task-II: Assignment observations + conflict graph integration</w:t>
            </w:r>
          </w:p>
        </w:tc>
        <w:tc>
          <w:tcPr>
            <w:tcW w:type="dxa" w:w="1187"/>
          </w:tcPr>
          <w:p>
            <w:pPr>
              <w:jc w:val="center"/>
            </w:pPr>
            <w:r/>
            <w:r>
              <w:rPr>
                <w:rFonts w:ascii="Times New Roman" w:hAnsi="Times New Roman"/>
                <w:b w:val="0"/>
                <w:sz w:val="20"/>
              </w:rPr>
            </w:r>
          </w:p>
        </w:tc>
        <w:tc>
          <w:tcPr>
            <w:tcW w:type="dxa" w:w="1187"/>
          </w:tcPr>
          <w:p>
            <w:pPr>
              <w:jc w:val="center"/>
            </w:pPr>
            <w:r/>
            <w:r>
              <w:rPr>
                <w:rFonts w:ascii="Times New Roman" w:hAnsi="Times New Roman"/>
                <w:b w:val="0"/>
                <w:sz w:val="20"/>
              </w:rPr>
              <w:t>●</w:t>
            </w:r>
          </w:p>
        </w:tc>
        <w:tc>
          <w:tcPr>
            <w:tcW w:type="dxa" w:w="1187"/>
          </w:tcPr>
          <w:p>
            <w:pPr>
              <w:jc w:val="center"/>
            </w:pPr>
            <w:r/>
            <w:r>
              <w:rPr>
                <w:rFonts w:ascii="Times New Roman" w:hAnsi="Times New Roman"/>
                <w:b w:val="0"/>
                <w:sz w:val="20"/>
              </w:rPr>
            </w:r>
          </w:p>
        </w:tc>
        <w:tc>
          <w:tcPr>
            <w:tcW w:type="dxa" w:w="1187"/>
          </w:tcPr>
          <w:p>
            <w:pPr>
              <w:jc w:val="center"/>
            </w:pPr>
            <w:r/>
            <w:r>
              <w:rPr>
                <w:rFonts w:ascii="Times New Roman" w:hAnsi="Times New Roman"/>
                <w:b w:val="0"/>
                <w:sz w:val="20"/>
              </w:rPr>
            </w:r>
          </w:p>
        </w:tc>
        <w:tc>
          <w:tcPr>
            <w:tcW w:type="dxa" w:w="1187"/>
          </w:tcPr>
          <w:p>
            <w:pPr>
              <w:jc w:val="center"/>
            </w:pPr>
            <w:r/>
            <w:r>
              <w:rPr>
                <w:rFonts w:ascii="Times New Roman" w:hAnsi="Times New Roman"/>
                <w:b w:val="0"/>
                <w:sz w:val="20"/>
              </w:rPr>
            </w:r>
          </w:p>
        </w:tc>
        <w:tc>
          <w:tcPr>
            <w:tcW w:type="dxa" w:w="1187"/>
          </w:tcPr>
          <w:p>
            <w:pPr>
              <w:jc w:val="center"/>
            </w:pPr>
            <w:r/>
            <w:r>
              <w:rPr>
                <w:rFonts w:ascii="Times New Roman" w:hAnsi="Times New Roman"/>
                <w:b w:val="0"/>
                <w:sz w:val="20"/>
              </w:rPr>
            </w:r>
          </w:p>
        </w:tc>
      </w:tr>
      <w:tr>
        <w:tc>
          <w:tcPr>
            <w:tcW w:type="dxa" w:w="1187"/>
          </w:tcPr>
          <w:p>
            <w:r/>
            <w:r>
              <w:rPr>
                <w:rFonts w:ascii="Times New Roman" w:hAnsi="Times New Roman"/>
                <w:b w:val="0"/>
                <w:sz w:val="20"/>
              </w:rPr>
              <w:t>Task-III: Curriculum training (3 → 5 → 8 drones)</w:t>
            </w:r>
          </w:p>
        </w:tc>
        <w:tc>
          <w:tcPr>
            <w:tcW w:type="dxa" w:w="1187"/>
          </w:tcPr>
          <w:p>
            <w:pPr>
              <w:jc w:val="center"/>
            </w:pPr>
            <w:r/>
            <w:r>
              <w:rPr>
                <w:rFonts w:ascii="Times New Roman" w:hAnsi="Times New Roman"/>
                <w:b w:val="0"/>
                <w:sz w:val="20"/>
              </w:rPr>
            </w:r>
          </w:p>
        </w:tc>
        <w:tc>
          <w:tcPr>
            <w:tcW w:type="dxa" w:w="1187"/>
          </w:tcPr>
          <w:p>
            <w:pPr>
              <w:jc w:val="center"/>
            </w:pPr>
            <w:r/>
            <w:r>
              <w:rPr>
                <w:rFonts w:ascii="Times New Roman" w:hAnsi="Times New Roman"/>
                <w:b w:val="0"/>
                <w:sz w:val="20"/>
              </w:rPr>
            </w:r>
          </w:p>
        </w:tc>
        <w:tc>
          <w:tcPr>
            <w:tcW w:type="dxa" w:w="1187"/>
          </w:tcPr>
          <w:p>
            <w:pPr>
              <w:jc w:val="center"/>
            </w:pPr>
            <w:r/>
            <w:r>
              <w:rPr>
                <w:rFonts w:ascii="Times New Roman" w:hAnsi="Times New Roman"/>
                <w:b w:val="0"/>
                <w:sz w:val="20"/>
              </w:rPr>
              <w:t>●</w:t>
            </w:r>
          </w:p>
        </w:tc>
        <w:tc>
          <w:tcPr>
            <w:tcW w:type="dxa" w:w="1187"/>
          </w:tcPr>
          <w:p>
            <w:pPr>
              <w:jc w:val="center"/>
            </w:pPr>
            <w:r/>
            <w:r>
              <w:rPr>
                <w:rFonts w:ascii="Times New Roman" w:hAnsi="Times New Roman"/>
                <w:b w:val="0"/>
                <w:sz w:val="20"/>
              </w:rPr>
            </w:r>
          </w:p>
        </w:tc>
        <w:tc>
          <w:tcPr>
            <w:tcW w:type="dxa" w:w="1187"/>
          </w:tcPr>
          <w:p>
            <w:pPr>
              <w:jc w:val="center"/>
            </w:pPr>
            <w:r/>
            <w:r>
              <w:rPr>
                <w:rFonts w:ascii="Times New Roman" w:hAnsi="Times New Roman"/>
                <w:b w:val="0"/>
                <w:sz w:val="20"/>
              </w:rPr>
            </w:r>
          </w:p>
        </w:tc>
        <w:tc>
          <w:tcPr>
            <w:tcW w:type="dxa" w:w="1187"/>
          </w:tcPr>
          <w:p>
            <w:pPr>
              <w:jc w:val="center"/>
            </w:pPr>
            <w:r/>
            <w:r>
              <w:rPr>
                <w:rFonts w:ascii="Times New Roman" w:hAnsi="Times New Roman"/>
                <w:b w:val="0"/>
                <w:sz w:val="20"/>
              </w:rPr>
            </w:r>
          </w:p>
        </w:tc>
      </w:tr>
      <w:tr>
        <w:tc>
          <w:tcPr>
            <w:tcW w:type="dxa" w:w="1187"/>
          </w:tcPr>
          <w:p>
            <w:r/>
            <w:r>
              <w:rPr>
                <w:rFonts w:ascii="Times New Roman" w:hAnsi="Times New Roman"/>
                <w:b w:val="0"/>
                <w:sz w:val="20"/>
              </w:rPr>
              <w:t>Task-IV: Evaluation vs. 4 baselines (3 swarm sizes × 3 obstacle densities)</w:t>
            </w:r>
          </w:p>
        </w:tc>
        <w:tc>
          <w:tcPr>
            <w:tcW w:type="dxa" w:w="1187"/>
          </w:tcPr>
          <w:p>
            <w:pPr>
              <w:jc w:val="center"/>
            </w:pPr>
            <w:r/>
            <w:r>
              <w:rPr>
                <w:rFonts w:ascii="Times New Roman" w:hAnsi="Times New Roman"/>
                <w:b w:val="0"/>
                <w:sz w:val="20"/>
              </w:rPr>
            </w:r>
          </w:p>
        </w:tc>
        <w:tc>
          <w:tcPr>
            <w:tcW w:type="dxa" w:w="1187"/>
          </w:tcPr>
          <w:p>
            <w:pPr>
              <w:jc w:val="center"/>
            </w:pPr>
            <w:r/>
            <w:r>
              <w:rPr>
                <w:rFonts w:ascii="Times New Roman" w:hAnsi="Times New Roman"/>
                <w:b w:val="0"/>
                <w:sz w:val="20"/>
              </w:rPr>
            </w:r>
          </w:p>
        </w:tc>
        <w:tc>
          <w:tcPr>
            <w:tcW w:type="dxa" w:w="1187"/>
          </w:tcPr>
          <w:p>
            <w:pPr>
              <w:jc w:val="center"/>
            </w:pPr>
            <w:r/>
            <w:r>
              <w:rPr>
                <w:rFonts w:ascii="Times New Roman" w:hAnsi="Times New Roman"/>
                <w:b w:val="0"/>
                <w:sz w:val="20"/>
              </w:rPr>
            </w:r>
          </w:p>
        </w:tc>
        <w:tc>
          <w:tcPr>
            <w:tcW w:type="dxa" w:w="1187"/>
          </w:tcPr>
          <w:p>
            <w:pPr>
              <w:jc w:val="center"/>
            </w:pPr>
            <w:r/>
            <w:r>
              <w:rPr>
                <w:rFonts w:ascii="Times New Roman" w:hAnsi="Times New Roman"/>
                <w:b w:val="0"/>
                <w:sz w:val="20"/>
              </w:rPr>
              <w:t>●</w:t>
            </w:r>
          </w:p>
        </w:tc>
        <w:tc>
          <w:tcPr>
            <w:tcW w:type="dxa" w:w="1187"/>
          </w:tcPr>
          <w:p>
            <w:pPr>
              <w:jc w:val="center"/>
            </w:pPr>
            <w:r/>
            <w:r>
              <w:rPr>
                <w:rFonts w:ascii="Times New Roman" w:hAnsi="Times New Roman"/>
                <w:b w:val="0"/>
                <w:sz w:val="20"/>
              </w:rPr>
            </w:r>
          </w:p>
        </w:tc>
        <w:tc>
          <w:tcPr>
            <w:tcW w:type="dxa" w:w="1187"/>
          </w:tcPr>
          <w:p>
            <w:pPr>
              <w:jc w:val="center"/>
            </w:pPr>
            <w:r/>
            <w:r>
              <w:rPr>
                <w:rFonts w:ascii="Times New Roman" w:hAnsi="Times New Roman"/>
                <w:b w:val="0"/>
                <w:sz w:val="20"/>
              </w:rPr>
            </w:r>
          </w:p>
        </w:tc>
      </w:tr>
      <w:tr>
        <w:tc>
          <w:tcPr>
            <w:tcW w:type="dxa" w:w="1187"/>
          </w:tcPr>
          <w:p>
            <w:r/>
            <w:r>
              <w:rPr>
                <w:rFonts w:ascii="Times New Roman" w:hAnsi="Times New Roman"/>
                <w:b w:val="0"/>
                <w:sz w:val="20"/>
              </w:rPr>
              <w:t>Task-V: Ablation experiments + failure case analysis</w:t>
            </w:r>
          </w:p>
        </w:tc>
        <w:tc>
          <w:tcPr>
            <w:tcW w:type="dxa" w:w="1187"/>
          </w:tcPr>
          <w:p>
            <w:pPr>
              <w:jc w:val="center"/>
            </w:pPr>
            <w:r/>
            <w:r>
              <w:rPr>
                <w:rFonts w:ascii="Times New Roman" w:hAnsi="Times New Roman"/>
                <w:b w:val="0"/>
                <w:sz w:val="20"/>
              </w:rPr>
            </w:r>
          </w:p>
        </w:tc>
        <w:tc>
          <w:tcPr>
            <w:tcW w:type="dxa" w:w="1187"/>
          </w:tcPr>
          <w:p>
            <w:pPr>
              <w:jc w:val="center"/>
            </w:pPr>
            <w:r/>
            <w:r>
              <w:rPr>
                <w:rFonts w:ascii="Times New Roman" w:hAnsi="Times New Roman"/>
                <w:b w:val="0"/>
                <w:sz w:val="20"/>
              </w:rPr>
            </w:r>
          </w:p>
        </w:tc>
        <w:tc>
          <w:tcPr>
            <w:tcW w:type="dxa" w:w="1187"/>
          </w:tcPr>
          <w:p>
            <w:pPr>
              <w:jc w:val="center"/>
            </w:pPr>
            <w:r/>
            <w:r>
              <w:rPr>
                <w:rFonts w:ascii="Times New Roman" w:hAnsi="Times New Roman"/>
                <w:b w:val="0"/>
                <w:sz w:val="20"/>
              </w:rPr>
            </w:r>
          </w:p>
        </w:tc>
        <w:tc>
          <w:tcPr>
            <w:tcW w:type="dxa" w:w="1187"/>
          </w:tcPr>
          <w:p>
            <w:pPr>
              <w:jc w:val="center"/>
            </w:pPr>
            <w:r/>
            <w:r>
              <w:rPr>
                <w:rFonts w:ascii="Times New Roman" w:hAnsi="Times New Roman"/>
                <w:b w:val="0"/>
                <w:sz w:val="20"/>
              </w:rPr>
            </w:r>
          </w:p>
        </w:tc>
        <w:tc>
          <w:tcPr>
            <w:tcW w:type="dxa" w:w="1187"/>
          </w:tcPr>
          <w:p>
            <w:pPr>
              <w:jc w:val="center"/>
            </w:pPr>
            <w:r/>
            <w:r>
              <w:rPr>
                <w:rFonts w:ascii="Times New Roman" w:hAnsi="Times New Roman"/>
                <w:b w:val="0"/>
                <w:sz w:val="20"/>
              </w:rPr>
              <w:t>●</w:t>
            </w:r>
          </w:p>
        </w:tc>
        <w:tc>
          <w:tcPr>
            <w:tcW w:type="dxa" w:w="1187"/>
          </w:tcPr>
          <w:p>
            <w:pPr>
              <w:jc w:val="center"/>
            </w:pPr>
            <w:r/>
            <w:r>
              <w:rPr>
                <w:rFonts w:ascii="Times New Roman" w:hAnsi="Times New Roman"/>
                <w:b w:val="0"/>
                <w:sz w:val="20"/>
              </w:rPr>
            </w:r>
          </w:p>
        </w:tc>
      </w:tr>
      <w:tr>
        <w:tc>
          <w:tcPr>
            <w:tcW w:type="dxa" w:w="1187"/>
          </w:tcPr>
          <w:p>
            <w:r/>
            <w:r>
              <w:rPr>
                <w:rFonts w:ascii="Times New Roman" w:hAnsi="Times New Roman"/>
                <w:b w:val="0"/>
                <w:sz w:val="20"/>
              </w:rPr>
              <w:t>Task-VI: Thesis writing + revision + submission</w:t>
            </w:r>
          </w:p>
        </w:tc>
        <w:tc>
          <w:tcPr>
            <w:tcW w:type="dxa" w:w="1187"/>
          </w:tcPr>
          <w:p>
            <w:pPr>
              <w:jc w:val="center"/>
            </w:pPr>
            <w:r/>
            <w:r>
              <w:rPr>
                <w:rFonts w:ascii="Times New Roman" w:hAnsi="Times New Roman"/>
                <w:b w:val="0"/>
                <w:sz w:val="20"/>
              </w:rPr>
            </w:r>
          </w:p>
        </w:tc>
        <w:tc>
          <w:tcPr>
            <w:tcW w:type="dxa" w:w="1187"/>
          </w:tcPr>
          <w:p>
            <w:pPr>
              <w:jc w:val="center"/>
            </w:pPr>
            <w:r/>
            <w:r>
              <w:rPr>
                <w:rFonts w:ascii="Times New Roman" w:hAnsi="Times New Roman"/>
                <w:b w:val="0"/>
                <w:sz w:val="20"/>
              </w:rPr>
            </w:r>
          </w:p>
        </w:tc>
        <w:tc>
          <w:tcPr>
            <w:tcW w:type="dxa" w:w="1187"/>
          </w:tcPr>
          <w:p>
            <w:pPr>
              <w:jc w:val="center"/>
            </w:pPr>
            <w:r/>
            <w:r>
              <w:rPr>
                <w:rFonts w:ascii="Times New Roman" w:hAnsi="Times New Roman"/>
                <w:b w:val="0"/>
                <w:sz w:val="20"/>
              </w:rPr>
            </w:r>
          </w:p>
        </w:tc>
        <w:tc>
          <w:tcPr>
            <w:tcW w:type="dxa" w:w="1187"/>
          </w:tcPr>
          <w:p>
            <w:pPr>
              <w:jc w:val="center"/>
            </w:pPr>
            <w:r/>
            <w:r>
              <w:rPr>
                <w:rFonts w:ascii="Times New Roman" w:hAnsi="Times New Roman"/>
                <w:b w:val="0"/>
                <w:sz w:val="20"/>
              </w:rPr>
            </w:r>
          </w:p>
        </w:tc>
        <w:tc>
          <w:tcPr>
            <w:tcW w:type="dxa" w:w="1187"/>
          </w:tcPr>
          <w:p>
            <w:pPr>
              <w:jc w:val="center"/>
            </w:pPr>
            <w:r/>
            <w:r>
              <w:rPr>
                <w:rFonts w:ascii="Times New Roman" w:hAnsi="Times New Roman"/>
                <w:b w:val="0"/>
                <w:sz w:val="20"/>
              </w:rPr>
            </w:r>
          </w:p>
        </w:tc>
        <w:tc>
          <w:tcPr>
            <w:tcW w:type="dxa" w:w="1187"/>
          </w:tcPr>
          <w:p>
            <w:pPr>
              <w:jc w:val="center"/>
            </w:pPr>
            <w:r/>
            <w:r>
              <w:rPr>
                <w:rFonts w:ascii="Times New Roman" w:hAnsi="Times New Roman"/>
                <w:b w:val="0"/>
                <w:sz w:val="20"/>
              </w:rPr>
              <w:t>●</w:t>
            </w:r>
          </w:p>
        </w:tc>
      </w:tr>
    </w:tbl>
    <w:p/>
    <w:p>
      <w:pPr>
        <w:spacing w:before="280" w:after="120"/>
      </w:pPr>
      <w:r>
        <w:rPr>
          <w:rFonts w:ascii="Times New Roman" w:hAnsi="Times New Roman"/>
          <w:b/>
          <w:sz w:val="24"/>
        </w:rPr>
        <w:t>Details of Completed Coursework</w:t>
      </w:r>
    </w:p>
    <w:p>
      <w:r>
        <w:rPr>
          <w:rFonts w:ascii="Times New Roman" w:hAnsi="Times New Roman"/>
          <w:i/>
          <w:sz w:val="22"/>
        </w:rPr>
        <w:t>(or attach provisional transcript)</w:t>
      </w:r>
    </w:p>
    <w:p>
      <w:r>
        <w:rPr>
          <w:rFonts w:ascii="Times New Roman" w:hAnsi="Times New Roman"/>
          <w:b/>
          <w:sz w:val="20"/>
        </w:rPr>
        <w:t>Table 4.  Completed Coursework</w:t>
      </w:r>
    </w:p>
    <w:tbl>
      <w:tblPr>
        <w:tblStyle w:val="TableGrid"/>
        <w:tblW w:type="auto" w:w="0"/>
        <w:tblLook w:firstColumn="1" w:firstRow="1" w:lastColumn="0" w:lastRow="0" w:noHBand="0" w:noVBand="1" w:val="04A0"/>
      </w:tblPr>
      <w:tblGrid>
        <w:gridCol w:w="2076"/>
        <w:gridCol w:w="2076"/>
        <w:gridCol w:w="2076"/>
        <w:gridCol w:w="2076"/>
      </w:tblGrid>
      <w:tr>
        <w:tc>
          <w:tcPr>
            <w:tcW w:type="dxa" w:w="2076"/>
          </w:tcPr>
          <w:p>
            <w:pPr>
              <w:jc w:val="center"/>
            </w:pPr>
            <w:r/>
            <w:r>
              <w:rPr>
                <w:rFonts w:ascii="Times New Roman" w:hAnsi="Times New Roman"/>
                <w:b/>
                <w:sz w:val="20"/>
              </w:rPr>
              <w:t>#</w:t>
            </w:r>
          </w:p>
        </w:tc>
        <w:tc>
          <w:tcPr>
            <w:tcW w:type="dxa" w:w="2076"/>
          </w:tcPr>
          <w:p>
            <w:pPr>
              <w:jc w:val="center"/>
            </w:pPr>
            <w:r/>
            <w:r>
              <w:rPr>
                <w:rFonts w:ascii="Times New Roman" w:hAnsi="Times New Roman"/>
                <w:b/>
                <w:sz w:val="20"/>
              </w:rPr>
              <w:t>Course Code and Title</w:t>
            </w:r>
          </w:p>
        </w:tc>
        <w:tc>
          <w:tcPr>
            <w:tcW w:type="dxa" w:w="2076"/>
          </w:tcPr>
          <w:p>
            <w:pPr>
              <w:jc w:val="center"/>
            </w:pPr>
            <w:r/>
            <w:r>
              <w:rPr>
                <w:rFonts w:ascii="Times New Roman" w:hAnsi="Times New Roman"/>
                <w:b/>
                <w:sz w:val="20"/>
              </w:rPr>
              <w:t>Credit Hours</w:t>
            </w:r>
          </w:p>
        </w:tc>
        <w:tc>
          <w:tcPr>
            <w:tcW w:type="dxa" w:w="2076"/>
          </w:tcPr>
          <w:p>
            <w:pPr>
              <w:jc w:val="center"/>
            </w:pPr>
            <w:r/>
            <w:r>
              <w:rPr>
                <w:rFonts w:ascii="Times New Roman" w:hAnsi="Times New Roman"/>
                <w:b/>
                <w:sz w:val="20"/>
              </w:rPr>
              <w:t>Grade Points / Semester</w:t>
            </w:r>
          </w:p>
        </w:tc>
      </w:tr>
      <w:tr>
        <w:tc>
          <w:tcPr>
            <w:tcW w:type="dxa" w:w="8304"/>
            <w:gridSpan w:val="4"/>
          </w:tcPr>
          <w:p>
            <w:r/>
            <w:r>
              <w:rPr>
                <w:rFonts w:ascii="Times New Roman" w:hAnsi="Times New Roman"/>
                <w:b/>
                <w:sz w:val="20"/>
              </w:rPr>
              <w:t>Result Semester: Spring 2025</w:t>
            </w:r>
          </w:p>
        </w:tc>
      </w:tr>
      <w:tr>
        <w:tc>
          <w:tcPr>
            <w:tcW w:type="dxa" w:w="2076"/>
          </w:tcPr>
          <w:p>
            <w:pPr>
              <w:jc w:val="center"/>
            </w:pPr>
            <w:r/>
            <w:r>
              <w:rPr>
                <w:rFonts w:ascii="Times New Roman" w:hAnsi="Times New Roman"/>
                <w:b w:val="0"/>
                <w:sz w:val="20"/>
              </w:rPr>
              <w:t>1.</w:t>
            </w:r>
          </w:p>
        </w:tc>
        <w:tc>
          <w:tcPr>
            <w:tcW w:type="dxa" w:w="2076"/>
          </w:tcPr>
          <w:p>
            <w:r/>
            <w:r>
              <w:rPr>
                <w:rFonts w:ascii="Times New Roman" w:hAnsi="Times New Roman"/>
                <w:b w:val="0"/>
                <w:sz w:val="20"/>
              </w:rPr>
              <w:t>(CSC630) Advanced Data Mining</w:t>
            </w:r>
          </w:p>
        </w:tc>
        <w:tc>
          <w:tcPr>
            <w:tcW w:type="dxa" w:w="2076"/>
          </w:tcPr>
          <w:p>
            <w:pPr>
              <w:jc w:val="center"/>
            </w:pPr>
            <w:r/>
            <w:r>
              <w:rPr>
                <w:rFonts w:ascii="Times New Roman" w:hAnsi="Times New Roman"/>
                <w:b w:val="0"/>
                <w:sz w:val="20"/>
              </w:rPr>
              <w:t>3</w:t>
            </w:r>
          </w:p>
        </w:tc>
        <w:tc>
          <w:tcPr>
            <w:tcW w:type="dxa" w:w="2076"/>
          </w:tcPr>
          <w:p>
            <w:pPr>
              <w:jc w:val="center"/>
            </w:pPr>
            <w:r/>
            <w:r>
              <w:rPr>
                <w:rFonts w:ascii="Times New Roman" w:hAnsi="Times New Roman"/>
                <w:b w:val="0"/>
                <w:sz w:val="20"/>
              </w:rPr>
              <w:t>3.33</w:t>
            </w:r>
          </w:p>
        </w:tc>
      </w:tr>
      <w:tr>
        <w:tc>
          <w:tcPr>
            <w:tcW w:type="dxa" w:w="2076"/>
          </w:tcPr>
          <w:p>
            <w:pPr>
              <w:jc w:val="center"/>
            </w:pPr>
            <w:r/>
            <w:r>
              <w:rPr>
                <w:rFonts w:ascii="Times New Roman" w:hAnsi="Times New Roman"/>
                <w:b w:val="0"/>
                <w:sz w:val="20"/>
              </w:rPr>
              <w:t>2.</w:t>
            </w:r>
          </w:p>
        </w:tc>
        <w:tc>
          <w:tcPr>
            <w:tcW w:type="dxa" w:w="2076"/>
          </w:tcPr>
          <w:p>
            <w:r/>
            <w:r>
              <w:rPr>
                <w:rFonts w:ascii="Times New Roman" w:hAnsi="Times New Roman"/>
                <w:b w:val="0"/>
                <w:sz w:val="20"/>
              </w:rPr>
              <w:t>(CSC631) Advanced Topics in Computer Networks</w:t>
            </w:r>
          </w:p>
        </w:tc>
        <w:tc>
          <w:tcPr>
            <w:tcW w:type="dxa" w:w="2076"/>
          </w:tcPr>
          <w:p>
            <w:pPr>
              <w:jc w:val="center"/>
            </w:pPr>
            <w:r/>
            <w:r>
              <w:rPr>
                <w:rFonts w:ascii="Times New Roman" w:hAnsi="Times New Roman"/>
                <w:b w:val="0"/>
                <w:sz w:val="20"/>
              </w:rPr>
              <w:t>3</w:t>
            </w:r>
          </w:p>
        </w:tc>
        <w:tc>
          <w:tcPr>
            <w:tcW w:type="dxa" w:w="2076"/>
          </w:tcPr>
          <w:p>
            <w:pPr>
              <w:jc w:val="center"/>
            </w:pPr>
            <w:r/>
            <w:r>
              <w:rPr>
                <w:rFonts w:ascii="Times New Roman" w:hAnsi="Times New Roman"/>
                <w:b w:val="0"/>
                <w:sz w:val="20"/>
              </w:rPr>
              <w:t>4</w:t>
            </w:r>
          </w:p>
        </w:tc>
      </w:tr>
      <w:tr>
        <w:tc>
          <w:tcPr>
            <w:tcW w:type="dxa" w:w="2076"/>
          </w:tcPr>
          <w:p>
            <w:pPr>
              <w:jc w:val="center"/>
            </w:pPr>
            <w:r/>
            <w:r>
              <w:rPr>
                <w:rFonts w:ascii="Times New Roman" w:hAnsi="Times New Roman"/>
                <w:b w:val="0"/>
                <w:sz w:val="20"/>
              </w:rPr>
              <w:t>3.</w:t>
            </w:r>
          </w:p>
        </w:tc>
        <w:tc>
          <w:tcPr>
            <w:tcW w:type="dxa" w:w="2076"/>
          </w:tcPr>
          <w:p>
            <w:r/>
            <w:r>
              <w:rPr>
                <w:rFonts w:ascii="Times New Roman" w:hAnsi="Times New Roman"/>
                <w:b w:val="0"/>
                <w:sz w:val="20"/>
              </w:rPr>
              <w:t>(CSC652) Advanced Topics in Computer Vision</w:t>
            </w:r>
          </w:p>
        </w:tc>
        <w:tc>
          <w:tcPr>
            <w:tcW w:type="dxa" w:w="2076"/>
          </w:tcPr>
          <w:p>
            <w:pPr>
              <w:jc w:val="center"/>
            </w:pPr>
            <w:r/>
            <w:r>
              <w:rPr>
                <w:rFonts w:ascii="Times New Roman" w:hAnsi="Times New Roman"/>
                <w:b w:val="0"/>
                <w:sz w:val="20"/>
              </w:rPr>
              <w:t>3</w:t>
            </w:r>
          </w:p>
        </w:tc>
        <w:tc>
          <w:tcPr>
            <w:tcW w:type="dxa" w:w="2076"/>
          </w:tcPr>
          <w:p>
            <w:pPr>
              <w:jc w:val="center"/>
            </w:pPr>
            <w:r/>
            <w:r>
              <w:rPr>
                <w:rFonts w:ascii="Times New Roman" w:hAnsi="Times New Roman"/>
                <w:b w:val="0"/>
                <w:sz w:val="20"/>
              </w:rPr>
              <w:t>4</w:t>
            </w:r>
          </w:p>
        </w:tc>
      </w:tr>
      <w:tr>
        <w:tc>
          <w:tcPr>
            <w:tcW w:type="dxa" w:w="2076"/>
          </w:tcPr>
          <w:p>
            <w:pPr>
              <w:jc w:val="center"/>
            </w:pPr>
            <w:r/>
            <w:r>
              <w:rPr>
                <w:rFonts w:ascii="Times New Roman" w:hAnsi="Times New Roman"/>
                <w:b w:val="0"/>
                <w:sz w:val="20"/>
              </w:rPr>
              <w:t>4.</w:t>
            </w:r>
          </w:p>
        </w:tc>
        <w:tc>
          <w:tcPr>
            <w:tcW w:type="dxa" w:w="2076"/>
          </w:tcPr>
          <w:p>
            <w:r/>
            <w:r>
              <w:rPr>
                <w:rFonts w:ascii="Times New Roman" w:hAnsi="Times New Roman"/>
                <w:b w:val="0"/>
                <w:sz w:val="20"/>
              </w:rPr>
              <w:t>(CSC683) Advanced Algorithm Analysis</w:t>
            </w:r>
          </w:p>
        </w:tc>
        <w:tc>
          <w:tcPr>
            <w:tcW w:type="dxa" w:w="2076"/>
          </w:tcPr>
          <w:p>
            <w:pPr>
              <w:jc w:val="center"/>
            </w:pPr>
            <w:r/>
            <w:r>
              <w:rPr>
                <w:rFonts w:ascii="Times New Roman" w:hAnsi="Times New Roman"/>
                <w:b w:val="0"/>
                <w:sz w:val="20"/>
              </w:rPr>
              <w:t>3</w:t>
            </w:r>
          </w:p>
        </w:tc>
        <w:tc>
          <w:tcPr>
            <w:tcW w:type="dxa" w:w="2076"/>
          </w:tcPr>
          <w:p>
            <w:pPr>
              <w:jc w:val="center"/>
            </w:pPr>
            <w:r/>
            <w:r>
              <w:rPr>
                <w:rFonts w:ascii="Times New Roman" w:hAnsi="Times New Roman"/>
                <w:b w:val="0"/>
                <w:sz w:val="20"/>
              </w:rPr>
              <w:t>4</w:t>
            </w:r>
          </w:p>
        </w:tc>
      </w:tr>
      <w:tr>
        <w:tc>
          <w:tcPr>
            <w:tcW w:type="dxa" w:w="8304"/>
            <w:gridSpan w:val="4"/>
          </w:tcPr>
          <w:p>
            <w:r/>
            <w:r>
              <w:rPr>
                <w:rFonts w:ascii="Times New Roman" w:hAnsi="Times New Roman"/>
                <w:b/>
                <w:sz w:val="20"/>
              </w:rPr>
              <w:t>CGPA: 3.83</w:t>
            </w:r>
          </w:p>
        </w:tc>
      </w:tr>
      <w:tr>
        <w:tc>
          <w:tcPr>
            <w:tcW w:type="dxa" w:w="8304"/>
            <w:gridSpan w:val="4"/>
          </w:tcPr>
          <w:p>
            <w:r/>
            <w:r>
              <w:rPr>
                <w:rFonts w:ascii="Times New Roman" w:hAnsi="Times New Roman"/>
                <w:b/>
                <w:sz w:val="20"/>
              </w:rPr>
              <w:t>Result Semester: Fall 2025</w:t>
            </w:r>
          </w:p>
        </w:tc>
      </w:tr>
      <w:tr>
        <w:tc>
          <w:tcPr>
            <w:tcW w:type="dxa" w:w="2076"/>
          </w:tcPr>
          <w:p>
            <w:pPr>
              <w:jc w:val="center"/>
            </w:pPr>
            <w:r/>
            <w:r>
              <w:rPr>
                <w:rFonts w:ascii="Times New Roman" w:hAnsi="Times New Roman"/>
                <w:b w:val="0"/>
                <w:sz w:val="20"/>
              </w:rPr>
              <w:t>1.</w:t>
            </w:r>
          </w:p>
        </w:tc>
        <w:tc>
          <w:tcPr>
            <w:tcW w:type="dxa" w:w="2076"/>
          </w:tcPr>
          <w:p>
            <w:r/>
            <w:r>
              <w:rPr>
                <w:rFonts w:ascii="Times New Roman" w:hAnsi="Times New Roman"/>
                <w:b w:val="0"/>
                <w:sz w:val="20"/>
              </w:rPr>
              <w:t>(CSC512) Theory of Automata – II</w:t>
            </w:r>
          </w:p>
        </w:tc>
        <w:tc>
          <w:tcPr>
            <w:tcW w:type="dxa" w:w="2076"/>
          </w:tcPr>
          <w:p>
            <w:pPr>
              <w:jc w:val="center"/>
            </w:pPr>
            <w:r/>
            <w:r>
              <w:rPr>
                <w:rFonts w:ascii="Times New Roman" w:hAnsi="Times New Roman"/>
                <w:b w:val="0"/>
                <w:sz w:val="20"/>
              </w:rPr>
              <w:t>3</w:t>
            </w:r>
          </w:p>
        </w:tc>
        <w:tc>
          <w:tcPr>
            <w:tcW w:type="dxa" w:w="2076"/>
          </w:tcPr>
          <w:p>
            <w:pPr>
              <w:jc w:val="center"/>
            </w:pPr>
            <w:r/>
            <w:r>
              <w:rPr>
                <w:rFonts w:ascii="Times New Roman" w:hAnsi="Times New Roman"/>
                <w:b w:val="0"/>
                <w:sz w:val="20"/>
              </w:rPr>
              <w:t>3.66</w:t>
            </w:r>
          </w:p>
        </w:tc>
      </w:tr>
      <w:tr>
        <w:tc>
          <w:tcPr>
            <w:tcW w:type="dxa" w:w="2076"/>
          </w:tcPr>
          <w:p>
            <w:pPr>
              <w:jc w:val="center"/>
            </w:pPr>
            <w:r/>
            <w:r>
              <w:rPr>
                <w:rFonts w:ascii="Times New Roman" w:hAnsi="Times New Roman"/>
                <w:b w:val="0"/>
                <w:sz w:val="20"/>
              </w:rPr>
              <w:t>2.</w:t>
            </w:r>
          </w:p>
        </w:tc>
        <w:tc>
          <w:tcPr>
            <w:tcW w:type="dxa" w:w="2076"/>
          </w:tcPr>
          <w:p>
            <w:r/>
            <w:r>
              <w:rPr>
                <w:rFonts w:ascii="Times New Roman" w:hAnsi="Times New Roman"/>
                <w:b w:val="0"/>
                <w:sz w:val="20"/>
              </w:rPr>
              <w:t>(CSC602) Advanced Operating Systems</w:t>
            </w:r>
          </w:p>
        </w:tc>
        <w:tc>
          <w:tcPr>
            <w:tcW w:type="dxa" w:w="2076"/>
          </w:tcPr>
          <w:p>
            <w:pPr>
              <w:jc w:val="center"/>
            </w:pPr>
            <w:r/>
            <w:r>
              <w:rPr>
                <w:rFonts w:ascii="Times New Roman" w:hAnsi="Times New Roman"/>
                <w:b w:val="0"/>
                <w:sz w:val="20"/>
              </w:rPr>
              <w:t>3</w:t>
            </w:r>
          </w:p>
        </w:tc>
        <w:tc>
          <w:tcPr>
            <w:tcW w:type="dxa" w:w="2076"/>
          </w:tcPr>
          <w:p>
            <w:pPr>
              <w:jc w:val="center"/>
            </w:pPr>
            <w:r/>
            <w:r>
              <w:rPr>
                <w:rFonts w:ascii="Times New Roman" w:hAnsi="Times New Roman"/>
                <w:b w:val="0"/>
                <w:sz w:val="20"/>
              </w:rPr>
              <w:t>4</w:t>
            </w:r>
          </w:p>
        </w:tc>
      </w:tr>
      <w:tr>
        <w:tc>
          <w:tcPr>
            <w:tcW w:type="dxa" w:w="2076"/>
          </w:tcPr>
          <w:p>
            <w:pPr>
              <w:jc w:val="center"/>
            </w:pPr>
            <w:r/>
            <w:r>
              <w:rPr>
                <w:rFonts w:ascii="Times New Roman" w:hAnsi="Times New Roman"/>
                <w:b w:val="0"/>
                <w:sz w:val="20"/>
              </w:rPr>
              <w:t>3.</w:t>
            </w:r>
          </w:p>
        </w:tc>
        <w:tc>
          <w:tcPr>
            <w:tcW w:type="dxa" w:w="2076"/>
          </w:tcPr>
          <w:p>
            <w:r/>
            <w:r>
              <w:rPr>
                <w:rFonts w:ascii="Times New Roman" w:hAnsi="Times New Roman"/>
                <w:b w:val="0"/>
                <w:sz w:val="20"/>
              </w:rPr>
              <w:t>(CSC604) Advanced Computer Architecture</w:t>
            </w:r>
          </w:p>
        </w:tc>
        <w:tc>
          <w:tcPr>
            <w:tcW w:type="dxa" w:w="2076"/>
          </w:tcPr>
          <w:p>
            <w:pPr>
              <w:jc w:val="center"/>
            </w:pPr>
            <w:r/>
            <w:r>
              <w:rPr>
                <w:rFonts w:ascii="Times New Roman" w:hAnsi="Times New Roman"/>
                <w:b w:val="0"/>
                <w:sz w:val="20"/>
              </w:rPr>
              <w:t>3</w:t>
            </w:r>
          </w:p>
        </w:tc>
        <w:tc>
          <w:tcPr>
            <w:tcW w:type="dxa" w:w="2076"/>
          </w:tcPr>
          <w:p>
            <w:pPr>
              <w:jc w:val="center"/>
            </w:pPr>
            <w:r/>
            <w:r>
              <w:rPr>
                <w:rFonts w:ascii="Times New Roman" w:hAnsi="Times New Roman"/>
                <w:b w:val="0"/>
                <w:sz w:val="20"/>
              </w:rPr>
              <w:t>4</w:t>
            </w:r>
          </w:p>
        </w:tc>
      </w:tr>
      <w:tr>
        <w:tc>
          <w:tcPr>
            <w:tcW w:type="dxa" w:w="8304"/>
            <w:gridSpan w:val="4"/>
          </w:tcPr>
          <w:p>
            <w:r/>
            <w:r>
              <w:rPr>
                <w:rFonts w:ascii="Times New Roman" w:hAnsi="Times New Roman"/>
                <w:b/>
                <w:sz w:val="20"/>
              </w:rPr>
              <w:t>CGPA: 3.85</w:t>
            </w:r>
          </w:p>
        </w:tc>
      </w:tr>
    </w:tbl>
    <w:p/>
    <w:p>
      <w:pPr>
        <w:jc w:val="center"/>
      </w:pPr>
      <w:r>
        <w:rPr>
          <w:rFonts w:ascii="Times New Roman" w:hAnsi="Times New Roman"/>
          <w:i/>
          <w:sz w:val="20"/>
        </w:rPr>
        <w:t>Ayesha Khalil  |  CIIT/SP25-RCS-009/ATD  |  2026-05-31</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