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1559"/>
        <w:gridCol w:w="2126"/>
        <w:gridCol w:w="1560"/>
        <w:gridCol w:w="2268"/>
        <w:gridCol w:w="1984"/>
      </w:tblGrid>
      <w:tr w:rsidR="002D7F4B" w:rsidRPr="00633527" w14:paraId="4105A307" w14:textId="77777777" w:rsidTr="00050792">
        <w:tc>
          <w:tcPr>
            <w:tcW w:w="710" w:type="dxa"/>
          </w:tcPr>
          <w:p w14:paraId="02EFFA4E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Ref #</w:t>
            </w:r>
          </w:p>
        </w:tc>
        <w:tc>
          <w:tcPr>
            <w:tcW w:w="1559" w:type="dxa"/>
          </w:tcPr>
          <w:p w14:paraId="4B623F41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Author(s) &amp; Year</w:t>
            </w:r>
          </w:p>
        </w:tc>
        <w:tc>
          <w:tcPr>
            <w:tcW w:w="2126" w:type="dxa"/>
          </w:tcPr>
          <w:p w14:paraId="13216DF2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Methodology</w:t>
            </w:r>
          </w:p>
        </w:tc>
        <w:tc>
          <w:tcPr>
            <w:tcW w:w="1560" w:type="dxa"/>
          </w:tcPr>
          <w:p w14:paraId="0483926B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Dataset / Samples</w:t>
            </w:r>
          </w:p>
        </w:tc>
        <w:tc>
          <w:tcPr>
            <w:tcW w:w="2268" w:type="dxa"/>
          </w:tcPr>
          <w:p w14:paraId="4694BA82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Strength</w:t>
            </w:r>
          </w:p>
        </w:tc>
        <w:tc>
          <w:tcPr>
            <w:tcW w:w="1984" w:type="dxa"/>
          </w:tcPr>
          <w:p w14:paraId="52C3EA70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Limitation</w:t>
            </w:r>
          </w:p>
        </w:tc>
      </w:tr>
      <w:tr w:rsidR="002D7F4B" w:rsidRPr="00633527" w14:paraId="7272D304" w14:textId="77777777" w:rsidTr="00050792">
        <w:tc>
          <w:tcPr>
            <w:tcW w:w="710" w:type="dxa"/>
          </w:tcPr>
          <w:p w14:paraId="104C234E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[11]</w:t>
            </w:r>
          </w:p>
        </w:tc>
        <w:tc>
          <w:tcPr>
            <w:tcW w:w="1559" w:type="dxa"/>
          </w:tcPr>
          <w:p w14:paraId="53F3200E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Govinda, S., Brik, B., &amp;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Harous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, S. (2025)</w:t>
            </w:r>
          </w:p>
        </w:tc>
        <w:tc>
          <w:tcPr>
            <w:tcW w:w="2126" w:type="dxa"/>
          </w:tcPr>
          <w:p w14:paraId="3121A62F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Systematic literature review of DRL applications across transportation, robotics, and UAV systems</w:t>
            </w:r>
          </w:p>
        </w:tc>
        <w:tc>
          <w:tcPr>
            <w:tcW w:w="1560" w:type="dxa"/>
          </w:tcPr>
          <w:p w14:paraId="72F11E8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Survey of published DRL literature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t>no primary experimental data</w:t>
            </w:r>
          </w:p>
        </w:tc>
        <w:tc>
          <w:tcPr>
            <w:tcW w:w="2268" w:type="dxa"/>
          </w:tcPr>
          <w:p w14:paraId="272D2FD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Identifies lack of unified frameworks combining navigation efficiency and inter-agent coordination as a key open gap</w:t>
            </w:r>
          </w:p>
        </w:tc>
        <w:tc>
          <w:tcPr>
            <w:tcW w:w="1984" w:type="dxa"/>
          </w:tcPr>
          <w:p w14:paraId="0B91C65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Survey only; no new algorithm proposed; limited coverage of multi-agent 3D coordination scenarios</w:t>
            </w:r>
          </w:p>
        </w:tc>
      </w:tr>
      <w:tr w:rsidR="002D7F4B" w:rsidRPr="00633527" w14:paraId="36E6EA34" w14:textId="77777777" w:rsidTr="00050792">
        <w:tc>
          <w:tcPr>
            <w:tcW w:w="710" w:type="dxa"/>
          </w:tcPr>
          <w:p w14:paraId="3A16315F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[23]</w:t>
            </w:r>
          </w:p>
        </w:tc>
        <w:tc>
          <w:tcPr>
            <w:tcW w:w="1559" w:type="dxa"/>
          </w:tcPr>
          <w:p w14:paraId="0070D92A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Aggarwal, S. &amp; Kumar, N. (2020)</w:t>
            </w:r>
          </w:p>
        </w:tc>
        <w:tc>
          <w:tcPr>
            <w:tcW w:w="2126" w:type="dxa"/>
          </w:tcPr>
          <w:p w14:paraId="0447D6F6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Systematic review of path planning algorithms for UAVs: classical, evolutionary, and DRL-based methods</w:t>
            </w:r>
          </w:p>
        </w:tc>
        <w:tc>
          <w:tcPr>
            <w:tcW w:w="1560" w:type="dxa"/>
          </w:tcPr>
          <w:p w14:paraId="530E3F6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Review of published literature on UAV path planning across indoor, outdoor, 2D, and 3D environments</w:t>
            </w:r>
          </w:p>
        </w:tc>
        <w:tc>
          <w:tcPr>
            <w:tcW w:w="2268" w:type="dxa"/>
          </w:tcPr>
          <w:p w14:paraId="64A36C4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Comprehensive taxonomy; identifies DRL as most promising for dynamic real-time environments; covers failure cases of classical methods</w:t>
            </w:r>
          </w:p>
        </w:tc>
        <w:tc>
          <w:tcPr>
            <w:tcW w:w="1984" w:type="dxa"/>
          </w:tcPr>
          <w:p w14:paraId="6C7DF32D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Survey only; no new algorithm; many reviewed methods predated modern MARL advances and are now outdated</w:t>
            </w:r>
          </w:p>
        </w:tc>
      </w:tr>
      <w:tr w:rsidR="002D7F4B" w:rsidRPr="00633527" w14:paraId="7BC09809" w14:textId="77777777" w:rsidTr="00050792">
        <w:tc>
          <w:tcPr>
            <w:tcW w:w="710" w:type="dxa"/>
          </w:tcPr>
          <w:p w14:paraId="53B39319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[24]</w:t>
            </w:r>
          </w:p>
        </w:tc>
        <w:tc>
          <w:tcPr>
            <w:tcW w:w="1559" w:type="dxa"/>
          </w:tcPr>
          <w:p w14:paraId="2B1F077E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Oliehoek, F. A. &amp; Amato, C. (2016)</w:t>
            </w:r>
          </w:p>
        </w:tc>
        <w:tc>
          <w:tcPr>
            <w:tcW w:w="2126" w:type="dxa"/>
          </w:tcPr>
          <w:p w14:paraId="606F255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Formal mathematical framework for Decentralized Partially Observable Markov Decision Processes (Dec-POMDPs)</w:t>
            </w:r>
          </w:p>
        </w:tc>
        <w:tc>
          <w:tcPr>
            <w:tcW w:w="1560" w:type="dxa"/>
          </w:tcPr>
          <w:p w14:paraId="22F8802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Theoretical formalization; small illustrative examples</w:t>
            </w:r>
          </w:p>
        </w:tc>
        <w:tc>
          <w:tcPr>
            <w:tcW w:w="2268" w:type="dxa"/>
          </w:tcPr>
          <w:p w14:paraId="32583FB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Foundational framework for multi-agent coordination under partial observability; provides rigorous problem formulation used by virtually all MARL UAV papers</w:t>
            </w:r>
          </w:p>
        </w:tc>
        <w:tc>
          <w:tcPr>
            <w:tcW w:w="1984" w:type="dxa"/>
          </w:tcPr>
          <w:p w14:paraId="7E902AA2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Theoretical only; exact solutions are computationally intractable for large state spaces; scalability is an inherent structural limitation</w:t>
            </w:r>
          </w:p>
        </w:tc>
      </w:tr>
      <w:tr w:rsidR="002D7F4B" w:rsidRPr="00633527" w14:paraId="17C0D93D" w14:textId="77777777" w:rsidTr="00050792">
        <w:tc>
          <w:tcPr>
            <w:tcW w:w="710" w:type="dxa"/>
          </w:tcPr>
          <w:p w14:paraId="269595F8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[25]</w:t>
            </w:r>
          </w:p>
        </w:tc>
        <w:tc>
          <w:tcPr>
            <w:tcW w:w="1559" w:type="dxa"/>
          </w:tcPr>
          <w:p w14:paraId="53A718F2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Gronauer, A. &amp; Diepold, K. (2022)</w:t>
            </w:r>
          </w:p>
        </w:tc>
        <w:tc>
          <w:tcPr>
            <w:tcW w:w="2126" w:type="dxa"/>
          </w:tcPr>
          <w:p w14:paraId="4C74CB30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Comprehensive survey and taxonomy of multi-agent deep reinforcement learning methods, algorithms, environments, and open challenges</w:t>
            </w:r>
          </w:p>
        </w:tc>
        <w:tc>
          <w:tcPr>
            <w:tcW w:w="1560" w:type="dxa"/>
          </w:tcPr>
          <w:p w14:paraId="37A3D105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Survey of published MARL literature; no primary experimental data</w:t>
            </w:r>
          </w:p>
        </w:tc>
        <w:tc>
          <w:tcPr>
            <w:tcW w:w="2268" w:type="dxa"/>
          </w:tcPr>
          <w:p w14:paraId="22968BD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Identifies scalability and partial observability as the two major open challenges in MARL; provides complete taxonomy from independent learners to fully centralized methods</w:t>
            </w:r>
          </w:p>
        </w:tc>
        <w:tc>
          <w:tcPr>
            <w:tcW w:w="1984" w:type="dxa"/>
          </w:tcPr>
          <w:p w14:paraId="047F03C9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Survey only; field evolves rapidly so coverage of post-2021 work is limited; no empirical contribution</w:t>
            </w:r>
          </w:p>
        </w:tc>
      </w:tr>
      <w:tr w:rsidR="002D7F4B" w:rsidRPr="00633527" w14:paraId="4B07F183" w14:textId="77777777" w:rsidTr="00050792">
        <w:tc>
          <w:tcPr>
            <w:tcW w:w="710" w:type="dxa"/>
          </w:tcPr>
          <w:p w14:paraId="5C5ABADF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lastRenderedPageBreak/>
              <w:t>[1]</w:t>
            </w:r>
          </w:p>
        </w:tc>
        <w:tc>
          <w:tcPr>
            <w:tcW w:w="1559" w:type="dxa"/>
          </w:tcPr>
          <w:p w14:paraId="1FBFE25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Tang, J., Liang, Y., &amp; Li, K. (2024)</w:t>
            </w:r>
          </w:p>
        </w:tc>
        <w:tc>
          <w:tcPr>
            <w:tcW w:w="2126" w:type="dxa"/>
          </w:tcPr>
          <w:p w14:paraId="1F5A0715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Improved D3QN: Dueling Double DQN + Prioritized Experience Replay + heuristic action bias toward target</w:t>
            </w:r>
          </w:p>
        </w:tc>
        <w:tc>
          <w:tcPr>
            <w:tcW w:w="1560" w:type="dxa"/>
          </w:tcPr>
          <w:p w14:paraId="5BCE794F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Custom 2D grid sim; single UAV; static &amp; moving obstacles</w:t>
            </w:r>
          </w:p>
        </w:tc>
        <w:tc>
          <w:tcPr>
            <w:tcW w:w="2268" w:type="dxa"/>
          </w:tcPr>
          <w:p w14:paraId="1B10ACE2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Handles moving obstacles; PER speeds convergence; outperforms A* and RRT on path quality</w:t>
            </w:r>
          </w:p>
        </w:tc>
        <w:tc>
          <w:tcPr>
            <w:tcW w:w="1984" w:type="dxa"/>
          </w:tcPr>
          <w:p w14:paraId="69C5242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Single drone only; 2D; discrete 8-direction actions; no hardware validation</w:t>
            </w:r>
          </w:p>
        </w:tc>
      </w:tr>
      <w:tr w:rsidR="002D7F4B" w:rsidRPr="00633527" w14:paraId="001B5FA7" w14:textId="77777777" w:rsidTr="00050792">
        <w:tc>
          <w:tcPr>
            <w:tcW w:w="710" w:type="dxa"/>
          </w:tcPr>
          <w:p w14:paraId="0AC8FB2C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[2]</w:t>
            </w:r>
          </w:p>
        </w:tc>
        <w:tc>
          <w:tcPr>
            <w:tcW w:w="1559" w:type="dxa"/>
          </w:tcPr>
          <w:p w14:paraId="5B586C86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Kong, X., Zhou, Y., Li, Z., &amp; Wang, S. (2024)</w:t>
            </w:r>
          </w:p>
        </w:tc>
        <w:tc>
          <w:tcPr>
            <w:tcW w:w="2126" w:type="dxa"/>
          </w:tcPr>
          <w:p w14:paraId="6A482A9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TANet-TD3: Target Assignment Network + TD3; Hungarian algorithm supervision; POMDP formulation</w:t>
            </w:r>
          </w:p>
        </w:tc>
        <w:tc>
          <w:tcPr>
            <w:tcW w:w="1560" w:type="dxa"/>
          </w:tcPr>
          <w:p w14:paraId="6D96E1D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Custom 2D sim; 5 UAVs; moving targets; partial observability</w:t>
            </w:r>
          </w:p>
        </w:tc>
        <w:tc>
          <w:tcPr>
            <w:tcW w:w="2268" w:type="dxa"/>
          </w:tcPr>
          <w:p w14:paraId="50638A3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Jointly solves assignment + path planning; continuous actions; handles partial observability</w:t>
            </w:r>
          </w:p>
        </w:tc>
        <w:tc>
          <w:tcPr>
            <w:tcW w:w="1984" w:type="dxa"/>
          </w:tcPr>
          <w:p w14:paraId="15B9486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Only 5 drones; 2D only; no scaling mechanism; no hardware test</w:t>
            </w:r>
          </w:p>
        </w:tc>
      </w:tr>
      <w:tr w:rsidR="002D7F4B" w:rsidRPr="00633527" w14:paraId="18619FBE" w14:textId="77777777" w:rsidTr="00050792">
        <w:tc>
          <w:tcPr>
            <w:tcW w:w="710" w:type="dxa"/>
          </w:tcPr>
          <w:p w14:paraId="3531410A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[3]</w:t>
            </w:r>
          </w:p>
        </w:tc>
        <w:tc>
          <w:tcPr>
            <w:tcW w:w="1559" w:type="dxa"/>
          </w:tcPr>
          <w:p w14:paraId="3D98FF6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Jarray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, R.,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Zaghbani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, I., &amp;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Bouallègue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, S. (2025)</w:t>
            </w:r>
          </w:p>
        </w:tc>
        <w:tc>
          <w:tcPr>
            <w:tcW w:w="2126" w:type="dxa"/>
          </w:tcPr>
          <w:p w14:paraId="318A70A0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DQN + 3D CNN feature extractor; dynamic reward formula d3/(d1+d2) per step; dual Q-networks</w:t>
            </w:r>
          </w:p>
        </w:tc>
        <w:tc>
          <w:tcPr>
            <w:tcW w:w="1560" w:type="dxa"/>
          </w:tcPr>
          <w:p w14:paraId="270F870A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Custom 3D sim; 25 km² environment; 4 obstacle-density scenarios; single UAV</w:t>
            </w:r>
          </w:p>
        </w:tc>
        <w:tc>
          <w:tcPr>
            <w:tcW w:w="2268" w:type="dxa"/>
          </w:tcPr>
          <w:p w14:paraId="19BC471A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Only paper with genuine large-scale 3D environment; dense reward improves learning; beats PSO and GWO</w:t>
            </w:r>
          </w:p>
        </w:tc>
        <w:tc>
          <w:tcPr>
            <w:tcW w:w="1984" w:type="dxa"/>
          </w:tcPr>
          <w:p w14:paraId="67007A53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Single drone; static obstacles; discrete actions; no multi-agent extension</w:t>
            </w:r>
          </w:p>
        </w:tc>
      </w:tr>
      <w:tr w:rsidR="002D7F4B" w:rsidRPr="00633527" w14:paraId="591248F8" w14:textId="77777777" w:rsidTr="00050792">
        <w:tc>
          <w:tcPr>
            <w:tcW w:w="710" w:type="dxa"/>
          </w:tcPr>
          <w:p w14:paraId="7439EA7A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[4]</w:t>
            </w:r>
          </w:p>
        </w:tc>
        <w:tc>
          <w:tcPr>
            <w:tcW w:w="1559" w:type="dxa"/>
          </w:tcPr>
          <w:p w14:paraId="6CE53BD6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Zhang, Y. et al. (2025)</w:t>
            </w:r>
          </w:p>
        </w:tc>
        <w:tc>
          <w:tcPr>
            <w:tcW w:w="2126" w:type="dxa"/>
          </w:tcPr>
          <w:p w14:paraId="313561C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PO-WMFDDPG: DDPG + weighted mean-field + multi-head attention + CTDE; partial observability</w:t>
            </w:r>
          </w:p>
        </w:tc>
        <w:tc>
          <w:tcPr>
            <w:tcW w:w="1560" w:type="dxa"/>
          </w:tcPr>
          <w:p w14:paraId="67F4CB75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Custom 2D sim; swarm sizes 20–120 UAVs; static obstacles</w:t>
            </w:r>
          </w:p>
        </w:tc>
        <w:tc>
          <w:tcPr>
            <w:tcW w:w="2268" w:type="dxa"/>
          </w:tcPr>
          <w:p w14:paraId="352E423D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Scales to 120 drones; attention weighting is principled; &gt;90% success where baselines collapse</w:t>
            </w:r>
          </w:p>
        </w:tc>
        <w:tc>
          <w:tcPr>
            <w:tcW w:w="1984" w:type="dxa"/>
          </w:tcPr>
          <w:p w14:paraId="4AAFE5DE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2D only; static obstacles; homogeneous drones; ideal communication assumed</w:t>
            </w:r>
          </w:p>
        </w:tc>
      </w:tr>
      <w:tr w:rsidR="002D7F4B" w:rsidRPr="00633527" w14:paraId="1024815A" w14:textId="77777777" w:rsidTr="00050792">
        <w:tc>
          <w:tcPr>
            <w:tcW w:w="710" w:type="dxa"/>
          </w:tcPr>
          <w:p w14:paraId="2D862B56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[5]</w:t>
            </w:r>
          </w:p>
        </w:tc>
        <w:tc>
          <w:tcPr>
            <w:tcW w:w="1559" w:type="dxa"/>
          </w:tcPr>
          <w:p w14:paraId="0F394289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Poudel, S. &amp; Moh, S. (2026)</w:t>
            </w:r>
          </w:p>
        </w:tc>
        <w:tc>
          <w:tcPr>
            <w:tcW w:w="2126" w:type="dxa"/>
          </w:tcPr>
          <w:p w14:paraId="22BA2F6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RCTP: MAML meta-learning + MA-DDPG + resource-aware coalition formation +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LoS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NLoS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 communication modeling</w:t>
            </w:r>
          </w:p>
        </w:tc>
        <w:tc>
          <w:tcPr>
            <w:tcW w:w="1560" w:type="dxa"/>
          </w:tcPr>
          <w:p w14:paraId="5BB94DA5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Custom disaster-response sim; 10–30 heterogeneous UAVs; dynamic obstacles; drone failure scenarios</w:t>
            </w:r>
          </w:p>
        </w:tc>
        <w:tc>
          <w:tcPr>
            <w:tcW w:w="2268" w:type="dxa"/>
          </w:tcPr>
          <w:p w14:paraId="6EE49ADD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Handles heterogeneous drones, drone failures, intermittent communication, and energy constraints simultaneously; 30–40% faster missions</w:t>
            </w:r>
          </w:p>
        </w:tc>
        <w:tc>
          <w:tcPr>
            <w:tcW w:w="1984" w:type="dxa"/>
          </w:tcPr>
          <w:p w14:paraId="53160E0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Only 10–30 drones; 2D; no comparison to mean-field methods; MAML needs adaptation data</w:t>
            </w:r>
          </w:p>
        </w:tc>
      </w:tr>
      <w:tr w:rsidR="002D7F4B" w:rsidRPr="00633527" w14:paraId="090937DD" w14:textId="77777777" w:rsidTr="00050792">
        <w:tc>
          <w:tcPr>
            <w:tcW w:w="710" w:type="dxa"/>
          </w:tcPr>
          <w:p w14:paraId="638321A0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[6]</w:t>
            </w:r>
          </w:p>
        </w:tc>
        <w:tc>
          <w:tcPr>
            <w:tcW w:w="1559" w:type="dxa"/>
          </w:tcPr>
          <w:p w14:paraId="38ADDF5A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Xu, Y. et al. (2026)</w:t>
            </w:r>
          </w:p>
        </w:tc>
        <w:tc>
          <w:tcPr>
            <w:tcW w:w="2126" w:type="dxa"/>
          </w:tcPr>
          <w:p w14:paraId="015E4C93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MRLMN: IPPO + role-based reward decomposition +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behavioral constraints + GPT-4o offline knowledge distillation via Hungarian matching</w:t>
            </w:r>
          </w:p>
        </w:tc>
        <w:tc>
          <w:tcPr>
            <w:tcW w:w="1560" w:type="dxa"/>
          </w:tcPr>
          <w:p w14:paraId="19AC64D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Custom sim; 12–24 UAVs; 150 ground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users; 3 base stations; 6.76–14.44 km² area</w:t>
            </w:r>
          </w:p>
        </w:tc>
        <w:tc>
          <w:tcPr>
            <w:tcW w:w="2268" w:type="dxa"/>
          </w:tcPr>
          <w:p w14:paraId="05A46F5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52% higher data rate and 27% more user coverage than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baselines; principled LLM-MARL integration; thorough ablation</w:t>
            </w:r>
          </w:p>
        </w:tc>
        <w:tc>
          <w:tcPr>
            <w:tcW w:w="1984" w:type="dxa"/>
          </w:tcPr>
          <w:p w14:paraId="1050DBB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Simulation only; proprietary GPT-4o dependency;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no energy modeling; 2D horizontal movement only</w:t>
            </w:r>
          </w:p>
        </w:tc>
      </w:tr>
      <w:tr w:rsidR="002D7F4B" w:rsidRPr="00633527" w14:paraId="01B560EB" w14:textId="77777777" w:rsidTr="00050792">
        <w:tc>
          <w:tcPr>
            <w:tcW w:w="710" w:type="dxa"/>
          </w:tcPr>
          <w:p w14:paraId="41B0BC3D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lastRenderedPageBreak/>
              <w:t>[7]</w:t>
            </w:r>
          </w:p>
        </w:tc>
        <w:tc>
          <w:tcPr>
            <w:tcW w:w="1559" w:type="dxa"/>
          </w:tcPr>
          <w:p w14:paraId="3432530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Wang, Z. et al. (2025)</w:t>
            </w:r>
          </w:p>
        </w:tc>
        <w:tc>
          <w:tcPr>
            <w:tcW w:w="2126" w:type="dxa"/>
          </w:tcPr>
          <w:p w14:paraId="09A8142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RALLY: Two-stage LLM semantic consensus + RMIX role-value mixing (Commander/Coordinator/Executor); GPT-4o seeding; Qwen2.5-1.5B fine-tuned</w:t>
            </w:r>
          </w:p>
        </w:tc>
        <w:tc>
          <w:tcPr>
            <w:tcW w:w="1560" w:type="dxa"/>
          </w:tcPr>
          <w:p w14:paraId="1018EEA3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Multi-Agent Particle Environment (MPE); 8–11 drones; DS-CEFC task; one adversary drone</w:t>
            </w:r>
          </w:p>
        </w:tc>
        <w:tc>
          <w:tcPr>
            <w:tcW w:w="2268" w:type="dxa"/>
          </w:tcPr>
          <w:p w14:paraId="2787A2F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Generalizes to unseen swarm sizes without retraining; theoretical proof; end-to-end deployment pipeline under 5 GB</w:t>
            </w:r>
          </w:p>
        </w:tc>
        <w:tc>
          <w:tcPr>
            <w:tcW w:w="1984" w:type="dxa"/>
          </w:tcPr>
          <w:p w14:paraId="198440C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14.48s inference latency; qualitative SITL validation only; no real hardware; no historical memory</w:t>
            </w:r>
          </w:p>
        </w:tc>
      </w:tr>
      <w:tr w:rsidR="002D7F4B" w:rsidRPr="00633527" w14:paraId="532495A1" w14:textId="77777777" w:rsidTr="00050792">
        <w:tc>
          <w:tcPr>
            <w:tcW w:w="710" w:type="dxa"/>
          </w:tcPr>
          <w:p w14:paraId="2653D650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[8]</w:t>
            </w:r>
          </w:p>
        </w:tc>
        <w:tc>
          <w:tcPr>
            <w:tcW w:w="1559" w:type="dxa"/>
          </w:tcPr>
          <w:p w14:paraId="795184B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Khan, M. S., Khan, M. J., Sharif, M., &amp; Yasmin, S. (2026)</w:t>
            </w:r>
          </w:p>
        </w:tc>
        <w:tc>
          <w:tcPr>
            <w:tcW w:w="2126" w:type="dxa"/>
          </w:tcPr>
          <w:p w14:paraId="475D668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Systematic comparison of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CrewAI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AutoGen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LangChain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 +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LangGraph-CrewAI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 hybrid with complexity-aware routing</w:t>
            </w:r>
          </w:p>
        </w:tc>
        <w:tc>
          <w:tcPr>
            <w:tcW w:w="1560" w:type="dxa"/>
          </w:tcPr>
          <w:p w14:paraId="6533213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CREW-WILDFIRE benchmark; 100+ agents; 4 agent types; 17 task levels; 51 episodes per framework</w:t>
            </w:r>
          </w:p>
        </w:tc>
        <w:tc>
          <w:tcPr>
            <w:tcW w:w="2268" w:type="dxa"/>
          </w:tcPr>
          <w:p w14:paraId="758ECC9E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96.1% success at 76% lower token cost; first fair large-scale framework comparison; production-grade cost analysis</w:t>
            </w:r>
          </w:p>
        </w:tc>
        <w:tc>
          <w:tcPr>
            <w:tcW w:w="1984" w:type="dxa"/>
          </w:tcPr>
          <w:p w14:paraId="024CB0B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Wildfire domain only; hybrid validated with only 6 agents; routing threshold not formally ablated; 2.2s latency</w:t>
            </w:r>
          </w:p>
        </w:tc>
      </w:tr>
      <w:tr w:rsidR="002D7F4B" w:rsidRPr="00633527" w14:paraId="6C316298" w14:textId="77777777" w:rsidTr="00050792">
        <w:tc>
          <w:tcPr>
            <w:tcW w:w="710" w:type="dxa"/>
          </w:tcPr>
          <w:p w14:paraId="3D8D14F6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[9]</w:t>
            </w:r>
          </w:p>
        </w:tc>
        <w:tc>
          <w:tcPr>
            <w:tcW w:w="1559" w:type="dxa"/>
          </w:tcPr>
          <w:p w14:paraId="6869F92E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Rezaee, M. R., Abdul Hamid, N. A. W., Hussin, M., &amp;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Zukarnain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, Z. A. (2026)</w:t>
            </w:r>
          </w:p>
        </w:tc>
        <w:tc>
          <w:tcPr>
            <w:tcW w:w="2126" w:type="dxa"/>
          </w:tcPr>
          <w:p w14:paraId="4489556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IGAT-MARL: Conflict-driven sparse interaction graph + Improved Graph Attention Network (stacked double-attention, residual connections) + curriculum + transfer learning</w:t>
            </w:r>
          </w:p>
        </w:tc>
        <w:tc>
          <w:tcPr>
            <w:tcW w:w="1560" w:type="dxa"/>
          </w:tcPr>
          <w:p w14:paraId="639EBF70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BlueSky air traffic simulator (BADA); 3–10 fixed-wing UAVs; conflict-guaranteed episodes</w:t>
            </w:r>
          </w:p>
        </w:tc>
        <w:tc>
          <w:tcPr>
            <w:tcW w:w="2268" w:type="dxa"/>
          </w:tcPr>
          <w:p w14:paraId="5C231629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17% higher reward; 10% fewer dangerous separation events; 44% fewer interaction edges; comprehensive ablation</w:t>
            </w:r>
          </w:p>
        </w:tc>
        <w:tc>
          <w:tcPr>
            <w:tcW w:w="1984" w:type="dxa"/>
          </w:tcPr>
          <w:p w14:paraId="4916010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Fixed-wing</w:t>
            </w:r>
            <w:proofErr w:type="gram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 only; 3 discrete heading actions; simulation only; no target assignment component</w:t>
            </w:r>
          </w:p>
        </w:tc>
      </w:tr>
      <w:tr w:rsidR="002D7F4B" w:rsidRPr="00633527" w14:paraId="00288124" w14:textId="77777777" w:rsidTr="00050792">
        <w:tc>
          <w:tcPr>
            <w:tcW w:w="710" w:type="dxa"/>
          </w:tcPr>
          <w:p w14:paraId="3DA05C40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[10]</w:t>
            </w:r>
          </w:p>
        </w:tc>
        <w:tc>
          <w:tcPr>
            <w:tcW w:w="1559" w:type="dxa"/>
          </w:tcPr>
          <w:p w14:paraId="4BFFE6D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Sheng, Y., Xie, X., Liu,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H., &amp; Li, J. (2026)</w:t>
            </w:r>
          </w:p>
        </w:tc>
        <w:tc>
          <w:tcPr>
            <w:tcW w:w="2126" w:type="dxa"/>
          </w:tcPr>
          <w:p w14:paraId="33473C3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DA-MAPPO: Per-step Hungarian assignment + assignment-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augmented observation vector + MAPPO + hierarchical 4-tier reward + curriculum training</w:t>
            </w:r>
          </w:p>
        </w:tc>
        <w:tc>
          <w:tcPr>
            <w:tcW w:w="1560" w:type="dxa"/>
          </w:tcPr>
          <w:p w14:paraId="4EDDE4B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Custom sim; 3 UAVs; 3 dynamic targets; 30–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50 static obstacles; 3 difficulty levels</w:t>
            </w:r>
          </w:p>
        </w:tc>
        <w:tc>
          <w:tcPr>
            <w:tcW w:w="2268" w:type="dxa"/>
          </w:tcPr>
          <w:p w14:paraId="319C3F69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90–99% mission success; 25pp above best baseline; robust to 50% packet loss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and 6-step delay; runs on Jetson Orin Nano</w:t>
            </w:r>
          </w:p>
        </w:tc>
        <w:tc>
          <w:tcPr>
            <w:tcW w:w="1984" w:type="dxa"/>
          </w:tcPr>
          <w:p w14:paraId="52396D72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Only 3 drones tested; 2D; static obstacles; all-or-nothing success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metric; no heterogeneous drones</w:t>
            </w:r>
          </w:p>
        </w:tc>
      </w:tr>
      <w:tr w:rsidR="002D7F4B" w:rsidRPr="00633527" w14:paraId="069FC4E5" w14:textId="77777777" w:rsidTr="00050792">
        <w:tc>
          <w:tcPr>
            <w:tcW w:w="710" w:type="dxa"/>
          </w:tcPr>
          <w:p w14:paraId="2CEEE393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lastRenderedPageBreak/>
              <w:t>[12]</w:t>
            </w:r>
          </w:p>
        </w:tc>
        <w:tc>
          <w:tcPr>
            <w:tcW w:w="1559" w:type="dxa"/>
          </w:tcPr>
          <w:p w14:paraId="639D394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Mnih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, V. et al. (2015)</w:t>
            </w:r>
          </w:p>
        </w:tc>
        <w:tc>
          <w:tcPr>
            <w:tcW w:w="2126" w:type="dxa"/>
          </w:tcPr>
          <w:p w14:paraId="21ABF7FF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DQN: CNN-based Q-network + experience replay + target network; trained end-to-end from raw pixel input</w:t>
            </w:r>
          </w:p>
        </w:tc>
        <w:tc>
          <w:tcPr>
            <w:tcW w:w="1560" w:type="dxa"/>
          </w:tcPr>
          <w:p w14:paraId="5D55ADE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49 Atari 2600 games (visual pixel input, 210x160 RGB frames)</w:t>
            </w:r>
          </w:p>
        </w:tc>
        <w:tc>
          <w:tcPr>
            <w:tcW w:w="2268" w:type="dxa"/>
          </w:tcPr>
          <w:p w14:paraId="3AFC6C1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First end-to-end DRL from raw pixels; achieved human-level on 29/49 games; introduced experience replay and target network; foundational to all subsequent DQN variants</w:t>
            </w:r>
          </w:p>
        </w:tc>
        <w:tc>
          <w:tcPr>
            <w:tcW w:w="1984" w:type="dxa"/>
          </w:tcPr>
          <w:p w14:paraId="00CAFED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Overestimates action values (Q-value bias); discrete actions only; sample inefficient; single task per model</w:t>
            </w:r>
          </w:p>
        </w:tc>
      </w:tr>
      <w:tr w:rsidR="002D7F4B" w:rsidRPr="00633527" w14:paraId="0BCFC247" w14:textId="77777777" w:rsidTr="00050792">
        <w:tc>
          <w:tcPr>
            <w:tcW w:w="710" w:type="dxa"/>
          </w:tcPr>
          <w:p w14:paraId="3A51348C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[13]</w:t>
            </w:r>
          </w:p>
        </w:tc>
        <w:tc>
          <w:tcPr>
            <w:tcW w:w="1559" w:type="dxa"/>
          </w:tcPr>
          <w:p w14:paraId="5859BC6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Van Hasselt, H., Guez, A., &amp; Silver, D. (2016)</w:t>
            </w:r>
          </w:p>
        </w:tc>
        <w:tc>
          <w:tcPr>
            <w:tcW w:w="2126" w:type="dxa"/>
          </w:tcPr>
          <w:p w14:paraId="059DC65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Double DQN: decouples action selection and action evaluation using online and target networks to reduce overestimation bias</w:t>
            </w:r>
          </w:p>
        </w:tc>
        <w:tc>
          <w:tcPr>
            <w:tcW w:w="1560" w:type="dxa"/>
          </w:tcPr>
          <w:p w14:paraId="10CEA1F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Atari 2600 games (same benchmark as DQN)</w:t>
            </w:r>
          </w:p>
        </w:tc>
        <w:tc>
          <w:tcPr>
            <w:tcW w:w="2268" w:type="dxa"/>
          </w:tcPr>
          <w:p w14:paraId="6227661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Reduces systematic Q-value overestimation; improves stability and final performance over DQN on most Atari games</w:t>
            </w:r>
          </w:p>
        </w:tc>
        <w:tc>
          <w:tcPr>
            <w:tcW w:w="1984" w:type="dxa"/>
          </w:tcPr>
          <w:p w14:paraId="1C83EAB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Discrete action spaces only; does not address data efficiency or multi-step credit assignment</w:t>
            </w:r>
          </w:p>
        </w:tc>
      </w:tr>
      <w:tr w:rsidR="002D7F4B" w:rsidRPr="00633527" w14:paraId="56CBFAB3" w14:textId="77777777" w:rsidTr="00050792">
        <w:tc>
          <w:tcPr>
            <w:tcW w:w="710" w:type="dxa"/>
          </w:tcPr>
          <w:p w14:paraId="3C5CCAD3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[14]</w:t>
            </w:r>
          </w:p>
        </w:tc>
        <w:tc>
          <w:tcPr>
            <w:tcW w:w="1559" w:type="dxa"/>
          </w:tcPr>
          <w:p w14:paraId="4EDDE0D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Wang, Z. et al. (2016)</w:t>
            </w:r>
          </w:p>
        </w:tc>
        <w:tc>
          <w:tcPr>
            <w:tcW w:w="2126" w:type="dxa"/>
          </w:tcPr>
          <w:p w14:paraId="31083A7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Dueling Network: separates state-value stream V(s) and advantage stream A(</w:t>
            </w:r>
            <w:proofErr w:type="spellStart"/>
            <w:proofErr w:type="gram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s,a</w:t>
            </w:r>
            <w:proofErr w:type="spellEnd"/>
            <w:proofErr w:type="gram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); combined via aggregation layer</w:t>
            </w:r>
          </w:p>
        </w:tc>
        <w:tc>
          <w:tcPr>
            <w:tcW w:w="1560" w:type="dxa"/>
          </w:tcPr>
          <w:p w14:paraId="23B74883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Atari 2600 games</w:t>
            </w:r>
          </w:p>
        </w:tc>
        <w:tc>
          <w:tcPr>
            <w:tcW w:w="2268" w:type="dxa"/>
          </w:tcPr>
          <w:p w14:paraId="4965914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Better policy evaluation in states where action choice matters less; improves generalization; compatible with any DQN variant</w:t>
            </w:r>
          </w:p>
        </w:tc>
        <w:tc>
          <w:tcPr>
            <w:tcW w:w="1984" w:type="dxa"/>
          </w:tcPr>
          <w:p w14:paraId="5883E3EE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Discrete action </w:t>
            </w:r>
            <w:proofErr w:type="gram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space;</w:t>
            </w:r>
            <w:proofErr w:type="gram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 benefit most visible when many actions have similar values; no direct multi-agent extension</w:t>
            </w:r>
          </w:p>
        </w:tc>
      </w:tr>
      <w:tr w:rsidR="002D7F4B" w:rsidRPr="00633527" w14:paraId="0E3B2657" w14:textId="77777777" w:rsidTr="00050792">
        <w:tc>
          <w:tcPr>
            <w:tcW w:w="710" w:type="dxa"/>
          </w:tcPr>
          <w:p w14:paraId="6A5D8BAD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[15]</w:t>
            </w:r>
          </w:p>
        </w:tc>
        <w:tc>
          <w:tcPr>
            <w:tcW w:w="1559" w:type="dxa"/>
          </w:tcPr>
          <w:p w14:paraId="21C46635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Schaul, T., Quan, J., 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Antonoglou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, I., &amp; Silver, D. (2016)</w:t>
            </w:r>
          </w:p>
        </w:tc>
        <w:tc>
          <w:tcPr>
            <w:tcW w:w="2126" w:type="dxa"/>
          </w:tcPr>
          <w:p w14:paraId="0691CA7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Prioritized Experience Replay (PER): samples replay buffer by TD-error priority; proportional and rank-based variants; </w:t>
            </w: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importance sampling correction</w:t>
            </w:r>
          </w:p>
        </w:tc>
        <w:tc>
          <w:tcPr>
            <w:tcW w:w="1560" w:type="dxa"/>
          </w:tcPr>
          <w:p w14:paraId="2211B89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Atari 2600 games</w:t>
            </w:r>
          </w:p>
        </w:tc>
        <w:tc>
          <w:tcPr>
            <w:tcW w:w="2268" w:type="dxa"/>
          </w:tcPr>
          <w:p w14:paraId="1CE4100A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Learns faster from rare but informative transitions; significantly improves sample efficiency over uniform replay</w:t>
            </w:r>
          </w:p>
        </w:tc>
        <w:tc>
          <w:tcPr>
            <w:tcW w:w="1984" w:type="dxa"/>
          </w:tcPr>
          <w:p w14:paraId="7448218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Adds computational overhead for priority updates; sensitive to alpha and beta hyperparameters</w:t>
            </w:r>
          </w:p>
        </w:tc>
      </w:tr>
      <w:tr w:rsidR="002D7F4B" w:rsidRPr="00633527" w14:paraId="71511B27" w14:textId="77777777" w:rsidTr="00050792">
        <w:tc>
          <w:tcPr>
            <w:tcW w:w="710" w:type="dxa"/>
          </w:tcPr>
          <w:p w14:paraId="0E3A9979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[16]</w:t>
            </w:r>
          </w:p>
        </w:tc>
        <w:tc>
          <w:tcPr>
            <w:tcW w:w="1559" w:type="dxa"/>
          </w:tcPr>
          <w:p w14:paraId="791E5D7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Schulman, J., Wolski, F., Dhariwal, A., Radford, A., &amp; Klimov, O. (2017)</w:t>
            </w:r>
          </w:p>
        </w:tc>
        <w:tc>
          <w:tcPr>
            <w:tcW w:w="2126" w:type="dxa"/>
          </w:tcPr>
          <w:p w14:paraId="1CF4AC5F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PPO: clipped surrogate objective to limit policy update magnitude; supports multiple minibatch epochs; no trust-region constraints needed</w:t>
            </w:r>
          </w:p>
        </w:tc>
        <w:tc>
          <w:tcPr>
            <w:tcW w:w="1560" w:type="dxa"/>
          </w:tcPr>
          <w:p w14:paraId="7185820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MuJoCo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 continuous control; Atari games; robotics simulations</w:t>
            </w:r>
          </w:p>
        </w:tc>
        <w:tc>
          <w:tcPr>
            <w:tcW w:w="2268" w:type="dxa"/>
          </w:tcPr>
          <w:p w14:paraId="29D9B490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Simple to implement; stable training; works for continuous and discrete actions; widely adopted as standard baseline</w:t>
            </w:r>
          </w:p>
        </w:tc>
        <w:tc>
          <w:tcPr>
            <w:tcW w:w="1984" w:type="dxa"/>
          </w:tcPr>
          <w:p w14:paraId="1FF0BB60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On-policy and sample inefficient; clip parameter requires tuning; slower convergence than off-policy methods in complex settings</w:t>
            </w:r>
          </w:p>
        </w:tc>
      </w:tr>
      <w:tr w:rsidR="002D7F4B" w:rsidRPr="00633527" w14:paraId="58743751" w14:textId="77777777" w:rsidTr="00050792">
        <w:tc>
          <w:tcPr>
            <w:tcW w:w="710" w:type="dxa"/>
          </w:tcPr>
          <w:p w14:paraId="4F8B99BC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[17]</w:t>
            </w:r>
          </w:p>
        </w:tc>
        <w:tc>
          <w:tcPr>
            <w:tcW w:w="1559" w:type="dxa"/>
          </w:tcPr>
          <w:p w14:paraId="399590C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Lowe, R. et al. (2017)</w:t>
            </w:r>
          </w:p>
        </w:tc>
        <w:tc>
          <w:tcPr>
            <w:tcW w:w="2126" w:type="dxa"/>
          </w:tcPr>
          <w:p w14:paraId="39E0B13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MADDPG: CTDE with centralized critic on joint state and decentralized actor using local observations only; extends DDPG to multi-agent</w:t>
            </w:r>
          </w:p>
        </w:tc>
        <w:tc>
          <w:tcPr>
            <w:tcW w:w="1560" w:type="dxa"/>
          </w:tcPr>
          <w:p w14:paraId="7BFC1D70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Multi-Agent Particle Environment (MPE); cooperative, competitive, and mixed scenarios</w:t>
            </w:r>
          </w:p>
        </w:tc>
        <w:tc>
          <w:tcPr>
            <w:tcW w:w="2268" w:type="dxa"/>
          </w:tcPr>
          <w:p w14:paraId="12025F4E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Enables stable multi-agent training; handles cooperative and competitive tasks; decentralized execution</w:t>
            </w:r>
          </w:p>
        </w:tc>
        <w:tc>
          <w:tcPr>
            <w:tcW w:w="1984" w:type="dxa"/>
          </w:tcPr>
          <w:p w14:paraId="000EF25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Critic input size grows with number of agents; struggles with large swarms; limited to continuous action spaces</w:t>
            </w:r>
          </w:p>
        </w:tc>
      </w:tr>
      <w:tr w:rsidR="002D7F4B" w:rsidRPr="00633527" w14:paraId="0AA200A3" w14:textId="77777777" w:rsidTr="00050792">
        <w:tc>
          <w:tcPr>
            <w:tcW w:w="710" w:type="dxa"/>
          </w:tcPr>
          <w:p w14:paraId="7D7B0959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[18]</w:t>
            </w:r>
          </w:p>
        </w:tc>
        <w:tc>
          <w:tcPr>
            <w:tcW w:w="1559" w:type="dxa"/>
          </w:tcPr>
          <w:p w14:paraId="74228A86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Fujimoto, S., Hoof, H., &amp; Meger, D. (2018)</w:t>
            </w:r>
          </w:p>
        </w:tc>
        <w:tc>
          <w:tcPr>
            <w:tcW w:w="2126" w:type="dxa"/>
          </w:tcPr>
          <w:p w14:paraId="6C2925C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TD3: Twin Delayed DDPG with clipped double Q-learning + delayed policy updates + target policy smoothing to reduce overestimation in actor-critic</w:t>
            </w:r>
          </w:p>
        </w:tc>
        <w:tc>
          <w:tcPr>
            <w:tcW w:w="1560" w:type="dxa"/>
          </w:tcPr>
          <w:p w14:paraId="019BEB57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MuJoCo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 xml:space="preserve"> continuous control benchmarks (</w:t>
            </w: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HalfCheetah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, Hopper, Walker2D, Ant)</w:t>
            </w:r>
          </w:p>
        </w:tc>
        <w:tc>
          <w:tcPr>
            <w:tcW w:w="2268" w:type="dxa"/>
          </w:tcPr>
          <w:p w14:paraId="55A00F3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Reduces overestimation in actor-critic methods; more stable than DDPG; state-of-the-art on continuous control tasks</w:t>
            </w:r>
          </w:p>
        </w:tc>
        <w:tc>
          <w:tcPr>
            <w:tcW w:w="1984" w:type="dxa"/>
          </w:tcPr>
          <w:p w14:paraId="7873B98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Off-policy</w:t>
            </w:r>
            <w:proofErr w:type="gram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; requires large replay buffer; harder to extend to cooperative multi-agent settings directly</w:t>
            </w:r>
          </w:p>
        </w:tc>
      </w:tr>
      <w:tr w:rsidR="002D7F4B" w:rsidRPr="00633527" w14:paraId="35E3347D" w14:textId="77777777" w:rsidTr="00050792">
        <w:tc>
          <w:tcPr>
            <w:tcW w:w="710" w:type="dxa"/>
          </w:tcPr>
          <w:p w14:paraId="03FF195A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[19]</w:t>
            </w:r>
          </w:p>
        </w:tc>
        <w:tc>
          <w:tcPr>
            <w:tcW w:w="1559" w:type="dxa"/>
          </w:tcPr>
          <w:p w14:paraId="6C7C44A5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Rashid, T. et al. (2018)</w:t>
            </w:r>
          </w:p>
        </w:tc>
        <w:tc>
          <w:tcPr>
            <w:tcW w:w="2126" w:type="dxa"/>
          </w:tcPr>
          <w:p w14:paraId="76625B8F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QMIX: monotonic mixing network factorizes joint Q-value into per-agent utilities; CTDE; enforces Individual-Global-Max (IGM) property</w:t>
            </w:r>
          </w:p>
        </w:tc>
        <w:tc>
          <w:tcPr>
            <w:tcW w:w="1560" w:type="dxa"/>
          </w:tcPr>
          <w:p w14:paraId="365F7343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StarCraft Multi-Agent Challenge (SMAC); cooperative unit micromanagement tasks</w:t>
            </w:r>
          </w:p>
        </w:tc>
        <w:tc>
          <w:tcPr>
            <w:tcW w:w="2268" w:type="dxa"/>
          </w:tcPr>
          <w:p w14:paraId="06D5A3FD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Handles cooperative multi-agent tasks well; monotonicity ensures consistent joint action selection; outperforms IQL and VDN</w:t>
            </w:r>
          </w:p>
        </w:tc>
        <w:tc>
          <w:tcPr>
            <w:tcW w:w="1984" w:type="dxa"/>
          </w:tcPr>
          <w:p w14:paraId="4D00E1CC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Monotonicity constraint limits representational capacity; cannot model non-monotonic agent interactions</w:t>
            </w:r>
          </w:p>
        </w:tc>
      </w:tr>
      <w:tr w:rsidR="002D7F4B" w:rsidRPr="00633527" w14:paraId="5969F663" w14:textId="77777777" w:rsidTr="00050792">
        <w:tc>
          <w:tcPr>
            <w:tcW w:w="710" w:type="dxa"/>
          </w:tcPr>
          <w:p w14:paraId="68617008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lastRenderedPageBreak/>
              <w:t>[20]</w:t>
            </w:r>
          </w:p>
        </w:tc>
        <w:tc>
          <w:tcPr>
            <w:tcW w:w="1559" w:type="dxa"/>
          </w:tcPr>
          <w:p w14:paraId="7D13CDD3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Yang, Y. et al. (2018)</w:t>
            </w:r>
          </w:p>
        </w:tc>
        <w:tc>
          <w:tcPr>
            <w:tcW w:w="2126" w:type="dxa"/>
          </w:tcPr>
          <w:p w14:paraId="7BCC1F92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Mean Field MARL: approximates interactions between one agent and all others as interaction with a single mean-field agent; reduces pairwise complexity from O(N^2) to O(N)</w:t>
            </w:r>
          </w:p>
        </w:tc>
        <w:tc>
          <w:tcPr>
            <w:tcW w:w="1560" w:type="dxa"/>
          </w:tcPr>
          <w:p w14:paraId="60E410E8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Ising model; network routing; battle game with up to 200 agents</w:t>
            </w:r>
          </w:p>
        </w:tc>
        <w:tc>
          <w:tcPr>
            <w:tcW w:w="2268" w:type="dxa"/>
          </w:tcPr>
          <w:p w14:paraId="286991A3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Scales to large agent populations; linear complexity; enables coordination where pairwise MARL fails computationally</w:t>
            </w:r>
          </w:p>
        </w:tc>
        <w:tc>
          <w:tcPr>
            <w:tcW w:w="1984" w:type="dxa"/>
          </w:tcPr>
          <w:p w14:paraId="7504EFA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Mean-field loses individual agent information; accuracy degrades in heterogeneous or spatially sparse distributions</w:t>
            </w:r>
          </w:p>
        </w:tc>
      </w:tr>
      <w:tr w:rsidR="002D7F4B" w:rsidRPr="00633527" w14:paraId="1C9DDB50" w14:textId="77777777" w:rsidTr="00050792">
        <w:tc>
          <w:tcPr>
            <w:tcW w:w="710" w:type="dxa"/>
          </w:tcPr>
          <w:p w14:paraId="511E1A64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[21]</w:t>
            </w:r>
          </w:p>
        </w:tc>
        <w:tc>
          <w:tcPr>
            <w:tcW w:w="1559" w:type="dxa"/>
          </w:tcPr>
          <w:p w14:paraId="0AE753C9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Yu, C. et al. (2022)</w:t>
            </w:r>
          </w:p>
        </w:tc>
        <w:tc>
          <w:tcPr>
            <w:tcW w:w="2126" w:type="dxa"/>
          </w:tcPr>
          <w:p w14:paraId="6785F73F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MAPPO: PPO adapted for cooperative MARL with shared centralized critic on global state; value normalization; clipped updates</w:t>
            </w:r>
          </w:p>
        </w:tc>
        <w:tc>
          <w:tcPr>
            <w:tcW w:w="1560" w:type="dxa"/>
          </w:tcPr>
          <w:p w14:paraId="196B12B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StarCraft Multi-Agent Challenge (SMAC); Multi-Agent Particle Environment (MPE)</w:t>
            </w:r>
          </w:p>
        </w:tc>
        <w:tc>
          <w:tcPr>
            <w:tcW w:w="2268" w:type="dxa"/>
          </w:tcPr>
          <w:p w14:paraId="3BB8CBDF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Surprisingly competitive with QMIX despite simplicity; stable training; reproducible; adopted as standard MARL baseline in recent UAV work</w:t>
            </w:r>
          </w:p>
        </w:tc>
        <w:tc>
          <w:tcPr>
            <w:tcW w:w="1984" w:type="dxa"/>
          </w:tcPr>
          <w:p w14:paraId="3B71ED00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On-policy and sample inefficient; requires global state for critic during training; performance gap narrows with larger teams</w:t>
            </w:r>
          </w:p>
        </w:tc>
      </w:tr>
      <w:tr w:rsidR="002D7F4B" w:rsidRPr="00633527" w14:paraId="40BC2F8F" w14:textId="77777777" w:rsidTr="00050792">
        <w:tc>
          <w:tcPr>
            <w:tcW w:w="710" w:type="dxa"/>
          </w:tcPr>
          <w:p w14:paraId="6EF35C62" w14:textId="77777777" w:rsidR="002D7F4B" w:rsidRPr="00633527" w:rsidRDefault="002D7F4B" w:rsidP="000507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b/>
                <w:sz w:val="24"/>
                <w:szCs w:val="24"/>
              </w:rPr>
              <w:t>[22]</w:t>
            </w:r>
          </w:p>
        </w:tc>
        <w:tc>
          <w:tcPr>
            <w:tcW w:w="1559" w:type="dxa"/>
          </w:tcPr>
          <w:p w14:paraId="092C1105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33527">
              <w:rPr>
                <w:rFonts w:asciiTheme="majorBidi" w:hAnsiTheme="majorBidi" w:cstheme="majorBidi"/>
                <w:sz w:val="24"/>
                <w:szCs w:val="24"/>
              </w:rPr>
              <w:t>Sunehag</w:t>
            </w:r>
            <w:proofErr w:type="spellEnd"/>
            <w:r w:rsidRPr="00633527">
              <w:rPr>
                <w:rFonts w:asciiTheme="majorBidi" w:hAnsiTheme="majorBidi" w:cstheme="majorBidi"/>
                <w:sz w:val="24"/>
                <w:szCs w:val="24"/>
              </w:rPr>
              <w:t>, P. et al. (2018)</w:t>
            </w:r>
          </w:p>
        </w:tc>
        <w:tc>
          <w:tcPr>
            <w:tcW w:w="2126" w:type="dxa"/>
          </w:tcPr>
          <w:p w14:paraId="7A959234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VDN: Value Decomposition Networks — joint Q-value decomposed as additive sum of per-agent Q-values; CTDE; simplest value decomposition</w:t>
            </w:r>
          </w:p>
        </w:tc>
        <w:tc>
          <w:tcPr>
            <w:tcW w:w="1560" w:type="dxa"/>
          </w:tcPr>
          <w:p w14:paraId="5716C73B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Decentralized cooperative matrix games; StarCraft-style cooperative tasks</w:t>
            </w:r>
          </w:p>
        </w:tc>
        <w:tc>
          <w:tcPr>
            <w:tcW w:w="2268" w:type="dxa"/>
          </w:tcPr>
          <w:p w14:paraId="1FE60351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Simple and tractable; enables cooperative training with decentralized execution; outperforms independent Q-learning</w:t>
            </w:r>
          </w:p>
        </w:tc>
        <w:tc>
          <w:tcPr>
            <w:tcW w:w="1984" w:type="dxa"/>
          </w:tcPr>
          <w:p w14:paraId="561A0EF2" w14:textId="77777777" w:rsidR="002D7F4B" w:rsidRPr="00633527" w:rsidRDefault="002D7F4B" w:rsidP="000507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3527">
              <w:rPr>
                <w:rFonts w:asciiTheme="majorBidi" w:hAnsiTheme="majorBidi" w:cstheme="majorBidi"/>
                <w:sz w:val="24"/>
                <w:szCs w:val="24"/>
              </w:rPr>
              <w:t>Additivity assumption is too restrictive for complex inter-agent dependencies; QMIX generalizes VDN and outperforms it</w:t>
            </w:r>
          </w:p>
        </w:tc>
      </w:tr>
    </w:tbl>
    <w:p w14:paraId="256F48D2" w14:textId="77777777" w:rsidR="00B4526B" w:rsidRDefault="00B4526B"/>
    <w:sectPr w:rsidR="00B45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4B"/>
    <w:rsid w:val="002D7F4B"/>
    <w:rsid w:val="003E1053"/>
    <w:rsid w:val="00714314"/>
    <w:rsid w:val="008852D3"/>
    <w:rsid w:val="00B4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1D2BE"/>
  <w15:chartTrackingRefBased/>
  <w15:docId w15:val="{A8E81611-F70F-F244-B171-91C02561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F4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F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4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4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7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4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7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D7F4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1721</Words>
  <Characters>9813</Characters>
  <Application>Microsoft Office Word</Application>
  <DocSecurity>0</DocSecurity>
  <Lines>81</Lines>
  <Paragraphs>23</Paragraphs>
  <ScaleCrop>false</ScaleCrop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SP25-RCS-009(Ayesha Khalil)</dc:creator>
  <cp:keywords/>
  <dc:description/>
  <cp:lastModifiedBy>SP25-RCS-009(Ayesha Khalil)</cp:lastModifiedBy>
  <cp:revision>1</cp:revision>
  <dcterms:created xsi:type="dcterms:W3CDTF">2026-06-15T20:23:00Z</dcterms:created>
  <dcterms:modified xsi:type="dcterms:W3CDTF">2026-06-15T20:24:00Z</dcterms:modified>
</cp:coreProperties>
</file>