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28"/>
        </w:rPr>
        <w:t>Research Problem Statement</w:t>
      </w:r>
    </w:p>
    <w:p>
      <w:pPr>
        <w:spacing w:after="160"/>
        <w:jc w:val="center"/>
      </w:pPr>
      <w:r>
        <w:rPr>
          <w:rFonts w:ascii="Times New Roman" w:hAnsi="Times New Roman"/>
          <w:b w:val="0"/>
          <w:sz w:val="22"/>
        </w:rPr>
        <w:t>Ayesha Khalil  |  SP25-RCS-009/ATD  |  MS Computer Science</w:t>
      </w:r>
    </w:p>
    <w:p>
      <w:pPr>
        <w:spacing w:after="160"/>
        <w:jc w:val="center"/>
      </w:pPr>
      <w:r>
        <w:rPr>
          <w:rFonts w:ascii="Times New Roman" w:hAnsi="Times New Roman"/>
          <w:b w:val="0"/>
          <w:sz w:val="22"/>
        </w:rPr>
        <w:t>COMSATS University Islamabad, Abbottabad Campus  |  June 2026</w:t>
      </w:r>
    </w:p>
    <w:p>
      <w:pPr>
        <w:spacing w:after="240"/>
      </w:pPr>
      <w:r>
        <w:rPr>
          <w:rFonts w:ascii="Times New Roman" w:hAnsi="Times New Roman"/>
          <w:b/>
          <w:sz w:val="24"/>
        </w:rPr>
        <w:t>Title: Learning to Prioritize: A Learned Priority Arbitration Mechanism for Joint Target Assignment and Collision Avoidance in Multi-UAV Coordination using Multi-Agent Reinforcement Learning</w:t>
      </w:r>
    </w:p>
    <w:p>
      <w:pPr>
        <w:spacing w:after="160"/>
      </w:pPr>
      <w:r>
        <w:rPr>
          <w:rFonts w:ascii="Times New Roman" w:hAnsi="Times New Roman"/>
          <w:b/>
          <w:sz w:val="24"/>
        </w:rPr>
        <w:t>Problem Statement</w:t>
      </w:r>
    </w:p>
    <w:p>
      <w:pPr>
        <w:spacing w:after="160"/>
      </w:pPr>
      <w:r>
        <w:rPr>
          <w:rFonts w:ascii="Times New Roman" w:hAnsi="Times New Roman"/>
          <w:b w:val="0"/>
          <w:sz w:val="22"/>
        </w:rPr>
        <w:t>In multi-UAV cooperative missions, assigning UAVs to targets and keeping them collision-free are not independent decisions, since the path to a target directly determines proximity to other UAVs and obstacles, and any safety-driven deviation changes which target a UAV can realistically reach. A single evasive maneuver can therefore leave a high-priority target unattended, trigger reassignment conflicts among neighboring UAVs, and generate new collision risks as the swarm reorganizes, turning a local disruption into a mission-wide failure. This coupling becomes especially unstable when target priorities shift mid-mission, as a UAV committed to one assignment may simultaneously find itself in the wrong position and on a collision course, with no coordinated mechanism to resolve both contradictions at once. Without explicitly accounting for how task allocation shapes spatial behavior and how safety constraints feed back into task feasibility, multi-UAV systems cannot reliably maintain both high-value target coverage and collision-free operation under dynamic conditions.</w:t>
      </w:r>
    </w:p>
    <w:p>
      <w:pPr>
        <w:spacing w:after="160"/>
      </w:pPr>
      <w:r>
        <w:rPr>
          <w:rFonts w:ascii="Times New Roman" w:hAnsi="Times New Roman"/>
          <w:b w:val="0"/>
          <w:sz w:val="22"/>
        </w:rPr>
        <w:t>Recent reinforcement learning literature addresses each side of this coupling separately, leaving the coordination itself unspecified. DA-MAPPO (Sheng et al., 2026) achieves 90 to 99 percent mission success through dynamic minimum-cost target allocation integrated into a MAPPO-based cooperative policy, and explicitly observes that decoupled assignment and path-planning pipelines become brittle when targets move and perception is uncertain, yet collision avoidance within DA-MAPPO remains a fixed penalty term, so a reassignment triggered by an evasive maneuver is not represented in the policy. IGAT-MARL (Rezaee et al., 2026) achieves 17 percent higher cumulative reward and 10 percent fewer separation violations through graph attention-based modeling of inter-agent conflict, but assumes each drone already holds a fixed navigation target, so it cannot express the assignment infeasibility that a safety-driven deviation creates. HPER-D3QN (Shen et al., 2026) achieves 96.28 percent success in 25-aircraft joint airspace through dynamic threat scoring, combining time-to-closest-approach and distance-at-closest-approach, and hierarchical experience prioritization, but addresses single-UAV navigation, where no neighboring UAV can be reassigned. STAAC (Yan et al., 2025) achieves a 0.34 percent collision rate in scalable fixed-wing fleets through population-invariant spatial-temporal attention, validated at 1.5ms inference on real hardware, but addresses flocking behavior rather than target assignment. A 2025 survey in IEEE Transactions on Intelligent Transportation Systems explicitly identifies the absence of unified frameworks that dynamically balance competing objectives in drone coordination as an open research problem.</w:t>
      </w:r>
    </w:p>
    <w:p>
      <w:pPr>
        <w:spacing w:after="160"/>
      </w:pPr>
      <w:r>
        <w:rPr>
          <w:rFonts w:ascii="Times New Roman" w:hAnsi="Times New Roman"/>
          <w:b w:val="0"/>
          <w:sz w:val="22"/>
        </w:rPr>
        <w:t xml:space="preserve">This coordination problem becomes concrete when target assignment and collision avoidance are placed in a single reward function: their relative weighting becomes the design variable that determines whether an evasive maneuver is permitted to override an assignment, or an assignment is permitted to override a safety response. Across all thirteen reviewed papers spanning 2023 to 2026, this weighting is resolved identically: through fixed, constant reward coefficients set before training. In DA-MAPPO, the assignment and collision coefficients are fixed constants. In HPER-D3QN, C_goal and C_collision are fixed before training regardless of operational state. In STAAC, the flocking adherence and avoidance penalty constants P1 and P2 are fixed tuning parameters. A drone navigating open airspace and a drone three seconds from collision receive identical trade-off weightings in every existing framework. </w:t>
      </w:r>
      <w:r>
        <w:rPr>
          <w:rFonts w:ascii="Times New Roman" w:hAnsi="Times New Roman"/>
          <w:b/>
          <w:sz w:val="22"/>
        </w:rPr>
        <w:t xml:space="preserve">No existing framework provides a mechanism to determine, at each decision step and as a function of current operational state, the relative weight that the assignment objective should receive versus the collision avoidance objective -- the coordinated mechanism whose absence creates the contradictions described above. </w:t>
      </w:r>
      <w:r>
        <w:rPr>
          <w:rFonts w:ascii="Times New Roman" w:hAnsi="Times New Roman"/>
          <w:b w:val="0"/>
          <w:sz w:val="22"/>
        </w:rPr>
        <w:t>This is the gap this research addresses.</w:t>
      </w:r>
    </w:p>
    <w:p>
      <w:pPr>
        <w:spacing w:after="160"/>
      </w:pPr>
      <w:r>
        <w:rPr>
          <w:rFonts w:ascii="Times New Roman" w:hAnsi="Times New Roman"/>
          <w:b w:val="0"/>
          <w:sz w:val="22"/>
        </w:rPr>
        <w:t>The reason this coordinated mechanism does not exist in the literature is itself revealing. When researchers attempt to combine both objectives in a single policy, the immediate design question becomes: how much weight should each objective receive at a given moment? This question has no principled answer in the existing literature. Papers that address both objectives (Kong et al., 2024; DA-MAPPO, 2026) resolve it by manually tuning fixed constants, which cannot respond to the mid-mission instability described above. Papers that address one objective leave the other simplified or assumed fixed. The question of whether this weight itself should be a learned function of the agent's operational state has not been asked, because answering it is a research contribution in itself. This is precisely what the proposed work addresses.</w:t>
      </w:r>
    </w:p>
    <w:p>
      <w:pPr>
        <w:spacing w:after="160"/>
      </w:pPr>
      <w:r>
        <w:rPr>
          <w:rFonts w:ascii="Times New Roman" w:hAnsi="Times New Roman"/>
          <w:b w:val="0"/>
          <w:sz w:val="22"/>
        </w:rPr>
        <w:t>The proposed mechanism differs from multi-objective reinforcement learning (MORL) approaches in a fundamental respect. MORL methods determine the preference weighting between objectives at deployment time, before the agent begins operating, and maintain it constant throughout execution. The present problem requires the weighting to change within a single flight episode, at each timestep, as a function of the agent's physical state. A drone approaching a collision requires avoidance to dominate; the same drone, having resolved the conflict, requires assignment to dominate again; and a drone whose assigned target has shifted mid-mission requires the weighting to reflect its new position relative to both the new target and nearby traffic. This is not a deployment preference; it is a reactive, state-dependent decision that must be made continuously during operation. Multi-critic MORL approaches also introduce training instability in cooperative MARL settings, where multiple value functions must converge simultaneously across all agents.</w:t>
      </w:r>
    </w:p>
    <w:p>
      <w:pPr>
        <w:spacing w:after="160"/>
      </w:pPr>
      <w:r>
        <w:rPr>
          <w:rFonts w:ascii="Times New Roman" w:hAnsi="Times New Roman"/>
          <w:sz w:val="22"/>
        </w:rPr>
        <w:t xml:space="preserve">The research question is: </w:t>
      </w:r>
      <w:r>
        <w:rPr>
          <w:rFonts w:ascii="Times New Roman" w:hAnsi="Times New Roman"/>
          <w:b/>
          <w:sz w:val="22"/>
        </w:rPr>
        <w:t>Can a learned priority arbitration module, a small neural network jointly trained with a MAPPO backbone that takes time-to-collision, distance to assigned target, and conflict neighborhood density as inputs and outputs a dynamic weight at each decision step, outperform all fixed-weight baselines across mission success rate, collision frequency, and task completion time in a 2D multi-UAV environment requiring simultaneous dynamic target assignment and inter-agent collision avoidance?</w:t>
      </w:r>
    </w:p>
    <w:p>
      <w:pPr>
        <w:spacing w:after="160"/>
      </w:pPr>
      <w:r>
        <w:rPr>
          <w:rFonts w:ascii="Times New Roman" w:hAnsi="Times New Roman"/>
          <w:b w:val="0"/>
          <w:sz w:val="22"/>
        </w:rPr>
        <w:t>The proposed Priority Arbitration Head is the coordinated mechanism absent from the existing literature. At each timestep, it computes a dynamic weight from the agent's current observation and applies it as: total reward equals weight times assignment reward plus one minus weight times avoidance reward. The module is trained end-to-end with the MAPPO actor network through policy gradient backpropagation, requiring no separate training loop and no architectural change to the centralized critic. The three inputs are validated by convergent evidence in the reviewed literature: time-to-collision corresponds to the TCPA variable central to DTPA in HPER-D3QN, and conflict neighborhood density corresponds to the entity-grouping principle in STAAC's local spatial attention. By conditioning the weight on the agent's own state, the mechanism allows a single policy to resolve the position and collision-course contradictions identified above within one coordinated decision, rather than through separate, unsynchronized modules. The hypothesis is evaluated through a clean ablation comparing learned weighting against fixed weights of 0.3, 0.5, and 0.7 under identical training conditions, and against DA-MAPPO and IGAT-MARL as task-specific baselines. Both outcomes are interpretable and publishable, advancing the understanding of dynamic objective balancing in cooperative multi-UAV reinforcement learning.</w:t>
      </w:r>
    </w:p>
    <w:p>
      <w:pPr>
        <w:spacing w:after="120"/>
      </w:pPr>
      <w:r>
        <w:rPr>
          <w:rFonts w:ascii="Times New Roman" w:hAnsi="Times New Roman"/>
          <w:b/>
          <w:sz w:val="22"/>
        </w:rPr>
        <w:t>Key References</w:t>
      </w:r>
    </w:p>
    <w:p>
      <w:pPr>
        <w:spacing w:after="80"/>
      </w:pPr>
      <w:r>
        <w:rPr>
          <w:rFonts w:ascii="Times New Roman" w:hAnsi="Times New Roman"/>
          <w:b w:val="0"/>
          <w:sz w:val="20"/>
        </w:rPr>
        <w:t>Sheng, Z. et al. (2026). Dynamic Target Assignment and Cooperative Decision-Making for UAV Swarms Based on Multi-Agent Reinforcement Learning. IEEE Internet of Things Journal. [DA-MAPPO]</w:t>
      </w:r>
    </w:p>
    <w:p>
      <w:pPr>
        <w:spacing w:after="80"/>
      </w:pPr>
      <w:r>
        <w:rPr>
          <w:rFonts w:ascii="Times New Roman" w:hAnsi="Times New Roman"/>
          <w:b w:val="0"/>
          <w:sz w:val="20"/>
        </w:rPr>
        <w:t>Rezaee, M. R. et al. (2026). Efficient Multi-Agent Deep Reinforcement Learning Algorithm for Multi UAV Collision Avoidance. Applied Soft Computing. [IGAT-MARL]</w:t>
      </w:r>
    </w:p>
    <w:p>
      <w:pPr>
        <w:spacing w:after="80"/>
      </w:pPr>
      <w:r>
        <w:rPr>
          <w:rFonts w:ascii="Times New Roman" w:hAnsi="Times New Roman"/>
          <w:b w:val="0"/>
          <w:sz w:val="20"/>
        </w:rPr>
        <w:t>Shen, Y. et al. (2026). Deep reinforcement learning-based adaptive collision avoidance method for UAV in joint operational airspace. Defence Technology, 56, 142-159. [HPER-D3QN]</w:t>
      </w:r>
    </w:p>
    <w:p>
      <w:pPr>
        <w:spacing w:after="80"/>
      </w:pPr>
      <w:r>
        <w:rPr>
          <w:rFonts w:ascii="Times New Roman" w:hAnsi="Times New Roman"/>
          <w:b w:val="0"/>
          <w:sz w:val="20"/>
        </w:rPr>
        <w:t>Yan, C. et al. (2025). Multi-Agent Reinforcement Learning with Spatial-Temporal Attention for Flocking with Collision Avoidance of a Scalable Fixed-Wing UAV Fleet. IEEE Transactions on Intelligent Transportation Systems, 26(2), 1769-1782. [STAAC]</w:t>
      </w:r>
    </w:p>
    <w:p>
      <w:pPr>
        <w:spacing w:after="80"/>
      </w:pPr>
      <w:r>
        <w:rPr>
          <w:rFonts w:ascii="Times New Roman" w:hAnsi="Times New Roman"/>
          <w:b w:val="0"/>
          <w:sz w:val="20"/>
        </w:rPr>
        <w:t>Govinda, S., Brik, B., &amp; Harous, S. (2025). A Survey on Deep Reinforcement Learning Applications in Autonomous Systems. IEEE Transactions on Intelligent Transportation Systems, 26(7). [Survey - identifies gap]</w:t>
      </w:r>
    </w:p>
    <w:p>
      <w:pPr>
        <w:spacing w:after="80"/>
      </w:pPr>
      <w:r>
        <w:rPr>
          <w:rFonts w:ascii="Times New Roman" w:hAnsi="Times New Roman"/>
          <w:b w:val="0"/>
          <w:sz w:val="20"/>
        </w:rPr>
        <w:t>Kong, X. et al. (2024). Multi-UAV Simultaneous Target Assignment and Path Planning Based on Deep Reinforcement Learning. Frontiers in Neurorobotics,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